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086C8" w14:textId="77777777" w:rsidR="00C80168" w:rsidRDefault="009D259F" w:rsidP="00EA0201">
      <w:r>
        <w:t>Arbeids</w:t>
      </w:r>
      <w:r w:rsidR="009F3595">
        <w:t>- og sosialde</w:t>
      </w:r>
      <w:r>
        <w:t>partementet</w:t>
      </w:r>
      <w:r>
        <w:tab/>
      </w:r>
      <w:r w:rsidR="00F90FD5">
        <w:tab/>
      </w:r>
      <w:r w:rsidR="00F90FD5">
        <w:tab/>
      </w:r>
      <w:r w:rsidR="00F90FD5">
        <w:tab/>
      </w:r>
    </w:p>
    <w:p w14:paraId="4ECF563C" w14:textId="77777777" w:rsidR="009D259F" w:rsidRDefault="009D259F" w:rsidP="009D259F"/>
    <w:p w14:paraId="032C22C1" w14:textId="77777777" w:rsidR="009D259F" w:rsidRDefault="009D259F" w:rsidP="009D259F"/>
    <w:p w14:paraId="4F3DE941" w14:textId="77777777" w:rsidR="009D259F" w:rsidRDefault="009D259F" w:rsidP="009D259F"/>
    <w:p w14:paraId="152A43BA" w14:textId="77777777" w:rsidR="009D259F" w:rsidRDefault="009D259F" w:rsidP="009D259F"/>
    <w:p w14:paraId="1174EA46" w14:textId="77777777" w:rsidR="009D259F" w:rsidRDefault="009D259F" w:rsidP="009D259F"/>
    <w:p w14:paraId="4D4C3FA5" w14:textId="77777777" w:rsidR="009D259F" w:rsidRDefault="009D259F" w:rsidP="009D259F"/>
    <w:p w14:paraId="013269F9" w14:textId="77777777" w:rsidR="009D259F" w:rsidRDefault="009D259F" w:rsidP="009D259F"/>
    <w:p w14:paraId="06181E72" w14:textId="77777777" w:rsidR="009D259F" w:rsidRDefault="009D259F" w:rsidP="009D259F">
      <w:pPr>
        <w:jc w:val="center"/>
        <w:rPr>
          <w:b/>
          <w:sz w:val="32"/>
        </w:rPr>
      </w:pPr>
    </w:p>
    <w:p w14:paraId="6654BC9A" w14:textId="77777777" w:rsidR="009D259F" w:rsidRDefault="00B179E7" w:rsidP="009D259F">
      <w:pPr>
        <w:jc w:val="center"/>
        <w:rPr>
          <w:b/>
          <w:sz w:val="32"/>
        </w:rPr>
      </w:pPr>
      <w:r>
        <w:rPr>
          <w:b/>
          <w:sz w:val="32"/>
        </w:rPr>
        <w:t>ETTER</w:t>
      </w:r>
      <w:r w:rsidR="009D259F">
        <w:rPr>
          <w:b/>
          <w:sz w:val="32"/>
        </w:rPr>
        <w:t xml:space="preserve"> INNTEKTSOPPGJØRENE 201</w:t>
      </w:r>
      <w:r w:rsidR="00536460">
        <w:rPr>
          <w:b/>
          <w:sz w:val="32"/>
        </w:rPr>
        <w:t>5</w:t>
      </w:r>
    </w:p>
    <w:p w14:paraId="5BD44654" w14:textId="77777777" w:rsidR="009D259F" w:rsidRDefault="009D259F" w:rsidP="009D259F">
      <w:pPr>
        <w:spacing w:after="0"/>
        <w:rPr>
          <w:b/>
          <w:sz w:val="32"/>
        </w:rPr>
      </w:pPr>
    </w:p>
    <w:p w14:paraId="799AF20F" w14:textId="77777777" w:rsidR="009D259F" w:rsidRDefault="009D259F" w:rsidP="009D259F">
      <w:pPr>
        <w:spacing w:after="0"/>
        <w:rPr>
          <w:b/>
        </w:rPr>
      </w:pPr>
    </w:p>
    <w:p w14:paraId="484518B8" w14:textId="77777777" w:rsidR="009D259F" w:rsidRDefault="009D259F" w:rsidP="009D259F">
      <w:pPr>
        <w:spacing w:after="0"/>
        <w:rPr>
          <w:b/>
          <w:sz w:val="28"/>
          <w:szCs w:val="28"/>
        </w:rPr>
      </w:pPr>
    </w:p>
    <w:p w14:paraId="1DD21AA5" w14:textId="77777777" w:rsidR="009D259F" w:rsidRPr="005C050A" w:rsidRDefault="009D259F" w:rsidP="009D259F">
      <w:pPr>
        <w:spacing w:after="0"/>
        <w:rPr>
          <w:b/>
          <w:sz w:val="28"/>
          <w:szCs w:val="28"/>
        </w:rPr>
      </w:pPr>
    </w:p>
    <w:p w14:paraId="2054F094" w14:textId="77777777" w:rsidR="009D259F" w:rsidRPr="009F3595" w:rsidRDefault="00B179E7" w:rsidP="009D259F">
      <w:pPr>
        <w:spacing w:after="0"/>
        <w:jc w:val="center"/>
        <w:rPr>
          <w:b/>
          <w:sz w:val="32"/>
        </w:rPr>
      </w:pPr>
      <w:r>
        <w:rPr>
          <w:b/>
          <w:sz w:val="28"/>
          <w:szCs w:val="28"/>
        </w:rPr>
        <w:t xml:space="preserve">Oppsummering av </w:t>
      </w:r>
      <w:r w:rsidR="00AA1D87">
        <w:rPr>
          <w:b/>
          <w:sz w:val="28"/>
          <w:szCs w:val="28"/>
        </w:rPr>
        <w:t>mellom</w:t>
      </w:r>
      <w:r>
        <w:rPr>
          <w:b/>
          <w:sz w:val="28"/>
          <w:szCs w:val="28"/>
        </w:rPr>
        <w:t xml:space="preserve">oppgjørene </w:t>
      </w:r>
    </w:p>
    <w:p w14:paraId="759E1FED" w14:textId="77777777" w:rsidR="009D259F" w:rsidRDefault="009D259F" w:rsidP="009D259F">
      <w:pPr>
        <w:spacing w:after="0"/>
        <w:jc w:val="center"/>
        <w:rPr>
          <w:sz w:val="32"/>
        </w:rPr>
      </w:pPr>
    </w:p>
    <w:p w14:paraId="4E3BAFD9" w14:textId="77777777" w:rsidR="009D259F" w:rsidRDefault="00AA1D87" w:rsidP="009D259F">
      <w:pPr>
        <w:spacing w:after="0"/>
        <w:jc w:val="center"/>
        <w:rPr>
          <w:i/>
          <w:sz w:val="26"/>
        </w:rPr>
      </w:pPr>
      <w:r>
        <w:rPr>
          <w:i/>
          <w:sz w:val="26"/>
        </w:rPr>
        <w:t xml:space="preserve">Rapport </w:t>
      </w:r>
    </w:p>
    <w:p w14:paraId="62D5EF46" w14:textId="77777777" w:rsidR="00AA1D87" w:rsidRDefault="00AA1D87" w:rsidP="009D259F">
      <w:pPr>
        <w:spacing w:after="0"/>
        <w:jc w:val="center"/>
        <w:rPr>
          <w:i/>
          <w:sz w:val="26"/>
        </w:rPr>
      </w:pPr>
    </w:p>
    <w:p w14:paraId="4449294B" w14:textId="77777777" w:rsidR="009D259F" w:rsidRPr="00AA1D87" w:rsidRDefault="009D259F" w:rsidP="009D259F">
      <w:pPr>
        <w:spacing w:after="0"/>
        <w:jc w:val="center"/>
        <w:rPr>
          <w:i/>
          <w:sz w:val="28"/>
          <w:szCs w:val="28"/>
        </w:rPr>
      </w:pPr>
      <w:r w:rsidRPr="00AA1D87">
        <w:rPr>
          <w:i/>
          <w:sz w:val="28"/>
          <w:szCs w:val="28"/>
        </w:rPr>
        <w:t>fra</w:t>
      </w:r>
    </w:p>
    <w:p w14:paraId="45C20C6B" w14:textId="77777777" w:rsidR="009D259F" w:rsidRPr="00786D32" w:rsidRDefault="009D259F" w:rsidP="009D259F">
      <w:pPr>
        <w:spacing w:after="0"/>
        <w:jc w:val="center"/>
        <w:rPr>
          <w:i/>
          <w:sz w:val="28"/>
          <w:szCs w:val="28"/>
        </w:rPr>
      </w:pPr>
    </w:p>
    <w:p w14:paraId="40634D79" w14:textId="77777777" w:rsidR="009D259F" w:rsidRPr="00221E39" w:rsidRDefault="009D259F" w:rsidP="009D259F">
      <w:pPr>
        <w:jc w:val="center"/>
        <w:rPr>
          <w:sz w:val="26"/>
        </w:rPr>
      </w:pPr>
      <w:r w:rsidRPr="00786D32">
        <w:rPr>
          <w:i/>
          <w:sz w:val="28"/>
          <w:szCs w:val="28"/>
        </w:rPr>
        <w:t>Det tekniske beregningsutvalget for inntektsoppgjørene</w:t>
      </w:r>
    </w:p>
    <w:p w14:paraId="3C9FE450" w14:textId="77777777" w:rsidR="009D259F" w:rsidRPr="00221E39" w:rsidRDefault="009D259F" w:rsidP="009D259F">
      <w:pPr>
        <w:jc w:val="center"/>
        <w:rPr>
          <w:sz w:val="26"/>
        </w:rPr>
      </w:pPr>
    </w:p>
    <w:p w14:paraId="5D06A43B" w14:textId="77777777" w:rsidR="009D259F" w:rsidRPr="00221E39" w:rsidRDefault="009D259F" w:rsidP="009D259F">
      <w:pPr>
        <w:spacing w:after="0"/>
        <w:jc w:val="center"/>
        <w:rPr>
          <w:sz w:val="26"/>
        </w:rPr>
      </w:pPr>
    </w:p>
    <w:p w14:paraId="62D75D19" w14:textId="77777777" w:rsidR="009D259F" w:rsidRPr="00221E39" w:rsidRDefault="009D259F" w:rsidP="009D259F">
      <w:pPr>
        <w:jc w:val="center"/>
        <w:rPr>
          <w:sz w:val="26"/>
        </w:rPr>
      </w:pPr>
    </w:p>
    <w:p w14:paraId="7B1B76F9" w14:textId="77777777" w:rsidR="009D259F" w:rsidRDefault="009D259F" w:rsidP="009D259F">
      <w:pPr>
        <w:jc w:val="center"/>
        <w:rPr>
          <w:sz w:val="26"/>
        </w:rPr>
      </w:pPr>
    </w:p>
    <w:p w14:paraId="67B02810" w14:textId="77777777" w:rsidR="009D259F" w:rsidRPr="00221E39" w:rsidRDefault="009D259F" w:rsidP="009D259F">
      <w:pPr>
        <w:jc w:val="center"/>
        <w:rPr>
          <w:sz w:val="26"/>
        </w:rPr>
      </w:pPr>
    </w:p>
    <w:p w14:paraId="6BFDE685" w14:textId="77777777" w:rsidR="009D259F" w:rsidRPr="00221E39" w:rsidRDefault="009D259F" w:rsidP="009D259F">
      <w:pPr>
        <w:jc w:val="center"/>
        <w:rPr>
          <w:sz w:val="26"/>
        </w:rPr>
      </w:pPr>
    </w:p>
    <w:p w14:paraId="06816E10" w14:textId="77777777" w:rsidR="009D259F" w:rsidRPr="00221E39" w:rsidRDefault="009D259F" w:rsidP="009D259F">
      <w:pPr>
        <w:jc w:val="center"/>
        <w:rPr>
          <w:sz w:val="26"/>
        </w:rPr>
      </w:pPr>
    </w:p>
    <w:p w14:paraId="2E680519" w14:textId="77777777" w:rsidR="009D259F" w:rsidRPr="00221E39" w:rsidRDefault="009D259F" w:rsidP="009D259F">
      <w:pPr>
        <w:jc w:val="center"/>
        <w:rPr>
          <w:i/>
          <w:color w:val="FF0000"/>
          <w:sz w:val="26"/>
        </w:rPr>
      </w:pPr>
    </w:p>
    <w:p w14:paraId="67986D24" w14:textId="77777777" w:rsidR="009D259F" w:rsidRDefault="009D259F" w:rsidP="009D259F">
      <w:pPr>
        <w:jc w:val="center"/>
        <w:rPr>
          <w:color w:val="FF0000"/>
          <w:sz w:val="26"/>
        </w:rPr>
      </w:pPr>
      <w:bookmarkStart w:id="0" w:name="_GoBack"/>
      <w:bookmarkEnd w:id="0"/>
    </w:p>
    <w:p w14:paraId="5D9FEED8" w14:textId="77777777" w:rsidR="001B31F2" w:rsidRDefault="001B31F2" w:rsidP="009D259F">
      <w:pPr>
        <w:jc w:val="center"/>
        <w:rPr>
          <w:color w:val="FF0000"/>
          <w:sz w:val="26"/>
        </w:rPr>
      </w:pPr>
    </w:p>
    <w:p w14:paraId="5B9ABC78" w14:textId="77777777" w:rsidR="001B31F2" w:rsidRPr="00221E39" w:rsidRDefault="001B31F2" w:rsidP="009D259F">
      <w:pPr>
        <w:jc w:val="center"/>
        <w:rPr>
          <w:color w:val="FF0000"/>
          <w:sz w:val="26"/>
        </w:rPr>
      </w:pPr>
    </w:p>
    <w:p w14:paraId="5A3D25ED" w14:textId="77777777" w:rsidR="009D259F" w:rsidRPr="00221E39" w:rsidRDefault="009D259F" w:rsidP="009D259F">
      <w:pPr>
        <w:jc w:val="center"/>
        <w:rPr>
          <w:sz w:val="26"/>
        </w:rPr>
      </w:pPr>
    </w:p>
    <w:p w14:paraId="76E4E93C" w14:textId="4BF72F5A" w:rsidR="009D259F" w:rsidRDefault="009D259F" w:rsidP="009D259F">
      <w:pPr>
        <w:jc w:val="center"/>
        <w:rPr>
          <w:sz w:val="26"/>
        </w:rPr>
      </w:pPr>
      <w:r w:rsidRPr="00221E39">
        <w:rPr>
          <w:sz w:val="26"/>
        </w:rPr>
        <w:t xml:space="preserve">Oslo, </w:t>
      </w:r>
      <w:r w:rsidR="00AA1D87">
        <w:rPr>
          <w:sz w:val="26"/>
        </w:rPr>
        <w:t>19</w:t>
      </w:r>
      <w:r w:rsidRPr="00221E39">
        <w:rPr>
          <w:sz w:val="26"/>
        </w:rPr>
        <w:t xml:space="preserve">. </w:t>
      </w:r>
      <w:r w:rsidR="00AA1D87">
        <w:rPr>
          <w:sz w:val="26"/>
        </w:rPr>
        <w:t>juni</w:t>
      </w:r>
      <w:r w:rsidR="00A66632">
        <w:rPr>
          <w:sz w:val="26"/>
        </w:rPr>
        <w:t xml:space="preserve"> </w:t>
      </w:r>
      <w:r w:rsidR="00C87ABD">
        <w:rPr>
          <w:sz w:val="26"/>
        </w:rPr>
        <w:t>201</w:t>
      </w:r>
      <w:r w:rsidR="00536460">
        <w:rPr>
          <w:sz w:val="26"/>
        </w:rPr>
        <w:t>5</w:t>
      </w:r>
    </w:p>
    <w:p w14:paraId="46D49177" w14:textId="77777777" w:rsidR="00536D17" w:rsidRDefault="00536D17" w:rsidP="009D259F">
      <w:pPr>
        <w:jc w:val="center"/>
        <w:rPr>
          <w:sz w:val="26"/>
        </w:rPr>
      </w:pPr>
    </w:p>
    <w:p w14:paraId="63DD6702" w14:textId="77777777" w:rsidR="00F238BC" w:rsidRDefault="00F238BC">
      <w:pPr>
        <w:spacing w:after="0"/>
        <w:rPr>
          <w:sz w:val="26"/>
        </w:rPr>
      </w:pPr>
      <w:r>
        <w:rPr>
          <w:sz w:val="26"/>
        </w:rPr>
        <w:br w:type="page"/>
      </w:r>
    </w:p>
    <w:p w14:paraId="3FC59D54" w14:textId="77777777" w:rsidR="00536D17" w:rsidRDefault="00536D17" w:rsidP="009D259F">
      <w:pPr>
        <w:jc w:val="center"/>
        <w:rPr>
          <w:sz w:val="26"/>
        </w:rPr>
      </w:pPr>
    </w:p>
    <w:p w14:paraId="1B31850C" w14:textId="77777777" w:rsidR="00536460" w:rsidRDefault="00536460" w:rsidP="00536460">
      <w:pPr>
        <w:pStyle w:val="Overskrift1"/>
        <w:numPr>
          <w:ilvl w:val="0"/>
          <w:numId w:val="0"/>
        </w:numPr>
        <w:ind w:left="432" w:hanging="432"/>
        <w:jc w:val="center"/>
      </w:pPr>
      <w:bookmarkStart w:id="1" w:name="_Toc96594166"/>
      <w:bookmarkStart w:id="2" w:name="_Toc286073346"/>
      <w:bookmarkStart w:id="3" w:name="_Toc286074000"/>
      <w:bookmarkStart w:id="4" w:name="_Toc286074990"/>
      <w:bookmarkStart w:id="5" w:name="_Toc286075239"/>
      <w:bookmarkStart w:id="6" w:name="_Toc286076958"/>
      <w:bookmarkStart w:id="7" w:name="_Toc422226809"/>
      <w:r>
        <w:t>Forord</w:t>
      </w:r>
      <w:bookmarkEnd w:id="1"/>
      <w:bookmarkEnd w:id="2"/>
      <w:bookmarkEnd w:id="3"/>
      <w:bookmarkEnd w:id="4"/>
      <w:bookmarkEnd w:id="5"/>
      <w:bookmarkEnd w:id="6"/>
      <w:bookmarkEnd w:id="7"/>
    </w:p>
    <w:p w14:paraId="55C9D58E" w14:textId="098FC277" w:rsidR="00A56893" w:rsidRPr="003768D9" w:rsidRDefault="00A56893" w:rsidP="00A60305">
      <w:r w:rsidRPr="003768D9">
        <w:t xml:space="preserve">Beregningsutvalget la </w:t>
      </w:r>
      <w:r>
        <w:t>16. februar 201</w:t>
      </w:r>
      <w:r w:rsidR="00A26BEB">
        <w:t>5</w:t>
      </w:r>
      <w:r>
        <w:t xml:space="preserve"> </w:t>
      </w:r>
      <w:r w:rsidRPr="003768D9">
        <w:t xml:space="preserve">fram en foreløpig utgave av sin hovedrapport foran årets </w:t>
      </w:r>
      <w:r w:rsidR="00D43A46">
        <w:t>mellom</w:t>
      </w:r>
      <w:r w:rsidRPr="003768D9">
        <w:t xml:space="preserve">oppgjør og en endelig utgave </w:t>
      </w:r>
      <w:r>
        <w:t>30. mars</w:t>
      </w:r>
      <w:r w:rsidRPr="003768D9">
        <w:t>, jf. NOU 20</w:t>
      </w:r>
      <w:r>
        <w:t>15</w:t>
      </w:r>
      <w:r w:rsidRPr="003768D9">
        <w:t>:</w:t>
      </w:r>
      <w:r>
        <w:t xml:space="preserve"> 6</w:t>
      </w:r>
      <w:r w:rsidRPr="003768D9">
        <w:t xml:space="preserve">. I denne rapporten gis oppdaterte tall over lønnsutviklingen og en oversikt over hovedtrekkene i årets </w:t>
      </w:r>
      <w:r>
        <w:t>mellomoppgjør</w:t>
      </w:r>
      <w:r w:rsidRPr="003768D9">
        <w:t>. Dette materialet offentliggjøres nå som en nettversjon, men blir innarbeidet i rapporten som trykkes i NOU-serien i mars</w:t>
      </w:r>
      <w:r>
        <w:t xml:space="preserve">/april </w:t>
      </w:r>
      <w:r w:rsidRPr="003768D9">
        <w:t>til neste år.</w:t>
      </w:r>
    </w:p>
    <w:p w14:paraId="51759202" w14:textId="77777777" w:rsidR="00536460" w:rsidRPr="0083271E" w:rsidRDefault="00A56893" w:rsidP="00A56893">
      <w:r>
        <w:t xml:space="preserve">Utvalget har denne gangen ikke foretatt en ny gjennomgang av prisutsiktene, utviklingen i industriens konkurranseevne, makroøkonomisk utvikling med mer. Det vises her til NOU </w:t>
      </w:r>
      <w:r w:rsidRPr="003768D9">
        <w:t>20</w:t>
      </w:r>
      <w:r>
        <w:t>15</w:t>
      </w:r>
      <w:r w:rsidRPr="003768D9">
        <w:t>:</w:t>
      </w:r>
      <w:r>
        <w:t xml:space="preserve"> 6.</w:t>
      </w:r>
    </w:p>
    <w:p w14:paraId="266F3C8E" w14:textId="77777777" w:rsidR="00536460" w:rsidRPr="00D96ADB" w:rsidRDefault="00536460" w:rsidP="00536460">
      <w:pPr>
        <w:spacing w:after="0"/>
        <w:rPr>
          <w:szCs w:val="24"/>
        </w:rPr>
      </w:pPr>
      <w:r w:rsidRPr="00D96ADB">
        <w:rPr>
          <w:iCs/>
          <w:szCs w:val="24"/>
        </w:rPr>
        <w:t>Beregningsutvalget ble ved k</w:t>
      </w:r>
      <w:r>
        <w:rPr>
          <w:iCs/>
          <w:szCs w:val="24"/>
        </w:rPr>
        <w:t>ongelig</w:t>
      </w:r>
      <w:r w:rsidRPr="00D96ADB">
        <w:rPr>
          <w:iCs/>
          <w:szCs w:val="24"/>
        </w:rPr>
        <w:t xml:space="preserve"> resolusjon av </w:t>
      </w:r>
      <w:r>
        <w:rPr>
          <w:iCs/>
          <w:szCs w:val="24"/>
        </w:rPr>
        <w:t>7</w:t>
      </w:r>
      <w:r w:rsidRPr="00D96ADB">
        <w:rPr>
          <w:iCs/>
          <w:szCs w:val="24"/>
        </w:rPr>
        <w:t xml:space="preserve">. </w:t>
      </w:r>
      <w:r>
        <w:rPr>
          <w:iCs/>
          <w:szCs w:val="24"/>
        </w:rPr>
        <w:t>oktober</w:t>
      </w:r>
      <w:r w:rsidRPr="00D96ADB">
        <w:rPr>
          <w:iCs/>
          <w:szCs w:val="24"/>
        </w:rPr>
        <w:t xml:space="preserve"> 20</w:t>
      </w:r>
      <w:r>
        <w:rPr>
          <w:iCs/>
          <w:szCs w:val="24"/>
        </w:rPr>
        <w:t>11</w:t>
      </w:r>
      <w:r w:rsidRPr="00D96ADB">
        <w:rPr>
          <w:iCs/>
          <w:szCs w:val="24"/>
        </w:rPr>
        <w:t xml:space="preserve"> </w:t>
      </w:r>
      <w:r w:rsidRPr="00D96ADB">
        <w:rPr>
          <w:szCs w:val="24"/>
        </w:rPr>
        <w:t xml:space="preserve">gjenoppnevnt for </w:t>
      </w:r>
      <w:r w:rsidRPr="00D96ADB">
        <w:rPr>
          <w:iCs/>
          <w:szCs w:val="24"/>
        </w:rPr>
        <w:t>en ny periode</w:t>
      </w:r>
      <w:r w:rsidRPr="00D96ADB">
        <w:rPr>
          <w:szCs w:val="24"/>
        </w:rPr>
        <w:t xml:space="preserve"> inntil 30. september 20</w:t>
      </w:r>
      <w:r>
        <w:rPr>
          <w:szCs w:val="24"/>
        </w:rPr>
        <w:t>15</w:t>
      </w:r>
      <w:r w:rsidRPr="00D96ADB">
        <w:rPr>
          <w:szCs w:val="24"/>
        </w:rPr>
        <w:t xml:space="preserve"> med følgende mandat:</w:t>
      </w:r>
    </w:p>
    <w:p w14:paraId="1472E7A9" w14:textId="77777777" w:rsidR="00536460" w:rsidRPr="00D96ADB" w:rsidRDefault="00536460" w:rsidP="00536460">
      <w:pPr>
        <w:rPr>
          <w:szCs w:val="24"/>
        </w:rPr>
      </w:pPr>
    </w:p>
    <w:p w14:paraId="172DEA3B" w14:textId="6E67E28F" w:rsidR="00536460" w:rsidRPr="00D96ADB" w:rsidRDefault="00A60305" w:rsidP="00A26BEB">
      <w:pPr>
        <w:ind w:left="284"/>
        <w:rPr>
          <w:i/>
          <w:szCs w:val="24"/>
        </w:rPr>
      </w:pPr>
      <w:r w:rsidRPr="00D96ADB">
        <w:rPr>
          <w:i/>
          <w:szCs w:val="24"/>
        </w:rPr>
        <w:t>” Utvalget</w:t>
      </w:r>
      <w:r w:rsidR="00536460" w:rsidRPr="00D96ADB">
        <w:rPr>
          <w:i/>
          <w:szCs w:val="24"/>
        </w:rPr>
        <w:t xml:space="preserve"> skal i tilknytning til inntektsoppgjørene legge fram det best mulige tallmessige bakgrunnsmateriale og presentere det i en slik form at uenighet partene i mellom om økonomiske forhold så vidt mulig kan unngås. </w:t>
      </w:r>
    </w:p>
    <w:p w14:paraId="54CBE71D" w14:textId="77777777" w:rsidR="00536460" w:rsidRDefault="00536460" w:rsidP="00A26BEB">
      <w:pPr>
        <w:ind w:left="284"/>
        <w:rPr>
          <w:i/>
          <w:szCs w:val="24"/>
        </w:rPr>
      </w:pPr>
      <w:r w:rsidRPr="00D96ADB">
        <w:rPr>
          <w:i/>
          <w:szCs w:val="24"/>
        </w:rPr>
        <w:t>Utvalget skal legge fram oppsummeringsrapporter etter inntektsoppgjør.</w:t>
      </w:r>
    </w:p>
    <w:p w14:paraId="7871AF1E" w14:textId="77777777" w:rsidR="00536460" w:rsidRPr="00D96ADB" w:rsidRDefault="00536460" w:rsidP="00A26BEB">
      <w:pPr>
        <w:ind w:left="284"/>
        <w:rPr>
          <w:i/>
          <w:szCs w:val="24"/>
        </w:rPr>
      </w:pPr>
      <w:r w:rsidRPr="00D96ADB">
        <w:rPr>
          <w:i/>
          <w:szCs w:val="24"/>
        </w:rPr>
        <w:t>Utvalget skal, når departementet ber om det, kunne klargjøre det tallmessige grunnlagsmateriale for spesielle inntektspolitiske spørsmål.</w:t>
      </w:r>
    </w:p>
    <w:p w14:paraId="166B4745" w14:textId="77777777" w:rsidR="00536460" w:rsidRPr="00D96ADB" w:rsidRDefault="00536460" w:rsidP="00536460">
      <w:pPr>
        <w:spacing w:after="0"/>
        <w:ind w:left="284"/>
        <w:rPr>
          <w:b/>
          <w:i/>
          <w:szCs w:val="24"/>
        </w:rPr>
      </w:pPr>
      <w:r w:rsidRPr="00D96ADB">
        <w:rPr>
          <w:i/>
          <w:szCs w:val="24"/>
        </w:rPr>
        <w:t>Utvalgets utredninger avgis til Arbeid</w:t>
      </w:r>
      <w:r>
        <w:rPr>
          <w:i/>
          <w:szCs w:val="24"/>
        </w:rPr>
        <w:t>s</w:t>
      </w:r>
      <w:r w:rsidRPr="00D96ADB">
        <w:rPr>
          <w:i/>
          <w:szCs w:val="24"/>
        </w:rPr>
        <w:t>departementet</w:t>
      </w:r>
      <w:r>
        <w:rPr>
          <w:rStyle w:val="Fotnotereferanse"/>
          <w:i/>
          <w:szCs w:val="24"/>
        </w:rPr>
        <w:footnoteReference w:id="1"/>
      </w:r>
      <w:r w:rsidRPr="00D96ADB">
        <w:rPr>
          <w:i/>
          <w:szCs w:val="24"/>
        </w:rPr>
        <w:t>”</w:t>
      </w:r>
      <w:r>
        <w:rPr>
          <w:i/>
          <w:szCs w:val="24"/>
        </w:rPr>
        <w:t>.</w:t>
      </w:r>
    </w:p>
    <w:p w14:paraId="2C99EF8B" w14:textId="77777777" w:rsidR="00536460" w:rsidRPr="00D96ADB" w:rsidRDefault="00536460" w:rsidP="00536460">
      <w:pPr>
        <w:rPr>
          <w:szCs w:val="24"/>
        </w:rPr>
      </w:pPr>
    </w:p>
    <w:p w14:paraId="28877A4B" w14:textId="79E086D0" w:rsidR="00536460" w:rsidRPr="00D96ADB" w:rsidRDefault="00536460" w:rsidP="00536460">
      <w:pPr>
        <w:rPr>
          <w:szCs w:val="24"/>
        </w:rPr>
      </w:pPr>
      <w:r>
        <w:br w:type="page"/>
      </w:r>
      <w:r w:rsidRPr="00D96ADB">
        <w:rPr>
          <w:szCs w:val="24"/>
        </w:rPr>
        <w:lastRenderedPageBreak/>
        <w:t xml:space="preserve">I tillegg til utvalgets medlemmer og sekretariatet har følgende deltatt i arbeidet med rapporten: Oddbjørn Eidem, Næringslivets Hovedorganisasjon, </w:t>
      </w:r>
      <w:r>
        <w:rPr>
          <w:szCs w:val="24"/>
        </w:rPr>
        <w:t xml:space="preserve">Rolf Stangeland, Unio, </w:t>
      </w:r>
      <w:r w:rsidRPr="00D96ADB">
        <w:rPr>
          <w:szCs w:val="24"/>
        </w:rPr>
        <w:t xml:space="preserve">Eirik Solberg, </w:t>
      </w:r>
      <w:r>
        <w:rPr>
          <w:szCs w:val="24"/>
        </w:rPr>
        <w:t>KS</w:t>
      </w:r>
      <w:r w:rsidRPr="00D96ADB">
        <w:rPr>
          <w:szCs w:val="24"/>
        </w:rPr>
        <w:t xml:space="preserve">, </w:t>
      </w:r>
      <w:r>
        <w:rPr>
          <w:szCs w:val="24"/>
        </w:rPr>
        <w:t xml:space="preserve">Ørnulf Kastet, </w:t>
      </w:r>
      <w:r w:rsidRPr="00392AE9">
        <w:rPr>
          <w:szCs w:val="24"/>
        </w:rPr>
        <w:t>Yrkesorganisasjonenes Sentralforbund</w:t>
      </w:r>
      <w:r>
        <w:rPr>
          <w:szCs w:val="24"/>
        </w:rPr>
        <w:t xml:space="preserve">, </w:t>
      </w:r>
      <w:r w:rsidR="002840C4">
        <w:rPr>
          <w:szCs w:val="24"/>
        </w:rPr>
        <w:t>Trond Teisberg</w:t>
      </w:r>
      <w:r>
        <w:rPr>
          <w:szCs w:val="24"/>
        </w:rPr>
        <w:t>, Akademikerne, Bård Westbye, Virke</w:t>
      </w:r>
      <w:r w:rsidR="00B72276">
        <w:rPr>
          <w:szCs w:val="24"/>
        </w:rPr>
        <w:t xml:space="preserve"> og</w:t>
      </w:r>
      <w:r>
        <w:rPr>
          <w:szCs w:val="24"/>
        </w:rPr>
        <w:t xml:space="preserve"> Ragnar Ihle Bøhn</w:t>
      </w:r>
      <w:r w:rsidRPr="00D96ADB">
        <w:rPr>
          <w:szCs w:val="24"/>
        </w:rPr>
        <w:t xml:space="preserve">, </w:t>
      </w:r>
      <w:r>
        <w:rPr>
          <w:szCs w:val="24"/>
        </w:rPr>
        <w:t>Kommunal- og moderniserings</w:t>
      </w:r>
      <w:r w:rsidRPr="00D96ADB">
        <w:rPr>
          <w:szCs w:val="24"/>
        </w:rPr>
        <w:t>departementet</w:t>
      </w:r>
      <w:r>
        <w:rPr>
          <w:szCs w:val="24"/>
        </w:rPr>
        <w:t>.</w:t>
      </w:r>
    </w:p>
    <w:p w14:paraId="706B5E11" w14:textId="77777777" w:rsidR="00536460" w:rsidRDefault="00536460" w:rsidP="00536460"/>
    <w:p w14:paraId="6204B5AC" w14:textId="7D1B5914" w:rsidR="00536460" w:rsidRDefault="00536460" w:rsidP="00536460">
      <w:pPr>
        <w:ind w:right="-341"/>
        <w:jc w:val="center"/>
      </w:pPr>
      <w:r>
        <w:t xml:space="preserve">Oslo, </w:t>
      </w:r>
      <w:r w:rsidR="00A56893">
        <w:t>19</w:t>
      </w:r>
      <w:r>
        <w:t xml:space="preserve">. </w:t>
      </w:r>
      <w:r w:rsidR="00A56893">
        <w:t>juni</w:t>
      </w:r>
      <w:r w:rsidR="0013476D">
        <w:t xml:space="preserve"> </w:t>
      </w:r>
      <w:r>
        <w:t>2015</w:t>
      </w:r>
    </w:p>
    <w:p w14:paraId="69BA7F4B" w14:textId="77777777" w:rsidR="00536460" w:rsidRDefault="00536460" w:rsidP="00536460">
      <w:pPr>
        <w:ind w:right="-341"/>
        <w:jc w:val="center"/>
      </w:pPr>
    </w:p>
    <w:p w14:paraId="32B24B18" w14:textId="77777777" w:rsidR="00536460" w:rsidRDefault="00536460" w:rsidP="00536460">
      <w:pPr>
        <w:spacing w:after="0"/>
        <w:jc w:val="center"/>
        <w:rPr>
          <w:szCs w:val="24"/>
        </w:rPr>
      </w:pPr>
      <w:r>
        <w:rPr>
          <w:szCs w:val="24"/>
        </w:rPr>
        <w:t>Ådne Cappelen</w:t>
      </w:r>
      <w:r w:rsidRPr="00392AE9">
        <w:rPr>
          <w:szCs w:val="24"/>
        </w:rPr>
        <w:br/>
        <w:t>leder</w:t>
      </w:r>
    </w:p>
    <w:p w14:paraId="7CF7B24E" w14:textId="77777777" w:rsidR="00536460" w:rsidRDefault="00536460" w:rsidP="00536460">
      <w:pPr>
        <w:spacing w:after="0"/>
        <w:jc w:val="center"/>
        <w:rPr>
          <w:szCs w:val="24"/>
        </w:rPr>
      </w:pPr>
      <w:r w:rsidRPr="00392AE9">
        <w:rPr>
          <w:szCs w:val="24"/>
        </w:rPr>
        <w:t>Statistisk sentralbyrå</w:t>
      </w:r>
    </w:p>
    <w:p w14:paraId="45804B54" w14:textId="77777777" w:rsidR="00536460" w:rsidRPr="00392AE9" w:rsidRDefault="00536460" w:rsidP="00536460">
      <w:pPr>
        <w:spacing w:after="0"/>
        <w:jc w:val="center"/>
        <w:rPr>
          <w:szCs w:val="24"/>
        </w:rPr>
      </w:pPr>
    </w:p>
    <w:p w14:paraId="65D6AC0E" w14:textId="77777777" w:rsidR="00536460" w:rsidRDefault="00536460" w:rsidP="00536460">
      <w:pPr>
        <w:pStyle w:val="Brdtekst3"/>
        <w:spacing w:after="0"/>
        <w:jc w:val="center"/>
      </w:pPr>
    </w:p>
    <w:tbl>
      <w:tblPr>
        <w:tblW w:w="9993" w:type="dxa"/>
        <w:tblCellMar>
          <w:left w:w="70" w:type="dxa"/>
          <w:right w:w="70" w:type="dxa"/>
        </w:tblCellMar>
        <w:tblLook w:val="0000" w:firstRow="0" w:lastRow="0" w:firstColumn="0" w:lastColumn="0" w:noHBand="0" w:noVBand="0"/>
      </w:tblPr>
      <w:tblGrid>
        <w:gridCol w:w="3614"/>
        <w:gridCol w:w="3260"/>
        <w:gridCol w:w="3119"/>
      </w:tblGrid>
      <w:tr w:rsidR="00536460" w:rsidRPr="00392AE9" w14:paraId="2264F0B4" w14:textId="77777777" w:rsidTr="0013476D">
        <w:tc>
          <w:tcPr>
            <w:tcW w:w="3614" w:type="dxa"/>
          </w:tcPr>
          <w:p w14:paraId="77938D6B" w14:textId="77777777" w:rsidR="00536460" w:rsidRPr="00392AE9" w:rsidRDefault="00536460" w:rsidP="00795948">
            <w:pPr>
              <w:tabs>
                <w:tab w:val="left" w:pos="3119"/>
                <w:tab w:val="left" w:pos="6804"/>
              </w:tabs>
              <w:spacing w:after="0"/>
              <w:ind w:right="-340"/>
              <w:rPr>
                <w:szCs w:val="24"/>
              </w:rPr>
            </w:pPr>
            <w:smartTag w:uri="urn:schemas-microsoft-com:office:smarttags" w:element="PersonName">
              <w:r w:rsidRPr="00392AE9">
                <w:rPr>
                  <w:szCs w:val="24"/>
                </w:rPr>
                <w:t xml:space="preserve">Ann Lisbet Brathaug </w:t>
              </w:r>
            </w:smartTag>
          </w:p>
        </w:tc>
        <w:tc>
          <w:tcPr>
            <w:tcW w:w="3260" w:type="dxa"/>
          </w:tcPr>
          <w:p w14:paraId="72A53722" w14:textId="77777777" w:rsidR="00536460" w:rsidRPr="00392AE9" w:rsidRDefault="00536460" w:rsidP="00795948">
            <w:pPr>
              <w:tabs>
                <w:tab w:val="left" w:pos="3119"/>
                <w:tab w:val="left" w:pos="6804"/>
              </w:tabs>
              <w:spacing w:after="0"/>
              <w:ind w:right="-340"/>
              <w:rPr>
                <w:szCs w:val="24"/>
              </w:rPr>
            </w:pPr>
            <w:smartTag w:uri="urn:schemas-microsoft-com:office:smarttags" w:element="PersonName">
              <w:r>
                <w:rPr>
                  <w:szCs w:val="24"/>
                </w:rPr>
                <w:t>Stein Gjerding</w:t>
              </w:r>
            </w:smartTag>
          </w:p>
        </w:tc>
        <w:tc>
          <w:tcPr>
            <w:tcW w:w="3119" w:type="dxa"/>
          </w:tcPr>
          <w:p w14:paraId="4740F788" w14:textId="77777777" w:rsidR="00536460" w:rsidRPr="00392AE9" w:rsidRDefault="00536460" w:rsidP="00795948">
            <w:pPr>
              <w:tabs>
                <w:tab w:val="left" w:pos="3119"/>
                <w:tab w:val="left" w:pos="6804"/>
              </w:tabs>
              <w:spacing w:after="0"/>
              <w:ind w:right="-340"/>
              <w:rPr>
                <w:szCs w:val="24"/>
              </w:rPr>
            </w:pPr>
            <w:r w:rsidRPr="00392AE9">
              <w:rPr>
                <w:szCs w:val="24"/>
              </w:rPr>
              <w:t>Ellen Horneland</w:t>
            </w:r>
            <w:r>
              <w:rPr>
                <w:szCs w:val="24"/>
              </w:rPr>
              <w:t xml:space="preserve"> </w:t>
            </w:r>
          </w:p>
        </w:tc>
      </w:tr>
      <w:tr w:rsidR="00536460" w:rsidRPr="00392AE9" w14:paraId="38B66FFA" w14:textId="77777777" w:rsidTr="0013476D">
        <w:tc>
          <w:tcPr>
            <w:tcW w:w="3614" w:type="dxa"/>
          </w:tcPr>
          <w:p w14:paraId="1572EA22" w14:textId="77777777" w:rsidR="00536460" w:rsidRPr="00392AE9" w:rsidRDefault="00536460" w:rsidP="00795948">
            <w:pPr>
              <w:tabs>
                <w:tab w:val="left" w:pos="3119"/>
                <w:tab w:val="left" w:pos="6804"/>
              </w:tabs>
              <w:spacing w:after="0"/>
              <w:ind w:right="-340"/>
              <w:rPr>
                <w:szCs w:val="24"/>
              </w:rPr>
            </w:pPr>
            <w:r w:rsidRPr="00392AE9">
              <w:rPr>
                <w:szCs w:val="24"/>
              </w:rPr>
              <w:t>Statistisk sentralbyrå</w:t>
            </w:r>
          </w:p>
        </w:tc>
        <w:tc>
          <w:tcPr>
            <w:tcW w:w="3260" w:type="dxa"/>
          </w:tcPr>
          <w:p w14:paraId="748CCB6D" w14:textId="77777777" w:rsidR="00536460" w:rsidRPr="00392AE9" w:rsidRDefault="00536460" w:rsidP="00795948">
            <w:pPr>
              <w:tabs>
                <w:tab w:val="left" w:pos="3119"/>
                <w:tab w:val="left" w:pos="6804"/>
              </w:tabs>
              <w:spacing w:after="0"/>
              <w:ind w:right="-340"/>
              <w:rPr>
                <w:szCs w:val="24"/>
              </w:rPr>
            </w:pPr>
            <w:r w:rsidRPr="00392AE9">
              <w:rPr>
                <w:szCs w:val="24"/>
              </w:rPr>
              <w:t xml:space="preserve">Arbeidsgiverforeningen </w:t>
            </w:r>
            <w:r>
              <w:rPr>
                <w:szCs w:val="24"/>
              </w:rPr>
              <w:t>Spekter</w:t>
            </w:r>
          </w:p>
        </w:tc>
        <w:tc>
          <w:tcPr>
            <w:tcW w:w="3119" w:type="dxa"/>
          </w:tcPr>
          <w:p w14:paraId="586513D3" w14:textId="77777777" w:rsidR="00536460" w:rsidRPr="00392AE9" w:rsidRDefault="00536460" w:rsidP="00795948">
            <w:pPr>
              <w:tabs>
                <w:tab w:val="left" w:pos="3119"/>
                <w:tab w:val="left" w:pos="6804"/>
              </w:tabs>
              <w:spacing w:after="0"/>
              <w:ind w:right="-340"/>
              <w:rPr>
                <w:szCs w:val="24"/>
              </w:rPr>
            </w:pPr>
            <w:r w:rsidRPr="00392AE9">
              <w:rPr>
                <w:szCs w:val="24"/>
              </w:rPr>
              <w:t>Landsorganisasjonen i Norge</w:t>
            </w:r>
          </w:p>
        </w:tc>
      </w:tr>
      <w:tr w:rsidR="00536460" w:rsidRPr="00392AE9" w14:paraId="7E9D0BBE" w14:textId="77777777" w:rsidTr="0013476D">
        <w:tc>
          <w:tcPr>
            <w:tcW w:w="3614" w:type="dxa"/>
          </w:tcPr>
          <w:p w14:paraId="49F299FE" w14:textId="77777777" w:rsidR="00536460" w:rsidRPr="00392AE9" w:rsidRDefault="00536460" w:rsidP="00795948">
            <w:pPr>
              <w:tabs>
                <w:tab w:val="left" w:pos="3119"/>
                <w:tab w:val="left" w:pos="6804"/>
              </w:tabs>
              <w:spacing w:after="0"/>
              <w:ind w:right="-340"/>
              <w:rPr>
                <w:szCs w:val="24"/>
              </w:rPr>
            </w:pPr>
          </w:p>
        </w:tc>
        <w:tc>
          <w:tcPr>
            <w:tcW w:w="3260" w:type="dxa"/>
          </w:tcPr>
          <w:p w14:paraId="7B0A8CBF" w14:textId="77777777" w:rsidR="00536460" w:rsidRPr="00392AE9" w:rsidRDefault="00536460" w:rsidP="00795948">
            <w:pPr>
              <w:tabs>
                <w:tab w:val="left" w:pos="3119"/>
                <w:tab w:val="left" w:pos="6804"/>
              </w:tabs>
              <w:spacing w:after="0"/>
              <w:ind w:right="-340"/>
              <w:rPr>
                <w:szCs w:val="24"/>
              </w:rPr>
            </w:pPr>
          </w:p>
        </w:tc>
        <w:tc>
          <w:tcPr>
            <w:tcW w:w="3119" w:type="dxa"/>
          </w:tcPr>
          <w:p w14:paraId="5EC675AB" w14:textId="77777777" w:rsidR="00536460" w:rsidRPr="00392AE9" w:rsidRDefault="00536460" w:rsidP="00795948">
            <w:pPr>
              <w:tabs>
                <w:tab w:val="left" w:pos="3119"/>
                <w:tab w:val="left" w:pos="6804"/>
              </w:tabs>
              <w:spacing w:after="0"/>
              <w:ind w:right="-340"/>
              <w:rPr>
                <w:szCs w:val="24"/>
              </w:rPr>
            </w:pPr>
          </w:p>
        </w:tc>
      </w:tr>
      <w:tr w:rsidR="00536460" w:rsidRPr="00392AE9" w14:paraId="3A7F71F9" w14:textId="77777777" w:rsidTr="0013476D">
        <w:tc>
          <w:tcPr>
            <w:tcW w:w="3614" w:type="dxa"/>
          </w:tcPr>
          <w:p w14:paraId="69D86411" w14:textId="77777777" w:rsidR="00536460" w:rsidRPr="00392AE9" w:rsidRDefault="00536460" w:rsidP="00795948">
            <w:pPr>
              <w:tabs>
                <w:tab w:val="left" w:pos="3119"/>
                <w:tab w:val="left" w:pos="6804"/>
              </w:tabs>
              <w:spacing w:after="0"/>
              <w:ind w:right="-340"/>
              <w:rPr>
                <w:szCs w:val="24"/>
              </w:rPr>
            </w:pPr>
            <w:smartTag w:uri="urn:schemas-microsoft-com:office:smarttags" w:element="PersonName">
              <w:r w:rsidRPr="00392AE9">
                <w:rPr>
                  <w:szCs w:val="24"/>
                </w:rPr>
                <w:t>Lars Haartveit</w:t>
              </w:r>
            </w:smartTag>
          </w:p>
        </w:tc>
        <w:tc>
          <w:tcPr>
            <w:tcW w:w="3260" w:type="dxa"/>
          </w:tcPr>
          <w:p w14:paraId="2D83DDAF" w14:textId="77777777" w:rsidR="00536460" w:rsidRPr="00392AE9" w:rsidRDefault="00536460" w:rsidP="00795948">
            <w:pPr>
              <w:tabs>
                <w:tab w:val="left" w:pos="3119"/>
                <w:tab w:val="left" w:pos="6804"/>
              </w:tabs>
              <w:spacing w:after="0"/>
              <w:ind w:right="-340"/>
              <w:rPr>
                <w:szCs w:val="24"/>
              </w:rPr>
            </w:pPr>
            <w:r>
              <w:rPr>
                <w:szCs w:val="24"/>
              </w:rPr>
              <w:t>Grete Jarnæs</w:t>
            </w:r>
            <w:r w:rsidRPr="00392AE9">
              <w:rPr>
                <w:szCs w:val="24"/>
              </w:rPr>
              <w:t xml:space="preserve"> </w:t>
            </w:r>
          </w:p>
        </w:tc>
        <w:tc>
          <w:tcPr>
            <w:tcW w:w="3119" w:type="dxa"/>
          </w:tcPr>
          <w:p w14:paraId="36DC3F91" w14:textId="77777777" w:rsidR="00536460" w:rsidRPr="00392AE9" w:rsidRDefault="00536460" w:rsidP="00795948">
            <w:pPr>
              <w:tabs>
                <w:tab w:val="left" w:pos="3119"/>
                <w:tab w:val="left" w:pos="6804"/>
              </w:tabs>
              <w:spacing w:after="0"/>
              <w:ind w:right="-340"/>
              <w:rPr>
                <w:szCs w:val="24"/>
              </w:rPr>
            </w:pPr>
            <w:r>
              <w:rPr>
                <w:szCs w:val="24"/>
              </w:rPr>
              <w:t>Torill Lødemel</w:t>
            </w:r>
          </w:p>
        </w:tc>
      </w:tr>
      <w:tr w:rsidR="00536460" w:rsidRPr="00392AE9" w14:paraId="537CBC28" w14:textId="77777777" w:rsidTr="0013476D">
        <w:tc>
          <w:tcPr>
            <w:tcW w:w="3614" w:type="dxa"/>
          </w:tcPr>
          <w:p w14:paraId="46441E32" w14:textId="77777777" w:rsidR="00536460" w:rsidRPr="00392AE9" w:rsidRDefault="00536460" w:rsidP="00795948">
            <w:pPr>
              <w:tabs>
                <w:tab w:val="left" w:pos="3119"/>
                <w:tab w:val="left" w:pos="6804"/>
              </w:tabs>
              <w:spacing w:after="0"/>
              <w:ind w:right="-340"/>
              <w:rPr>
                <w:szCs w:val="24"/>
              </w:rPr>
            </w:pPr>
            <w:r>
              <w:rPr>
                <w:szCs w:val="24"/>
              </w:rPr>
              <w:t>Hovedorganisasjonen Virke</w:t>
            </w:r>
          </w:p>
        </w:tc>
        <w:tc>
          <w:tcPr>
            <w:tcW w:w="3260" w:type="dxa"/>
          </w:tcPr>
          <w:p w14:paraId="3E473B9B" w14:textId="77777777" w:rsidR="00536460" w:rsidRPr="00392AE9" w:rsidRDefault="00536460" w:rsidP="00795948">
            <w:pPr>
              <w:tabs>
                <w:tab w:val="left" w:pos="3119"/>
                <w:tab w:val="left" w:pos="6804"/>
              </w:tabs>
              <w:spacing w:after="0"/>
              <w:ind w:right="-340"/>
              <w:rPr>
                <w:szCs w:val="24"/>
              </w:rPr>
            </w:pPr>
            <w:r>
              <w:rPr>
                <w:szCs w:val="24"/>
              </w:rPr>
              <w:t>Kommunal- og moderniserings</w:t>
            </w:r>
            <w:r w:rsidRPr="00392AE9">
              <w:rPr>
                <w:szCs w:val="24"/>
              </w:rPr>
              <w:t>departementet</w:t>
            </w:r>
          </w:p>
        </w:tc>
        <w:tc>
          <w:tcPr>
            <w:tcW w:w="3119" w:type="dxa"/>
          </w:tcPr>
          <w:p w14:paraId="4DC6822C" w14:textId="77777777" w:rsidR="00536460" w:rsidRPr="00392AE9" w:rsidRDefault="00536460" w:rsidP="00795948">
            <w:pPr>
              <w:tabs>
                <w:tab w:val="left" w:pos="3119"/>
                <w:tab w:val="left" w:pos="6804"/>
              </w:tabs>
              <w:spacing w:after="0"/>
              <w:ind w:right="-340"/>
              <w:rPr>
                <w:szCs w:val="24"/>
              </w:rPr>
            </w:pPr>
            <w:r w:rsidRPr="00392AE9">
              <w:rPr>
                <w:szCs w:val="24"/>
              </w:rPr>
              <w:t>Næringslivets Hoved</w:t>
            </w:r>
            <w:r w:rsidR="0013476D">
              <w:rPr>
                <w:szCs w:val="24"/>
              </w:rPr>
              <w:t>-</w:t>
            </w:r>
            <w:r w:rsidR="0013476D">
              <w:rPr>
                <w:szCs w:val="24"/>
              </w:rPr>
              <w:br/>
            </w:r>
            <w:r w:rsidRPr="00392AE9">
              <w:rPr>
                <w:szCs w:val="24"/>
              </w:rPr>
              <w:t>organisasjon</w:t>
            </w:r>
          </w:p>
        </w:tc>
      </w:tr>
      <w:tr w:rsidR="00536460" w:rsidRPr="00392AE9" w14:paraId="4318C145" w14:textId="77777777" w:rsidTr="0013476D">
        <w:tc>
          <w:tcPr>
            <w:tcW w:w="3614" w:type="dxa"/>
          </w:tcPr>
          <w:p w14:paraId="734B3321" w14:textId="77777777" w:rsidR="00536460" w:rsidRPr="00392AE9" w:rsidRDefault="00536460" w:rsidP="00795948">
            <w:pPr>
              <w:tabs>
                <w:tab w:val="left" w:pos="3119"/>
                <w:tab w:val="left" w:pos="6804"/>
              </w:tabs>
              <w:spacing w:after="0"/>
              <w:ind w:right="-340"/>
              <w:rPr>
                <w:szCs w:val="24"/>
              </w:rPr>
            </w:pPr>
          </w:p>
        </w:tc>
        <w:tc>
          <w:tcPr>
            <w:tcW w:w="3260" w:type="dxa"/>
          </w:tcPr>
          <w:p w14:paraId="26F568B5" w14:textId="77777777" w:rsidR="00536460" w:rsidRPr="00392AE9" w:rsidRDefault="00536460" w:rsidP="00795948">
            <w:pPr>
              <w:tabs>
                <w:tab w:val="left" w:pos="3119"/>
                <w:tab w:val="left" w:pos="6804"/>
              </w:tabs>
              <w:spacing w:after="0"/>
              <w:ind w:right="-340"/>
              <w:rPr>
                <w:szCs w:val="24"/>
              </w:rPr>
            </w:pPr>
          </w:p>
        </w:tc>
        <w:tc>
          <w:tcPr>
            <w:tcW w:w="3119" w:type="dxa"/>
          </w:tcPr>
          <w:p w14:paraId="2FBEBB00" w14:textId="77777777" w:rsidR="00536460" w:rsidRPr="00392AE9" w:rsidRDefault="00536460" w:rsidP="00795948">
            <w:pPr>
              <w:tabs>
                <w:tab w:val="left" w:pos="3119"/>
                <w:tab w:val="left" w:pos="6804"/>
              </w:tabs>
              <w:spacing w:after="0"/>
              <w:ind w:right="-340"/>
              <w:rPr>
                <w:szCs w:val="24"/>
              </w:rPr>
            </w:pPr>
          </w:p>
        </w:tc>
      </w:tr>
      <w:tr w:rsidR="00536460" w:rsidRPr="00392AE9" w14:paraId="7149CEF4" w14:textId="77777777" w:rsidTr="0013476D">
        <w:tc>
          <w:tcPr>
            <w:tcW w:w="3614" w:type="dxa"/>
          </w:tcPr>
          <w:p w14:paraId="27BB5ED7" w14:textId="77777777" w:rsidR="00536460" w:rsidRPr="00804D37" w:rsidRDefault="0013476D" w:rsidP="00795948">
            <w:pPr>
              <w:tabs>
                <w:tab w:val="left" w:pos="3119"/>
                <w:tab w:val="left" w:pos="6804"/>
              </w:tabs>
              <w:spacing w:after="0"/>
              <w:ind w:right="-340"/>
              <w:rPr>
                <w:szCs w:val="24"/>
                <w:lang w:val="nn-NO"/>
              </w:rPr>
            </w:pPr>
            <w:r w:rsidRPr="00804D37">
              <w:rPr>
                <w:szCs w:val="24"/>
                <w:lang w:val="nn-NO"/>
              </w:rPr>
              <w:t xml:space="preserve">Målfrid Bjærum for </w:t>
            </w:r>
            <w:r w:rsidR="00536460" w:rsidRPr="00804D37">
              <w:rPr>
                <w:szCs w:val="24"/>
                <w:lang w:val="nn-NO"/>
              </w:rPr>
              <w:t>Synnøve Nymo</w:t>
            </w:r>
          </w:p>
        </w:tc>
        <w:tc>
          <w:tcPr>
            <w:tcW w:w="3260" w:type="dxa"/>
          </w:tcPr>
          <w:p w14:paraId="5A3231B9" w14:textId="77777777" w:rsidR="00536460" w:rsidRPr="00392AE9" w:rsidRDefault="00536460" w:rsidP="00795948">
            <w:pPr>
              <w:tabs>
                <w:tab w:val="left" w:pos="3119"/>
                <w:tab w:val="left" w:pos="6804"/>
              </w:tabs>
              <w:spacing w:after="0"/>
              <w:ind w:right="-340"/>
              <w:rPr>
                <w:szCs w:val="24"/>
              </w:rPr>
            </w:pPr>
            <w:smartTag w:uri="urn:schemas-microsoft-com:office:smarttags" w:element="PersonName">
              <w:r w:rsidRPr="00392AE9">
                <w:rPr>
                  <w:szCs w:val="24"/>
                </w:rPr>
                <w:t>Erik Orskaug</w:t>
              </w:r>
            </w:smartTag>
          </w:p>
        </w:tc>
        <w:tc>
          <w:tcPr>
            <w:tcW w:w="3119" w:type="dxa"/>
          </w:tcPr>
          <w:p w14:paraId="52AA7B52" w14:textId="77777777" w:rsidR="00536460" w:rsidRPr="00392AE9" w:rsidRDefault="00536460" w:rsidP="00795948">
            <w:pPr>
              <w:tabs>
                <w:tab w:val="left" w:pos="3119"/>
                <w:tab w:val="left" w:pos="6804"/>
              </w:tabs>
              <w:spacing w:after="0"/>
              <w:ind w:right="-340"/>
              <w:rPr>
                <w:szCs w:val="24"/>
              </w:rPr>
            </w:pPr>
            <w:smartTag w:uri="urn:schemas-microsoft-com:office:smarttags" w:element="PersonName">
              <w:r w:rsidRPr="00392AE9">
                <w:rPr>
                  <w:szCs w:val="24"/>
                </w:rPr>
                <w:t>Stein Reegård</w:t>
              </w:r>
            </w:smartTag>
            <w:r w:rsidRPr="00392AE9">
              <w:rPr>
                <w:szCs w:val="24"/>
              </w:rPr>
              <w:tab/>
            </w:r>
          </w:p>
        </w:tc>
      </w:tr>
      <w:tr w:rsidR="00536460" w:rsidRPr="00392AE9" w14:paraId="37753BF3" w14:textId="77777777" w:rsidTr="0013476D">
        <w:tc>
          <w:tcPr>
            <w:tcW w:w="3614" w:type="dxa"/>
          </w:tcPr>
          <w:p w14:paraId="3795627F" w14:textId="77777777" w:rsidR="00536460" w:rsidRPr="00392AE9" w:rsidRDefault="00536460" w:rsidP="00795948">
            <w:pPr>
              <w:tabs>
                <w:tab w:val="left" w:pos="3119"/>
                <w:tab w:val="left" w:pos="6804"/>
              </w:tabs>
              <w:spacing w:after="0"/>
              <w:ind w:right="-340"/>
              <w:rPr>
                <w:szCs w:val="24"/>
              </w:rPr>
            </w:pPr>
            <w:r w:rsidRPr="00392AE9">
              <w:rPr>
                <w:szCs w:val="24"/>
              </w:rPr>
              <w:t>Arbeids</w:t>
            </w:r>
            <w:r>
              <w:rPr>
                <w:szCs w:val="24"/>
              </w:rPr>
              <w:t>- og sosial</w:t>
            </w:r>
            <w:r w:rsidRPr="00392AE9">
              <w:rPr>
                <w:szCs w:val="24"/>
              </w:rPr>
              <w:t>departementet</w:t>
            </w:r>
          </w:p>
        </w:tc>
        <w:tc>
          <w:tcPr>
            <w:tcW w:w="3260" w:type="dxa"/>
          </w:tcPr>
          <w:p w14:paraId="78F085B7" w14:textId="77777777" w:rsidR="00536460" w:rsidRPr="00392AE9" w:rsidRDefault="00536460" w:rsidP="00795948">
            <w:pPr>
              <w:tabs>
                <w:tab w:val="left" w:pos="3119"/>
                <w:tab w:val="left" w:pos="6804"/>
              </w:tabs>
              <w:spacing w:after="0"/>
              <w:ind w:right="-340"/>
              <w:rPr>
                <w:szCs w:val="24"/>
              </w:rPr>
            </w:pPr>
            <w:r w:rsidRPr="00392AE9">
              <w:rPr>
                <w:szCs w:val="24"/>
              </w:rPr>
              <w:t>Unio</w:t>
            </w:r>
          </w:p>
        </w:tc>
        <w:tc>
          <w:tcPr>
            <w:tcW w:w="3119" w:type="dxa"/>
          </w:tcPr>
          <w:p w14:paraId="3E46A6AE" w14:textId="77777777" w:rsidR="00536460" w:rsidRPr="00392AE9" w:rsidRDefault="00536460" w:rsidP="00795948">
            <w:pPr>
              <w:tabs>
                <w:tab w:val="left" w:pos="3119"/>
                <w:tab w:val="left" w:pos="6804"/>
              </w:tabs>
              <w:spacing w:after="0"/>
              <w:ind w:right="-340"/>
              <w:rPr>
                <w:szCs w:val="24"/>
              </w:rPr>
            </w:pPr>
            <w:r w:rsidRPr="00392AE9">
              <w:rPr>
                <w:szCs w:val="24"/>
              </w:rPr>
              <w:t>Landsorganisasjonen i Norge</w:t>
            </w:r>
          </w:p>
        </w:tc>
      </w:tr>
      <w:tr w:rsidR="00536460" w:rsidRPr="00392AE9" w14:paraId="0175D7BE" w14:textId="77777777" w:rsidTr="0013476D">
        <w:tc>
          <w:tcPr>
            <w:tcW w:w="3614" w:type="dxa"/>
          </w:tcPr>
          <w:p w14:paraId="2789B1D8" w14:textId="77777777" w:rsidR="00536460" w:rsidRPr="00392AE9" w:rsidRDefault="00536460" w:rsidP="00795948">
            <w:pPr>
              <w:tabs>
                <w:tab w:val="left" w:pos="3119"/>
                <w:tab w:val="left" w:pos="6804"/>
              </w:tabs>
              <w:spacing w:after="0"/>
              <w:ind w:right="-340"/>
              <w:rPr>
                <w:szCs w:val="24"/>
              </w:rPr>
            </w:pPr>
          </w:p>
        </w:tc>
        <w:tc>
          <w:tcPr>
            <w:tcW w:w="3260" w:type="dxa"/>
          </w:tcPr>
          <w:p w14:paraId="687879C4" w14:textId="77777777" w:rsidR="00536460" w:rsidRPr="00392AE9" w:rsidRDefault="00536460" w:rsidP="00795948">
            <w:pPr>
              <w:tabs>
                <w:tab w:val="left" w:pos="3119"/>
                <w:tab w:val="left" w:pos="6804"/>
              </w:tabs>
              <w:spacing w:after="0"/>
              <w:ind w:right="-340"/>
              <w:rPr>
                <w:szCs w:val="24"/>
              </w:rPr>
            </w:pPr>
          </w:p>
        </w:tc>
        <w:tc>
          <w:tcPr>
            <w:tcW w:w="3119" w:type="dxa"/>
          </w:tcPr>
          <w:p w14:paraId="70E44D49" w14:textId="77777777" w:rsidR="00536460" w:rsidRPr="00392AE9" w:rsidRDefault="00536460" w:rsidP="00795948">
            <w:pPr>
              <w:tabs>
                <w:tab w:val="left" w:pos="3119"/>
                <w:tab w:val="left" w:pos="6804"/>
              </w:tabs>
              <w:spacing w:after="0"/>
              <w:ind w:right="-340"/>
              <w:rPr>
                <w:szCs w:val="24"/>
              </w:rPr>
            </w:pPr>
          </w:p>
        </w:tc>
      </w:tr>
      <w:tr w:rsidR="00536460" w:rsidRPr="00392AE9" w14:paraId="7C7D3186" w14:textId="77777777" w:rsidTr="0013476D">
        <w:tc>
          <w:tcPr>
            <w:tcW w:w="3614" w:type="dxa"/>
          </w:tcPr>
          <w:p w14:paraId="20E24EFF" w14:textId="77777777" w:rsidR="00536460" w:rsidRPr="00392AE9" w:rsidRDefault="00536460" w:rsidP="00795948">
            <w:pPr>
              <w:tabs>
                <w:tab w:val="left" w:pos="3119"/>
                <w:tab w:val="left" w:pos="6804"/>
              </w:tabs>
              <w:spacing w:after="0"/>
              <w:ind w:right="-340"/>
              <w:rPr>
                <w:szCs w:val="24"/>
              </w:rPr>
            </w:pPr>
            <w:r>
              <w:rPr>
                <w:szCs w:val="24"/>
              </w:rPr>
              <w:t>Helle Stensbak</w:t>
            </w:r>
            <w:r w:rsidRPr="00392AE9">
              <w:rPr>
                <w:szCs w:val="24"/>
              </w:rPr>
              <w:t xml:space="preserve"> </w:t>
            </w:r>
          </w:p>
        </w:tc>
        <w:tc>
          <w:tcPr>
            <w:tcW w:w="3260" w:type="dxa"/>
          </w:tcPr>
          <w:p w14:paraId="24FD3E3E" w14:textId="77777777" w:rsidR="00536460" w:rsidRPr="00392AE9" w:rsidRDefault="00536460" w:rsidP="00795948">
            <w:pPr>
              <w:tabs>
                <w:tab w:val="left" w:pos="3119"/>
                <w:tab w:val="left" w:pos="6804"/>
              </w:tabs>
              <w:spacing w:after="0"/>
              <w:ind w:right="-340"/>
              <w:rPr>
                <w:szCs w:val="24"/>
              </w:rPr>
            </w:pPr>
            <w:r w:rsidRPr="00392AE9">
              <w:rPr>
                <w:szCs w:val="24"/>
              </w:rPr>
              <w:t xml:space="preserve">Tove Storrødvann </w:t>
            </w:r>
          </w:p>
        </w:tc>
        <w:tc>
          <w:tcPr>
            <w:tcW w:w="3119" w:type="dxa"/>
          </w:tcPr>
          <w:p w14:paraId="224998F2" w14:textId="77777777" w:rsidR="00536460" w:rsidRPr="00392AE9" w:rsidRDefault="00536460" w:rsidP="00795948">
            <w:pPr>
              <w:tabs>
                <w:tab w:val="left" w:pos="3119"/>
                <w:tab w:val="left" w:pos="6804"/>
              </w:tabs>
              <w:spacing w:after="0"/>
              <w:ind w:right="-340"/>
              <w:rPr>
                <w:szCs w:val="24"/>
                <w:lang w:val="en-GB"/>
              </w:rPr>
            </w:pPr>
            <w:r w:rsidRPr="00392AE9">
              <w:rPr>
                <w:szCs w:val="24"/>
              </w:rPr>
              <w:t xml:space="preserve">Per Kristian </w:t>
            </w:r>
            <w:r w:rsidRPr="00392AE9">
              <w:rPr>
                <w:szCs w:val="24"/>
                <w:lang w:val="en-GB"/>
              </w:rPr>
              <w:t>Sundnes</w:t>
            </w:r>
          </w:p>
        </w:tc>
      </w:tr>
      <w:tr w:rsidR="00536460" w:rsidRPr="00392AE9" w14:paraId="016AD432" w14:textId="77777777" w:rsidTr="0013476D">
        <w:tc>
          <w:tcPr>
            <w:tcW w:w="3614" w:type="dxa"/>
          </w:tcPr>
          <w:p w14:paraId="69E1CD50" w14:textId="77777777" w:rsidR="00536460" w:rsidRPr="00392AE9" w:rsidRDefault="00536460" w:rsidP="00795948">
            <w:pPr>
              <w:tabs>
                <w:tab w:val="left" w:pos="3119"/>
                <w:tab w:val="left" w:pos="6804"/>
              </w:tabs>
              <w:spacing w:after="0"/>
              <w:ind w:right="-70"/>
              <w:rPr>
                <w:szCs w:val="24"/>
              </w:rPr>
            </w:pPr>
            <w:r w:rsidRPr="00392AE9">
              <w:rPr>
                <w:szCs w:val="24"/>
              </w:rPr>
              <w:t>Yrkesorganisasjonenes Sentralforbund</w:t>
            </w:r>
          </w:p>
        </w:tc>
        <w:tc>
          <w:tcPr>
            <w:tcW w:w="3260" w:type="dxa"/>
          </w:tcPr>
          <w:p w14:paraId="168E6063" w14:textId="77777777" w:rsidR="00536460" w:rsidRPr="00392AE9" w:rsidRDefault="00536460" w:rsidP="00795948">
            <w:pPr>
              <w:tabs>
                <w:tab w:val="left" w:pos="3119"/>
                <w:tab w:val="left" w:pos="6804"/>
              </w:tabs>
              <w:spacing w:after="0"/>
              <w:ind w:right="-340"/>
              <w:rPr>
                <w:szCs w:val="24"/>
              </w:rPr>
            </w:pPr>
            <w:r w:rsidRPr="00392AE9">
              <w:rPr>
                <w:szCs w:val="24"/>
              </w:rPr>
              <w:t>Akademikerne</w:t>
            </w:r>
          </w:p>
        </w:tc>
        <w:tc>
          <w:tcPr>
            <w:tcW w:w="3119" w:type="dxa"/>
          </w:tcPr>
          <w:p w14:paraId="6F148623" w14:textId="77777777" w:rsidR="00536460" w:rsidRPr="00392AE9" w:rsidRDefault="00536460" w:rsidP="00795948">
            <w:pPr>
              <w:tabs>
                <w:tab w:val="left" w:pos="3119"/>
                <w:tab w:val="left" w:pos="6804"/>
              </w:tabs>
              <w:spacing w:after="0"/>
              <w:ind w:right="-340"/>
              <w:rPr>
                <w:szCs w:val="24"/>
              </w:rPr>
            </w:pPr>
            <w:r w:rsidRPr="00392AE9">
              <w:rPr>
                <w:szCs w:val="24"/>
              </w:rPr>
              <w:t>KS</w:t>
            </w:r>
          </w:p>
        </w:tc>
      </w:tr>
      <w:tr w:rsidR="00536460" w:rsidRPr="00392AE9" w14:paraId="6283A412" w14:textId="77777777" w:rsidTr="0013476D">
        <w:tc>
          <w:tcPr>
            <w:tcW w:w="3614" w:type="dxa"/>
          </w:tcPr>
          <w:p w14:paraId="7A5B2FCB" w14:textId="77777777" w:rsidR="00536460" w:rsidRPr="00392AE9" w:rsidRDefault="00536460" w:rsidP="00795948">
            <w:pPr>
              <w:tabs>
                <w:tab w:val="left" w:pos="3119"/>
                <w:tab w:val="left" w:pos="6804"/>
              </w:tabs>
              <w:spacing w:after="0"/>
              <w:ind w:right="-70"/>
              <w:rPr>
                <w:szCs w:val="24"/>
              </w:rPr>
            </w:pPr>
          </w:p>
        </w:tc>
        <w:tc>
          <w:tcPr>
            <w:tcW w:w="3260" w:type="dxa"/>
          </w:tcPr>
          <w:p w14:paraId="17457057" w14:textId="77777777" w:rsidR="00536460" w:rsidRPr="00392AE9" w:rsidRDefault="00536460" w:rsidP="00795948">
            <w:pPr>
              <w:tabs>
                <w:tab w:val="left" w:pos="3119"/>
                <w:tab w:val="left" w:pos="6804"/>
              </w:tabs>
              <w:spacing w:after="0"/>
              <w:ind w:right="-340"/>
              <w:rPr>
                <w:szCs w:val="24"/>
              </w:rPr>
            </w:pPr>
          </w:p>
        </w:tc>
        <w:tc>
          <w:tcPr>
            <w:tcW w:w="3119" w:type="dxa"/>
          </w:tcPr>
          <w:p w14:paraId="5DF386B5" w14:textId="77777777" w:rsidR="00536460" w:rsidRPr="00392AE9" w:rsidRDefault="00536460" w:rsidP="00795948">
            <w:pPr>
              <w:tabs>
                <w:tab w:val="left" w:pos="3119"/>
                <w:tab w:val="left" w:pos="6804"/>
              </w:tabs>
              <w:spacing w:after="0"/>
              <w:ind w:right="-340"/>
              <w:rPr>
                <w:szCs w:val="24"/>
              </w:rPr>
            </w:pPr>
          </w:p>
        </w:tc>
      </w:tr>
      <w:tr w:rsidR="00536460" w:rsidRPr="00392AE9" w14:paraId="4DBC7F31" w14:textId="77777777" w:rsidTr="0013476D">
        <w:tc>
          <w:tcPr>
            <w:tcW w:w="3614" w:type="dxa"/>
          </w:tcPr>
          <w:p w14:paraId="6F3A29F7" w14:textId="77777777" w:rsidR="00536460" w:rsidRPr="00392AE9" w:rsidRDefault="00536460" w:rsidP="00795948">
            <w:pPr>
              <w:tabs>
                <w:tab w:val="left" w:pos="3119"/>
                <w:tab w:val="left" w:pos="6804"/>
              </w:tabs>
              <w:spacing w:after="0"/>
              <w:ind w:right="-340"/>
              <w:rPr>
                <w:szCs w:val="24"/>
              </w:rPr>
            </w:pPr>
            <w:r>
              <w:rPr>
                <w:szCs w:val="24"/>
              </w:rPr>
              <w:t>Yngvar Tveit</w:t>
            </w:r>
          </w:p>
        </w:tc>
        <w:tc>
          <w:tcPr>
            <w:tcW w:w="3260" w:type="dxa"/>
          </w:tcPr>
          <w:p w14:paraId="2568EA5C" w14:textId="77777777" w:rsidR="00536460" w:rsidRPr="00392AE9" w:rsidRDefault="00536460" w:rsidP="00795948">
            <w:pPr>
              <w:tabs>
                <w:tab w:val="left" w:pos="3119"/>
                <w:tab w:val="left" w:pos="6804"/>
              </w:tabs>
              <w:spacing w:after="0"/>
              <w:ind w:right="-340"/>
              <w:rPr>
                <w:szCs w:val="24"/>
              </w:rPr>
            </w:pPr>
          </w:p>
        </w:tc>
        <w:tc>
          <w:tcPr>
            <w:tcW w:w="3119" w:type="dxa"/>
          </w:tcPr>
          <w:p w14:paraId="44F38830" w14:textId="77777777" w:rsidR="00536460" w:rsidRPr="00392AE9" w:rsidRDefault="00536460" w:rsidP="00795948">
            <w:pPr>
              <w:tabs>
                <w:tab w:val="left" w:pos="3119"/>
                <w:tab w:val="left" w:pos="6804"/>
              </w:tabs>
              <w:spacing w:after="0"/>
              <w:ind w:right="-340"/>
              <w:rPr>
                <w:szCs w:val="24"/>
              </w:rPr>
            </w:pPr>
          </w:p>
        </w:tc>
      </w:tr>
      <w:tr w:rsidR="00536460" w:rsidRPr="00392AE9" w14:paraId="3BD5C055" w14:textId="77777777" w:rsidTr="0013476D">
        <w:tc>
          <w:tcPr>
            <w:tcW w:w="3614" w:type="dxa"/>
          </w:tcPr>
          <w:p w14:paraId="536847E7" w14:textId="77777777" w:rsidR="00536460" w:rsidRPr="00392AE9" w:rsidRDefault="00536460" w:rsidP="00795948">
            <w:pPr>
              <w:tabs>
                <w:tab w:val="left" w:pos="3119"/>
                <w:tab w:val="left" w:pos="6804"/>
              </w:tabs>
              <w:spacing w:after="0"/>
              <w:ind w:right="-340"/>
              <w:rPr>
                <w:szCs w:val="24"/>
              </w:rPr>
            </w:pPr>
            <w:r w:rsidRPr="00392AE9">
              <w:rPr>
                <w:szCs w:val="24"/>
              </w:rPr>
              <w:t>Finansdepartementet</w:t>
            </w:r>
          </w:p>
        </w:tc>
        <w:tc>
          <w:tcPr>
            <w:tcW w:w="3260" w:type="dxa"/>
          </w:tcPr>
          <w:p w14:paraId="629B3F3C" w14:textId="77777777" w:rsidR="00536460" w:rsidRPr="00392AE9" w:rsidRDefault="00536460" w:rsidP="00795948">
            <w:pPr>
              <w:tabs>
                <w:tab w:val="left" w:pos="3119"/>
                <w:tab w:val="left" w:pos="6804"/>
              </w:tabs>
              <w:spacing w:after="0"/>
              <w:ind w:right="-340"/>
              <w:rPr>
                <w:szCs w:val="24"/>
              </w:rPr>
            </w:pPr>
          </w:p>
        </w:tc>
        <w:tc>
          <w:tcPr>
            <w:tcW w:w="3119" w:type="dxa"/>
          </w:tcPr>
          <w:p w14:paraId="78D5C439" w14:textId="77777777" w:rsidR="00536460" w:rsidRPr="00392AE9" w:rsidRDefault="00536460" w:rsidP="00795948">
            <w:pPr>
              <w:tabs>
                <w:tab w:val="left" w:pos="3119"/>
                <w:tab w:val="left" w:pos="6804"/>
              </w:tabs>
              <w:spacing w:after="0"/>
              <w:ind w:right="-70"/>
              <w:rPr>
                <w:szCs w:val="24"/>
              </w:rPr>
            </w:pPr>
          </w:p>
        </w:tc>
      </w:tr>
      <w:tr w:rsidR="00536460" w:rsidRPr="00392AE9" w14:paraId="27CD8657" w14:textId="77777777" w:rsidTr="0013476D">
        <w:tc>
          <w:tcPr>
            <w:tcW w:w="3614" w:type="dxa"/>
          </w:tcPr>
          <w:p w14:paraId="12406003" w14:textId="77777777" w:rsidR="00536460" w:rsidRPr="00392AE9" w:rsidRDefault="00536460" w:rsidP="00795948">
            <w:pPr>
              <w:tabs>
                <w:tab w:val="left" w:pos="3119"/>
                <w:tab w:val="left" w:pos="6804"/>
              </w:tabs>
              <w:spacing w:after="0"/>
              <w:ind w:right="-340"/>
              <w:rPr>
                <w:szCs w:val="24"/>
              </w:rPr>
            </w:pPr>
          </w:p>
        </w:tc>
        <w:tc>
          <w:tcPr>
            <w:tcW w:w="3260" w:type="dxa"/>
          </w:tcPr>
          <w:p w14:paraId="4AB0127B" w14:textId="77777777" w:rsidR="00536460" w:rsidRPr="00392AE9" w:rsidRDefault="00536460" w:rsidP="00795948">
            <w:pPr>
              <w:tabs>
                <w:tab w:val="left" w:pos="3119"/>
                <w:tab w:val="left" w:pos="6804"/>
              </w:tabs>
              <w:spacing w:after="0"/>
              <w:ind w:right="-340"/>
              <w:rPr>
                <w:szCs w:val="24"/>
              </w:rPr>
            </w:pPr>
          </w:p>
        </w:tc>
        <w:tc>
          <w:tcPr>
            <w:tcW w:w="3119" w:type="dxa"/>
          </w:tcPr>
          <w:p w14:paraId="5FC1C5C8" w14:textId="77777777" w:rsidR="00536460" w:rsidRPr="00392AE9" w:rsidRDefault="00536460" w:rsidP="00795948">
            <w:pPr>
              <w:tabs>
                <w:tab w:val="left" w:pos="3119"/>
                <w:tab w:val="left" w:pos="6804"/>
              </w:tabs>
              <w:spacing w:after="0"/>
              <w:ind w:right="-340"/>
              <w:rPr>
                <w:szCs w:val="24"/>
              </w:rPr>
            </w:pPr>
          </w:p>
        </w:tc>
      </w:tr>
    </w:tbl>
    <w:p w14:paraId="12A774AD" w14:textId="77777777" w:rsidR="00536460" w:rsidRDefault="00536460" w:rsidP="00536460">
      <w:pPr>
        <w:tabs>
          <w:tab w:val="left" w:pos="3119"/>
          <w:tab w:val="left" w:pos="6804"/>
        </w:tabs>
        <w:ind w:right="-341"/>
        <w:rPr>
          <w:lang w:val="en-GB"/>
        </w:rPr>
      </w:pPr>
      <w:r>
        <w:rPr>
          <w:u w:val="single"/>
          <w:lang w:val="en-GB"/>
        </w:rPr>
        <w:tab/>
      </w:r>
      <w:r>
        <w:rPr>
          <w:lang w:val="en-GB"/>
        </w:rPr>
        <w:tab/>
      </w:r>
    </w:p>
    <w:p w14:paraId="3D33C5BF" w14:textId="77777777" w:rsidR="00536460" w:rsidRDefault="00536460" w:rsidP="00536460">
      <w:pPr>
        <w:spacing w:after="0"/>
        <w:ind w:right="-341"/>
      </w:pPr>
      <w:r>
        <w:t>Tormod Belgum, Arbeids- og sosialdepartementet, sekretariatsleder</w:t>
      </w:r>
    </w:p>
    <w:p w14:paraId="0636135F" w14:textId="77777777" w:rsidR="00536460" w:rsidRDefault="00536460" w:rsidP="00EA0201">
      <w:pPr>
        <w:spacing w:after="0"/>
        <w:ind w:right="-341"/>
      </w:pPr>
      <w:r>
        <w:t>Ragnhild Nersten, Arbeids- og sosialdepartementet</w:t>
      </w:r>
    </w:p>
    <w:p w14:paraId="6391D4F6" w14:textId="77777777" w:rsidR="00536460" w:rsidRDefault="00536460" w:rsidP="00EA0201">
      <w:pPr>
        <w:spacing w:after="0"/>
        <w:ind w:right="-341"/>
      </w:pPr>
      <w:r>
        <w:t>Agnes Marie Simensen, Arbeids- og sosialdepartementet</w:t>
      </w:r>
    </w:p>
    <w:p w14:paraId="6CA3DD12" w14:textId="77777777" w:rsidR="00536460" w:rsidRDefault="00536460" w:rsidP="00536460">
      <w:pPr>
        <w:spacing w:after="0"/>
        <w:ind w:right="-341"/>
      </w:pPr>
      <w:r>
        <w:t>Runar Aksnes, Finansdepartementet</w:t>
      </w:r>
    </w:p>
    <w:p w14:paraId="6564F778" w14:textId="77777777" w:rsidR="00536460" w:rsidRDefault="00536460" w:rsidP="00EA0201">
      <w:pPr>
        <w:spacing w:after="0"/>
        <w:ind w:right="-341"/>
      </w:pPr>
      <w:r>
        <w:t>Brynjar Indahl, Finansdepartementet</w:t>
      </w:r>
    </w:p>
    <w:p w14:paraId="6D76A137" w14:textId="77777777" w:rsidR="00536460" w:rsidRDefault="00536460" w:rsidP="00EA0201">
      <w:pPr>
        <w:spacing w:after="0"/>
        <w:ind w:right="-341"/>
      </w:pPr>
      <w:r>
        <w:t>Alma Kajtaz, Finansdepartementet</w:t>
      </w:r>
    </w:p>
    <w:p w14:paraId="7B13A706" w14:textId="77777777" w:rsidR="00536460" w:rsidRDefault="00536460" w:rsidP="00EA0201">
      <w:pPr>
        <w:spacing w:after="0"/>
        <w:ind w:right="-341"/>
      </w:pPr>
      <w:r>
        <w:t>Torbjørn Eika, Statistisk sentralbyrå</w:t>
      </w:r>
    </w:p>
    <w:p w14:paraId="3BFB8EAF" w14:textId="77777777" w:rsidR="00536460" w:rsidRDefault="00536460" w:rsidP="00EA0201">
      <w:pPr>
        <w:spacing w:after="0"/>
        <w:ind w:right="-341"/>
      </w:pPr>
      <w:r>
        <w:t>Harald Lunde, Statistisk sentralbyrå</w:t>
      </w:r>
    </w:p>
    <w:p w14:paraId="3C9DB301" w14:textId="77777777" w:rsidR="00536460" w:rsidRDefault="00536460" w:rsidP="00EA0201">
      <w:pPr>
        <w:spacing w:after="0"/>
        <w:ind w:right="-341"/>
      </w:pPr>
      <w:r>
        <w:t>Victoria Sparrman, Statistisk sentralbyrå</w:t>
      </w:r>
    </w:p>
    <w:p w14:paraId="08E908A1" w14:textId="77777777" w:rsidR="00536460" w:rsidRDefault="00536460" w:rsidP="00EA0201">
      <w:pPr>
        <w:spacing w:after="0"/>
        <w:ind w:right="-341"/>
      </w:pPr>
      <w:r>
        <w:br/>
      </w:r>
    </w:p>
    <w:p w14:paraId="6EFCC51A" w14:textId="77777777" w:rsidR="00536D17" w:rsidRPr="00221E39" w:rsidRDefault="00536460" w:rsidP="00EA0201">
      <w:pPr>
        <w:spacing w:after="0"/>
        <w:ind w:right="-341"/>
      </w:pPr>
      <w:r>
        <w:br w:type="page"/>
      </w:r>
    </w:p>
    <w:p w14:paraId="7222749F" w14:textId="77777777" w:rsidR="003A10FC" w:rsidRPr="003A10FC" w:rsidRDefault="003A10FC" w:rsidP="00EA0201">
      <w:pPr>
        <w:spacing w:after="0"/>
        <w:ind w:right="-341"/>
      </w:pPr>
    </w:p>
    <w:bookmarkStart w:id="8" w:name="_Toc296427211" w:displacedByCustomXml="next"/>
    <w:bookmarkStart w:id="9" w:name="_Toc289722982" w:displacedByCustomXml="next"/>
    <w:bookmarkStart w:id="10" w:name="_Toc286075247" w:displacedByCustomXml="next"/>
    <w:bookmarkStart w:id="11" w:name="_Toc286074998" w:displacedByCustomXml="next"/>
    <w:bookmarkStart w:id="12" w:name="_Toc286073354" w:displacedByCustomXml="next"/>
    <w:bookmarkStart w:id="13" w:name="_Toc226010291" w:displacedByCustomXml="next"/>
    <w:bookmarkStart w:id="14" w:name="_Toc225769826" w:displacedByCustomXml="next"/>
    <w:bookmarkStart w:id="15" w:name="_Toc225769700" w:displacedByCustomXml="next"/>
    <w:bookmarkStart w:id="16" w:name="_Toc96946804" w:displacedByCustomXml="next"/>
    <w:bookmarkStart w:id="17" w:name="_Toc96946579" w:displacedByCustomXml="next"/>
    <w:bookmarkStart w:id="18" w:name="_Toc96946409" w:displacedByCustomXml="next"/>
    <w:bookmarkStart w:id="19" w:name="_Toc320820652" w:displacedByCustomXml="next"/>
    <w:bookmarkStart w:id="20" w:name="_Toc286076959" w:displacedByCustomXml="next"/>
    <w:sdt>
      <w:sdtPr>
        <w:rPr>
          <w:rFonts w:ascii="Times" w:eastAsia="Batang" w:hAnsi="Times" w:cs="Times New Roman"/>
          <w:b w:val="0"/>
          <w:bCs w:val="0"/>
          <w:caps/>
          <w:color w:val="auto"/>
          <w:kern w:val="0"/>
          <w:sz w:val="24"/>
          <w:szCs w:val="20"/>
        </w:rPr>
        <w:id w:val="13956409"/>
        <w:docPartObj>
          <w:docPartGallery w:val="Table of Contents"/>
          <w:docPartUnique/>
        </w:docPartObj>
      </w:sdtPr>
      <w:sdtEndPr>
        <w:rPr>
          <w:rFonts w:ascii="Arial" w:hAnsi="Arial"/>
          <w:b/>
        </w:rPr>
      </w:sdtEndPr>
      <w:sdtContent>
        <w:p w14:paraId="2EE0F378" w14:textId="77777777" w:rsidR="00462B43" w:rsidRDefault="00462B43">
          <w:pPr>
            <w:pStyle w:val="Overskriftforinnholdsfortegnelse"/>
          </w:pPr>
          <w:r>
            <w:t>Innholdsfortegnelse</w:t>
          </w:r>
        </w:p>
        <w:p w14:paraId="61956D00" w14:textId="77777777" w:rsidR="00FB659E" w:rsidRDefault="00E256ED">
          <w:pPr>
            <w:pStyle w:val="INNH1"/>
            <w:rPr>
              <w:rFonts w:asciiTheme="minorHAnsi" w:eastAsiaTheme="minorEastAsia" w:hAnsiTheme="minorHAnsi" w:cstheme="minorBidi"/>
              <w:b w:val="0"/>
              <w:caps w:val="0"/>
              <w:noProof/>
              <w:sz w:val="22"/>
              <w:szCs w:val="22"/>
            </w:rPr>
          </w:pPr>
          <w:r>
            <w:fldChar w:fldCharType="begin"/>
          </w:r>
          <w:r w:rsidR="00462B43">
            <w:instrText xml:space="preserve"> TOC \o "1-3" \h \z \u </w:instrText>
          </w:r>
          <w:r>
            <w:fldChar w:fldCharType="separate"/>
          </w:r>
          <w:hyperlink w:anchor="_Toc422226809" w:history="1">
            <w:r w:rsidR="00FB659E" w:rsidRPr="00BF0226">
              <w:rPr>
                <w:rStyle w:val="Hyperkobling"/>
                <w:noProof/>
              </w:rPr>
              <w:t>Forord</w:t>
            </w:r>
            <w:r w:rsidR="00FB659E">
              <w:rPr>
                <w:noProof/>
                <w:webHidden/>
              </w:rPr>
              <w:tab/>
            </w:r>
            <w:r w:rsidR="00FB659E">
              <w:rPr>
                <w:noProof/>
                <w:webHidden/>
              </w:rPr>
              <w:fldChar w:fldCharType="begin"/>
            </w:r>
            <w:r w:rsidR="00FB659E">
              <w:rPr>
                <w:noProof/>
                <w:webHidden/>
              </w:rPr>
              <w:instrText xml:space="preserve"> PAGEREF _Toc422226809 \h </w:instrText>
            </w:r>
            <w:r w:rsidR="00FB659E">
              <w:rPr>
                <w:noProof/>
                <w:webHidden/>
              </w:rPr>
            </w:r>
            <w:r w:rsidR="00FB659E">
              <w:rPr>
                <w:noProof/>
                <w:webHidden/>
              </w:rPr>
              <w:fldChar w:fldCharType="separate"/>
            </w:r>
            <w:r w:rsidR="004A5B77">
              <w:rPr>
                <w:noProof/>
                <w:webHidden/>
              </w:rPr>
              <w:t>2</w:t>
            </w:r>
            <w:r w:rsidR="00FB659E">
              <w:rPr>
                <w:noProof/>
                <w:webHidden/>
              </w:rPr>
              <w:fldChar w:fldCharType="end"/>
            </w:r>
          </w:hyperlink>
        </w:p>
        <w:p w14:paraId="3C838EB6" w14:textId="77777777" w:rsidR="00FB659E" w:rsidRDefault="009C4B1A">
          <w:pPr>
            <w:pStyle w:val="INNH1"/>
            <w:tabs>
              <w:tab w:val="left" w:pos="400"/>
            </w:tabs>
            <w:rPr>
              <w:rFonts w:asciiTheme="minorHAnsi" w:eastAsiaTheme="minorEastAsia" w:hAnsiTheme="minorHAnsi" w:cstheme="minorBidi"/>
              <w:b w:val="0"/>
              <w:caps w:val="0"/>
              <w:noProof/>
              <w:sz w:val="22"/>
              <w:szCs w:val="22"/>
            </w:rPr>
          </w:pPr>
          <w:hyperlink w:anchor="_Toc422226810" w:history="1">
            <w:r w:rsidR="00FB659E" w:rsidRPr="00BF0226">
              <w:rPr>
                <w:rStyle w:val="Hyperkobling"/>
                <w:noProof/>
              </w:rPr>
              <w:t>1</w:t>
            </w:r>
            <w:r w:rsidR="00FB659E">
              <w:rPr>
                <w:rFonts w:asciiTheme="minorHAnsi" w:eastAsiaTheme="minorEastAsia" w:hAnsiTheme="minorHAnsi" w:cstheme="minorBidi"/>
                <w:b w:val="0"/>
                <w:caps w:val="0"/>
                <w:noProof/>
                <w:sz w:val="22"/>
                <w:szCs w:val="22"/>
              </w:rPr>
              <w:tab/>
            </w:r>
            <w:r w:rsidR="00FB659E" w:rsidRPr="00BF0226">
              <w:rPr>
                <w:rStyle w:val="Hyperkobling"/>
                <w:noProof/>
              </w:rPr>
              <w:t>Lønnsutviklingen i senere år</w:t>
            </w:r>
            <w:r w:rsidR="00FB659E">
              <w:rPr>
                <w:noProof/>
                <w:webHidden/>
              </w:rPr>
              <w:tab/>
            </w:r>
            <w:r w:rsidR="00FB659E">
              <w:rPr>
                <w:noProof/>
                <w:webHidden/>
              </w:rPr>
              <w:fldChar w:fldCharType="begin"/>
            </w:r>
            <w:r w:rsidR="00FB659E">
              <w:rPr>
                <w:noProof/>
                <w:webHidden/>
              </w:rPr>
              <w:instrText xml:space="preserve"> PAGEREF _Toc422226810 \h </w:instrText>
            </w:r>
            <w:r w:rsidR="00FB659E">
              <w:rPr>
                <w:noProof/>
                <w:webHidden/>
              </w:rPr>
            </w:r>
            <w:r w:rsidR="00FB659E">
              <w:rPr>
                <w:noProof/>
                <w:webHidden/>
              </w:rPr>
              <w:fldChar w:fldCharType="separate"/>
            </w:r>
            <w:r w:rsidR="004A5B77">
              <w:rPr>
                <w:noProof/>
                <w:webHidden/>
              </w:rPr>
              <w:t>6</w:t>
            </w:r>
            <w:r w:rsidR="00FB659E">
              <w:rPr>
                <w:noProof/>
                <w:webHidden/>
              </w:rPr>
              <w:fldChar w:fldCharType="end"/>
            </w:r>
          </w:hyperlink>
        </w:p>
        <w:p w14:paraId="1E06C3AC" w14:textId="77777777" w:rsidR="00FB659E" w:rsidRDefault="009C4B1A">
          <w:pPr>
            <w:pStyle w:val="INNH2"/>
            <w:tabs>
              <w:tab w:val="left" w:pos="800"/>
            </w:tabs>
            <w:rPr>
              <w:rFonts w:asciiTheme="minorHAnsi" w:eastAsiaTheme="minorEastAsia" w:hAnsiTheme="minorHAnsi" w:cstheme="minorBidi"/>
              <w:b w:val="0"/>
              <w:noProof/>
              <w:sz w:val="22"/>
              <w:szCs w:val="22"/>
            </w:rPr>
          </w:pPr>
          <w:hyperlink w:anchor="_Toc422226811" w:history="1">
            <w:r w:rsidR="00FB659E" w:rsidRPr="00BF0226">
              <w:rPr>
                <w:rStyle w:val="Hyperkobling"/>
                <w:noProof/>
              </w:rPr>
              <w:t>1.1</w:t>
            </w:r>
            <w:r w:rsidR="00FB659E">
              <w:rPr>
                <w:rFonts w:asciiTheme="minorHAnsi" w:eastAsiaTheme="minorEastAsia" w:hAnsiTheme="minorHAnsi" w:cstheme="minorBidi"/>
                <w:b w:val="0"/>
                <w:noProof/>
                <w:sz w:val="22"/>
                <w:szCs w:val="22"/>
              </w:rPr>
              <w:tab/>
            </w:r>
            <w:r w:rsidR="00FB659E" w:rsidRPr="00BF0226">
              <w:rPr>
                <w:rStyle w:val="Hyperkobling"/>
                <w:noProof/>
              </w:rPr>
              <w:t>Innledning</w:t>
            </w:r>
            <w:r w:rsidR="00FB659E">
              <w:rPr>
                <w:noProof/>
                <w:webHidden/>
              </w:rPr>
              <w:tab/>
            </w:r>
            <w:r w:rsidR="00FB659E">
              <w:rPr>
                <w:noProof/>
                <w:webHidden/>
              </w:rPr>
              <w:fldChar w:fldCharType="begin"/>
            </w:r>
            <w:r w:rsidR="00FB659E">
              <w:rPr>
                <w:noProof/>
                <w:webHidden/>
              </w:rPr>
              <w:instrText xml:space="preserve"> PAGEREF _Toc422226811 \h </w:instrText>
            </w:r>
            <w:r w:rsidR="00FB659E">
              <w:rPr>
                <w:noProof/>
                <w:webHidden/>
              </w:rPr>
            </w:r>
            <w:r w:rsidR="00FB659E">
              <w:rPr>
                <w:noProof/>
                <w:webHidden/>
              </w:rPr>
              <w:fldChar w:fldCharType="separate"/>
            </w:r>
            <w:r w:rsidR="004A5B77">
              <w:rPr>
                <w:noProof/>
                <w:webHidden/>
              </w:rPr>
              <w:t>7</w:t>
            </w:r>
            <w:r w:rsidR="00FB659E">
              <w:rPr>
                <w:noProof/>
                <w:webHidden/>
              </w:rPr>
              <w:fldChar w:fldCharType="end"/>
            </w:r>
          </w:hyperlink>
        </w:p>
        <w:p w14:paraId="048D5203" w14:textId="77777777" w:rsidR="00FB659E" w:rsidRDefault="009C4B1A">
          <w:pPr>
            <w:pStyle w:val="INNH3"/>
            <w:tabs>
              <w:tab w:val="left" w:pos="1200"/>
            </w:tabs>
            <w:rPr>
              <w:rFonts w:asciiTheme="minorHAnsi" w:eastAsiaTheme="minorEastAsia" w:hAnsiTheme="minorHAnsi" w:cstheme="minorBidi"/>
              <w:noProof/>
              <w:sz w:val="22"/>
              <w:szCs w:val="22"/>
            </w:rPr>
          </w:pPr>
          <w:hyperlink w:anchor="_Toc422226812" w:history="1">
            <w:r w:rsidR="00FB659E" w:rsidRPr="00BF0226">
              <w:rPr>
                <w:rStyle w:val="Hyperkobling"/>
                <w:noProof/>
              </w:rPr>
              <w:t>1.1.1</w:t>
            </w:r>
            <w:r w:rsidR="00FB659E">
              <w:rPr>
                <w:rFonts w:asciiTheme="minorHAnsi" w:eastAsiaTheme="minorEastAsia" w:hAnsiTheme="minorHAnsi" w:cstheme="minorBidi"/>
                <w:noProof/>
                <w:sz w:val="22"/>
                <w:szCs w:val="22"/>
              </w:rPr>
              <w:tab/>
            </w:r>
            <w:r w:rsidR="00FB659E" w:rsidRPr="00BF0226">
              <w:rPr>
                <w:rStyle w:val="Hyperkobling"/>
                <w:noProof/>
              </w:rPr>
              <w:t>Lønnsutviklingen for hovedgrupper i forhandlingsområdene</w:t>
            </w:r>
            <w:r w:rsidR="00FB659E">
              <w:rPr>
                <w:noProof/>
                <w:webHidden/>
              </w:rPr>
              <w:tab/>
            </w:r>
            <w:r w:rsidR="00FB659E">
              <w:rPr>
                <w:noProof/>
                <w:webHidden/>
              </w:rPr>
              <w:fldChar w:fldCharType="begin"/>
            </w:r>
            <w:r w:rsidR="00FB659E">
              <w:rPr>
                <w:noProof/>
                <w:webHidden/>
              </w:rPr>
              <w:instrText xml:space="preserve"> PAGEREF _Toc422226812 \h </w:instrText>
            </w:r>
            <w:r w:rsidR="00FB659E">
              <w:rPr>
                <w:noProof/>
                <w:webHidden/>
              </w:rPr>
            </w:r>
            <w:r w:rsidR="00FB659E">
              <w:rPr>
                <w:noProof/>
                <w:webHidden/>
              </w:rPr>
              <w:fldChar w:fldCharType="separate"/>
            </w:r>
            <w:r w:rsidR="004A5B77">
              <w:rPr>
                <w:noProof/>
                <w:webHidden/>
              </w:rPr>
              <w:t>7</w:t>
            </w:r>
            <w:r w:rsidR="00FB659E">
              <w:rPr>
                <w:noProof/>
                <w:webHidden/>
              </w:rPr>
              <w:fldChar w:fldCharType="end"/>
            </w:r>
          </w:hyperlink>
        </w:p>
        <w:p w14:paraId="3C8FFD3B" w14:textId="77777777" w:rsidR="00FB659E" w:rsidRDefault="009C4B1A">
          <w:pPr>
            <w:pStyle w:val="INNH3"/>
            <w:tabs>
              <w:tab w:val="left" w:pos="1200"/>
            </w:tabs>
            <w:rPr>
              <w:rFonts w:asciiTheme="minorHAnsi" w:eastAsiaTheme="minorEastAsia" w:hAnsiTheme="minorHAnsi" w:cstheme="minorBidi"/>
              <w:noProof/>
              <w:sz w:val="22"/>
              <w:szCs w:val="22"/>
            </w:rPr>
          </w:pPr>
          <w:hyperlink w:anchor="_Toc422226813" w:history="1">
            <w:r w:rsidR="00FB659E" w:rsidRPr="00BF0226">
              <w:rPr>
                <w:rStyle w:val="Hyperkobling"/>
                <w:noProof/>
              </w:rPr>
              <w:t>1.1.2</w:t>
            </w:r>
            <w:r w:rsidR="00FB659E">
              <w:rPr>
                <w:rFonts w:asciiTheme="minorHAnsi" w:eastAsiaTheme="minorEastAsia" w:hAnsiTheme="minorHAnsi" w:cstheme="minorBidi"/>
                <w:noProof/>
                <w:sz w:val="22"/>
                <w:szCs w:val="22"/>
              </w:rPr>
              <w:tab/>
            </w:r>
            <w:r w:rsidR="00FB659E" w:rsidRPr="00BF0226">
              <w:rPr>
                <w:rStyle w:val="Hyperkobling"/>
                <w:noProof/>
              </w:rPr>
              <w:t>Lønnsutviklingen samlet og i enkelte næringer</w:t>
            </w:r>
            <w:r w:rsidR="00FB659E">
              <w:rPr>
                <w:noProof/>
                <w:webHidden/>
              </w:rPr>
              <w:tab/>
            </w:r>
            <w:r w:rsidR="00FB659E">
              <w:rPr>
                <w:noProof/>
                <w:webHidden/>
              </w:rPr>
              <w:fldChar w:fldCharType="begin"/>
            </w:r>
            <w:r w:rsidR="00FB659E">
              <w:rPr>
                <w:noProof/>
                <w:webHidden/>
              </w:rPr>
              <w:instrText xml:space="preserve"> PAGEREF _Toc422226813 \h </w:instrText>
            </w:r>
            <w:r w:rsidR="00FB659E">
              <w:rPr>
                <w:noProof/>
                <w:webHidden/>
              </w:rPr>
            </w:r>
            <w:r w:rsidR="00FB659E">
              <w:rPr>
                <w:noProof/>
                <w:webHidden/>
              </w:rPr>
              <w:fldChar w:fldCharType="separate"/>
            </w:r>
            <w:r w:rsidR="004A5B77">
              <w:rPr>
                <w:noProof/>
                <w:webHidden/>
              </w:rPr>
              <w:t>10</w:t>
            </w:r>
            <w:r w:rsidR="00FB659E">
              <w:rPr>
                <w:noProof/>
                <w:webHidden/>
              </w:rPr>
              <w:fldChar w:fldCharType="end"/>
            </w:r>
          </w:hyperlink>
        </w:p>
        <w:p w14:paraId="7AF2867D" w14:textId="6337B86C" w:rsidR="00FB659E" w:rsidRDefault="009C4B1A" w:rsidP="002C627F">
          <w:pPr>
            <w:pStyle w:val="INNH3"/>
            <w:tabs>
              <w:tab w:val="left" w:pos="1200"/>
            </w:tabs>
            <w:ind w:left="1195" w:hanging="795"/>
            <w:rPr>
              <w:rFonts w:asciiTheme="minorHAnsi" w:eastAsiaTheme="minorEastAsia" w:hAnsiTheme="minorHAnsi" w:cstheme="minorBidi"/>
              <w:noProof/>
              <w:sz w:val="22"/>
              <w:szCs w:val="22"/>
            </w:rPr>
          </w:pPr>
          <w:hyperlink w:anchor="_Toc422226814" w:history="1">
            <w:r w:rsidR="00FB659E" w:rsidRPr="00BF0226">
              <w:rPr>
                <w:rStyle w:val="Hyperkobling"/>
                <w:noProof/>
              </w:rPr>
              <w:t>1.1.3</w:t>
            </w:r>
            <w:r w:rsidR="00FB659E">
              <w:rPr>
                <w:rFonts w:asciiTheme="minorHAnsi" w:eastAsiaTheme="minorEastAsia" w:hAnsiTheme="minorHAnsi" w:cstheme="minorBidi"/>
                <w:noProof/>
                <w:sz w:val="22"/>
                <w:szCs w:val="22"/>
              </w:rPr>
              <w:tab/>
            </w:r>
            <w:r w:rsidR="00FB659E" w:rsidRPr="00BF0226">
              <w:rPr>
                <w:rStyle w:val="Hyperkobling"/>
                <w:noProof/>
              </w:rPr>
              <w:t xml:space="preserve">Nærmere om sammensetningen av årslønnsveksten i </w:t>
            </w:r>
            <w:r w:rsidR="002C627F">
              <w:rPr>
                <w:rStyle w:val="Hyperkobling"/>
                <w:noProof/>
              </w:rPr>
              <w:br/>
            </w:r>
            <w:r w:rsidR="00FB659E" w:rsidRPr="00BF0226">
              <w:rPr>
                <w:rStyle w:val="Hyperkobling"/>
                <w:noProof/>
              </w:rPr>
              <w:t>forhandlingsområdene</w:t>
            </w:r>
            <w:r w:rsidR="00FB659E">
              <w:rPr>
                <w:noProof/>
                <w:webHidden/>
              </w:rPr>
              <w:tab/>
            </w:r>
            <w:r w:rsidR="00FB659E">
              <w:rPr>
                <w:noProof/>
                <w:webHidden/>
              </w:rPr>
              <w:fldChar w:fldCharType="begin"/>
            </w:r>
            <w:r w:rsidR="00FB659E">
              <w:rPr>
                <w:noProof/>
                <w:webHidden/>
              </w:rPr>
              <w:instrText xml:space="preserve"> PAGEREF _Toc422226814 \h </w:instrText>
            </w:r>
            <w:r w:rsidR="00FB659E">
              <w:rPr>
                <w:noProof/>
                <w:webHidden/>
              </w:rPr>
            </w:r>
            <w:r w:rsidR="00FB659E">
              <w:rPr>
                <w:noProof/>
                <w:webHidden/>
              </w:rPr>
              <w:fldChar w:fldCharType="separate"/>
            </w:r>
            <w:r w:rsidR="004A5B77">
              <w:rPr>
                <w:noProof/>
                <w:webHidden/>
              </w:rPr>
              <w:t>13</w:t>
            </w:r>
            <w:r w:rsidR="00FB659E">
              <w:rPr>
                <w:noProof/>
                <w:webHidden/>
              </w:rPr>
              <w:fldChar w:fldCharType="end"/>
            </w:r>
          </w:hyperlink>
        </w:p>
        <w:p w14:paraId="451E633E" w14:textId="77777777" w:rsidR="00FB659E" w:rsidRDefault="009C4B1A">
          <w:pPr>
            <w:pStyle w:val="INNH2"/>
            <w:tabs>
              <w:tab w:val="left" w:pos="800"/>
            </w:tabs>
            <w:rPr>
              <w:rFonts w:asciiTheme="minorHAnsi" w:eastAsiaTheme="minorEastAsia" w:hAnsiTheme="minorHAnsi" w:cstheme="minorBidi"/>
              <w:b w:val="0"/>
              <w:noProof/>
              <w:sz w:val="22"/>
              <w:szCs w:val="22"/>
            </w:rPr>
          </w:pPr>
          <w:hyperlink w:anchor="_Toc422226815" w:history="1">
            <w:r w:rsidR="00FB659E" w:rsidRPr="00BF0226">
              <w:rPr>
                <w:rStyle w:val="Hyperkobling"/>
                <w:noProof/>
              </w:rPr>
              <w:t>1.2</w:t>
            </w:r>
            <w:r w:rsidR="00FB659E">
              <w:rPr>
                <w:rFonts w:asciiTheme="minorHAnsi" w:eastAsiaTheme="minorEastAsia" w:hAnsiTheme="minorHAnsi" w:cstheme="minorBidi"/>
                <w:b w:val="0"/>
                <w:noProof/>
                <w:sz w:val="22"/>
                <w:szCs w:val="22"/>
              </w:rPr>
              <w:tab/>
            </w:r>
            <w:r w:rsidR="00FB659E" w:rsidRPr="00BF0226">
              <w:rPr>
                <w:rStyle w:val="Hyperkobling"/>
                <w:noProof/>
              </w:rPr>
              <w:t>Lønnsutviklingen i enkelte tariffområder</w:t>
            </w:r>
            <w:r w:rsidR="00FB659E">
              <w:rPr>
                <w:noProof/>
                <w:webHidden/>
              </w:rPr>
              <w:tab/>
            </w:r>
            <w:r w:rsidR="00FB659E">
              <w:rPr>
                <w:noProof/>
                <w:webHidden/>
              </w:rPr>
              <w:fldChar w:fldCharType="begin"/>
            </w:r>
            <w:r w:rsidR="00FB659E">
              <w:rPr>
                <w:noProof/>
                <w:webHidden/>
              </w:rPr>
              <w:instrText xml:space="preserve"> PAGEREF _Toc422226815 \h </w:instrText>
            </w:r>
            <w:r w:rsidR="00FB659E">
              <w:rPr>
                <w:noProof/>
                <w:webHidden/>
              </w:rPr>
            </w:r>
            <w:r w:rsidR="00FB659E">
              <w:rPr>
                <w:noProof/>
                <w:webHidden/>
              </w:rPr>
              <w:fldChar w:fldCharType="separate"/>
            </w:r>
            <w:r w:rsidR="004A5B77">
              <w:rPr>
                <w:noProof/>
                <w:webHidden/>
              </w:rPr>
              <w:t>15</w:t>
            </w:r>
            <w:r w:rsidR="00FB659E">
              <w:rPr>
                <w:noProof/>
                <w:webHidden/>
              </w:rPr>
              <w:fldChar w:fldCharType="end"/>
            </w:r>
          </w:hyperlink>
        </w:p>
        <w:p w14:paraId="39D228DA" w14:textId="77777777" w:rsidR="00FB659E" w:rsidRDefault="009C4B1A">
          <w:pPr>
            <w:pStyle w:val="INNH3"/>
            <w:tabs>
              <w:tab w:val="left" w:pos="1200"/>
            </w:tabs>
            <w:rPr>
              <w:rFonts w:asciiTheme="minorHAnsi" w:eastAsiaTheme="minorEastAsia" w:hAnsiTheme="minorHAnsi" w:cstheme="minorBidi"/>
              <w:noProof/>
              <w:sz w:val="22"/>
              <w:szCs w:val="22"/>
            </w:rPr>
          </w:pPr>
          <w:hyperlink w:anchor="_Toc422226816" w:history="1">
            <w:r w:rsidR="00FB659E" w:rsidRPr="00BF0226">
              <w:rPr>
                <w:rStyle w:val="Hyperkobling"/>
                <w:noProof/>
              </w:rPr>
              <w:t>1.2.1</w:t>
            </w:r>
            <w:r w:rsidR="00FB659E">
              <w:rPr>
                <w:rFonts w:asciiTheme="minorHAnsi" w:eastAsiaTheme="minorEastAsia" w:hAnsiTheme="minorHAnsi" w:cstheme="minorBidi"/>
                <w:noProof/>
                <w:sz w:val="22"/>
                <w:szCs w:val="22"/>
              </w:rPr>
              <w:tab/>
            </w:r>
            <w:r w:rsidR="00FB659E" w:rsidRPr="00BF0226">
              <w:rPr>
                <w:rStyle w:val="Hyperkobling"/>
                <w:noProof/>
              </w:rPr>
              <w:t>Lønnsutviklingen for industriarbeidere i LO-NHO-området.</w:t>
            </w:r>
            <w:r w:rsidR="00FB659E">
              <w:rPr>
                <w:noProof/>
                <w:webHidden/>
              </w:rPr>
              <w:tab/>
            </w:r>
            <w:r w:rsidR="00FB659E">
              <w:rPr>
                <w:noProof/>
                <w:webHidden/>
              </w:rPr>
              <w:fldChar w:fldCharType="begin"/>
            </w:r>
            <w:r w:rsidR="00FB659E">
              <w:rPr>
                <w:noProof/>
                <w:webHidden/>
              </w:rPr>
              <w:instrText xml:space="preserve"> PAGEREF _Toc422226816 \h </w:instrText>
            </w:r>
            <w:r w:rsidR="00FB659E">
              <w:rPr>
                <w:noProof/>
                <w:webHidden/>
              </w:rPr>
            </w:r>
            <w:r w:rsidR="00FB659E">
              <w:rPr>
                <w:noProof/>
                <w:webHidden/>
              </w:rPr>
              <w:fldChar w:fldCharType="separate"/>
            </w:r>
            <w:r w:rsidR="004A5B77">
              <w:rPr>
                <w:noProof/>
                <w:webHidden/>
              </w:rPr>
              <w:t>15</w:t>
            </w:r>
            <w:r w:rsidR="00FB659E">
              <w:rPr>
                <w:noProof/>
                <w:webHidden/>
              </w:rPr>
              <w:fldChar w:fldCharType="end"/>
            </w:r>
          </w:hyperlink>
        </w:p>
        <w:p w14:paraId="4E75F92E" w14:textId="77777777" w:rsidR="00FB659E" w:rsidRDefault="009C4B1A">
          <w:pPr>
            <w:pStyle w:val="INNH3"/>
            <w:tabs>
              <w:tab w:val="left" w:pos="1200"/>
            </w:tabs>
            <w:rPr>
              <w:rFonts w:asciiTheme="minorHAnsi" w:eastAsiaTheme="minorEastAsia" w:hAnsiTheme="minorHAnsi" w:cstheme="minorBidi"/>
              <w:noProof/>
              <w:sz w:val="22"/>
              <w:szCs w:val="22"/>
            </w:rPr>
          </w:pPr>
          <w:hyperlink w:anchor="_Toc422226817" w:history="1">
            <w:r w:rsidR="00FB659E" w:rsidRPr="00BF0226">
              <w:rPr>
                <w:rStyle w:val="Hyperkobling"/>
                <w:noProof/>
              </w:rPr>
              <w:t>1.2.2</w:t>
            </w:r>
            <w:r w:rsidR="00FB659E">
              <w:rPr>
                <w:rFonts w:asciiTheme="minorHAnsi" w:eastAsiaTheme="minorEastAsia" w:hAnsiTheme="minorHAnsi" w:cstheme="minorBidi"/>
                <w:noProof/>
                <w:sz w:val="22"/>
                <w:szCs w:val="22"/>
              </w:rPr>
              <w:tab/>
            </w:r>
            <w:r w:rsidR="00FB659E" w:rsidRPr="00BF0226">
              <w:rPr>
                <w:rStyle w:val="Hyperkobling"/>
                <w:noProof/>
              </w:rPr>
              <w:t>Lønnsutviklingen for andre arbeidergrupper i NHO-området</w:t>
            </w:r>
            <w:r w:rsidR="00FB659E">
              <w:rPr>
                <w:noProof/>
                <w:webHidden/>
              </w:rPr>
              <w:tab/>
            </w:r>
            <w:r w:rsidR="00FB659E">
              <w:rPr>
                <w:noProof/>
                <w:webHidden/>
              </w:rPr>
              <w:fldChar w:fldCharType="begin"/>
            </w:r>
            <w:r w:rsidR="00FB659E">
              <w:rPr>
                <w:noProof/>
                <w:webHidden/>
              </w:rPr>
              <w:instrText xml:space="preserve"> PAGEREF _Toc422226817 \h </w:instrText>
            </w:r>
            <w:r w:rsidR="00FB659E">
              <w:rPr>
                <w:noProof/>
                <w:webHidden/>
              </w:rPr>
            </w:r>
            <w:r w:rsidR="00FB659E">
              <w:rPr>
                <w:noProof/>
                <w:webHidden/>
              </w:rPr>
              <w:fldChar w:fldCharType="separate"/>
            </w:r>
            <w:r w:rsidR="004A5B77">
              <w:rPr>
                <w:noProof/>
                <w:webHidden/>
              </w:rPr>
              <w:t>18</w:t>
            </w:r>
            <w:r w:rsidR="00FB659E">
              <w:rPr>
                <w:noProof/>
                <w:webHidden/>
              </w:rPr>
              <w:fldChar w:fldCharType="end"/>
            </w:r>
          </w:hyperlink>
        </w:p>
        <w:p w14:paraId="1EE52637" w14:textId="77777777" w:rsidR="00FB659E" w:rsidRDefault="009C4B1A">
          <w:pPr>
            <w:pStyle w:val="INNH3"/>
            <w:tabs>
              <w:tab w:val="left" w:pos="1200"/>
            </w:tabs>
            <w:rPr>
              <w:rFonts w:asciiTheme="minorHAnsi" w:eastAsiaTheme="minorEastAsia" w:hAnsiTheme="minorHAnsi" w:cstheme="minorBidi"/>
              <w:noProof/>
              <w:sz w:val="22"/>
              <w:szCs w:val="22"/>
            </w:rPr>
          </w:pPr>
          <w:hyperlink w:anchor="_Toc422226818" w:history="1">
            <w:r w:rsidR="00FB659E" w:rsidRPr="00BF0226">
              <w:rPr>
                <w:rStyle w:val="Hyperkobling"/>
                <w:noProof/>
              </w:rPr>
              <w:t>1.2.3</w:t>
            </w:r>
            <w:r w:rsidR="00FB659E">
              <w:rPr>
                <w:rFonts w:asciiTheme="minorHAnsi" w:eastAsiaTheme="minorEastAsia" w:hAnsiTheme="minorHAnsi" w:cstheme="minorBidi"/>
                <w:noProof/>
                <w:sz w:val="22"/>
                <w:szCs w:val="22"/>
              </w:rPr>
              <w:tab/>
            </w:r>
            <w:r w:rsidR="00FB659E" w:rsidRPr="00BF0226">
              <w:rPr>
                <w:rStyle w:val="Hyperkobling"/>
                <w:noProof/>
              </w:rPr>
              <w:t>Lønnsutviklingen for funksjonærer i NHO-bedrifter</w:t>
            </w:r>
            <w:r w:rsidR="00FB659E">
              <w:rPr>
                <w:noProof/>
                <w:webHidden/>
              </w:rPr>
              <w:tab/>
            </w:r>
            <w:r w:rsidR="00FB659E">
              <w:rPr>
                <w:noProof/>
                <w:webHidden/>
              </w:rPr>
              <w:fldChar w:fldCharType="begin"/>
            </w:r>
            <w:r w:rsidR="00FB659E">
              <w:rPr>
                <w:noProof/>
                <w:webHidden/>
              </w:rPr>
              <w:instrText xml:space="preserve"> PAGEREF _Toc422226818 \h </w:instrText>
            </w:r>
            <w:r w:rsidR="00FB659E">
              <w:rPr>
                <w:noProof/>
                <w:webHidden/>
              </w:rPr>
            </w:r>
            <w:r w:rsidR="00FB659E">
              <w:rPr>
                <w:noProof/>
                <w:webHidden/>
              </w:rPr>
              <w:fldChar w:fldCharType="separate"/>
            </w:r>
            <w:r w:rsidR="004A5B77">
              <w:rPr>
                <w:noProof/>
                <w:webHidden/>
              </w:rPr>
              <w:t>19</w:t>
            </w:r>
            <w:r w:rsidR="00FB659E">
              <w:rPr>
                <w:noProof/>
                <w:webHidden/>
              </w:rPr>
              <w:fldChar w:fldCharType="end"/>
            </w:r>
          </w:hyperlink>
        </w:p>
        <w:p w14:paraId="57F7D0EA" w14:textId="6BAAEE1C" w:rsidR="00FB659E" w:rsidRDefault="009C4B1A" w:rsidP="002C627F">
          <w:pPr>
            <w:pStyle w:val="INNH3"/>
            <w:tabs>
              <w:tab w:val="left" w:pos="1200"/>
            </w:tabs>
            <w:ind w:left="1195" w:hanging="795"/>
            <w:rPr>
              <w:rFonts w:asciiTheme="minorHAnsi" w:eastAsiaTheme="minorEastAsia" w:hAnsiTheme="minorHAnsi" w:cstheme="minorBidi"/>
              <w:noProof/>
              <w:sz w:val="22"/>
              <w:szCs w:val="22"/>
            </w:rPr>
          </w:pPr>
          <w:hyperlink w:anchor="_Toc422226819" w:history="1">
            <w:r w:rsidR="00FB659E" w:rsidRPr="00BF0226">
              <w:rPr>
                <w:rStyle w:val="Hyperkobling"/>
                <w:noProof/>
              </w:rPr>
              <w:t>1.2.4</w:t>
            </w:r>
            <w:r w:rsidR="00FB659E">
              <w:rPr>
                <w:rFonts w:asciiTheme="minorHAnsi" w:eastAsiaTheme="minorEastAsia" w:hAnsiTheme="minorHAnsi" w:cstheme="minorBidi"/>
                <w:noProof/>
                <w:sz w:val="22"/>
                <w:szCs w:val="22"/>
              </w:rPr>
              <w:tab/>
            </w:r>
            <w:r w:rsidR="00FB659E" w:rsidRPr="00BF0226">
              <w:rPr>
                <w:rStyle w:val="Hyperkobling"/>
                <w:noProof/>
              </w:rPr>
              <w:t xml:space="preserve">Lønnsutviklingen for industriarbeidere og industrifunksjonærer </w:t>
            </w:r>
            <w:r w:rsidR="002C627F">
              <w:rPr>
                <w:rStyle w:val="Hyperkobling"/>
                <w:noProof/>
              </w:rPr>
              <w:br/>
            </w:r>
            <w:r w:rsidR="00FB659E" w:rsidRPr="00BF0226">
              <w:rPr>
                <w:rStyle w:val="Hyperkobling"/>
                <w:noProof/>
              </w:rPr>
              <w:t>i NHO-bedrifter under ett (både heltid og deltid)</w:t>
            </w:r>
            <w:r w:rsidR="00FB659E">
              <w:rPr>
                <w:noProof/>
                <w:webHidden/>
              </w:rPr>
              <w:tab/>
            </w:r>
            <w:r w:rsidR="00FB659E">
              <w:rPr>
                <w:noProof/>
                <w:webHidden/>
              </w:rPr>
              <w:fldChar w:fldCharType="begin"/>
            </w:r>
            <w:r w:rsidR="00FB659E">
              <w:rPr>
                <w:noProof/>
                <w:webHidden/>
              </w:rPr>
              <w:instrText xml:space="preserve"> PAGEREF _Toc422226819 \h </w:instrText>
            </w:r>
            <w:r w:rsidR="00FB659E">
              <w:rPr>
                <w:noProof/>
                <w:webHidden/>
              </w:rPr>
            </w:r>
            <w:r w:rsidR="00FB659E">
              <w:rPr>
                <w:noProof/>
                <w:webHidden/>
              </w:rPr>
              <w:fldChar w:fldCharType="separate"/>
            </w:r>
            <w:r w:rsidR="004A5B77">
              <w:rPr>
                <w:noProof/>
                <w:webHidden/>
              </w:rPr>
              <w:t>20</w:t>
            </w:r>
            <w:r w:rsidR="00FB659E">
              <w:rPr>
                <w:noProof/>
                <w:webHidden/>
              </w:rPr>
              <w:fldChar w:fldCharType="end"/>
            </w:r>
          </w:hyperlink>
        </w:p>
        <w:p w14:paraId="59167F0B" w14:textId="77777777" w:rsidR="00FB659E" w:rsidRDefault="009C4B1A">
          <w:pPr>
            <w:pStyle w:val="INNH3"/>
            <w:tabs>
              <w:tab w:val="left" w:pos="1200"/>
            </w:tabs>
            <w:rPr>
              <w:rFonts w:asciiTheme="minorHAnsi" w:eastAsiaTheme="minorEastAsia" w:hAnsiTheme="minorHAnsi" w:cstheme="minorBidi"/>
              <w:noProof/>
              <w:sz w:val="22"/>
              <w:szCs w:val="22"/>
            </w:rPr>
          </w:pPr>
          <w:hyperlink w:anchor="_Toc422226820" w:history="1">
            <w:r w:rsidR="00FB659E" w:rsidRPr="00BF0226">
              <w:rPr>
                <w:rStyle w:val="Hyperkobling"/>
                <w:noProof/>
              </w:rPr>
              <w:t>1.2.5</w:t>
            </w:r>
            <w:r w:rsidR="00FB659E">
              <w:rPr>
                <w:rFonts w:asciiTheme="minorHAnsi" w:eastAsiaTheme="minorEastAsia" w:hAnsiTheme="minorHAnsi" w:cstheme="minorBidi"/>
                <w:noProof/>
                <w:sz w:val="22"/>
                <w:szCs w:val="22"/>
              </w:rPr>
              <w:tab/>
            </w:r>
            <w:r w:rsidR="00FB659E" w:rsidRPr="00BF0226">
              <w:rPr>
                <w:rStyle w:val="Hyperkobling"/>
                <w:noProof/>
              </w:rPr>
              <w:t>Lønnsutviklingen i andre områder i privat næringsvirksomhet</w:t>
            </w:r>
            <w:r w:rsidR="00FB659E">
              <w:rPr>
                <w:noProof/>
                <w:webHidden/>
              </w:rPr>
              <w:tab/>
            </w:r>
            <w:r w:rsidR="00FB659E">
              <w:rPr>
                <w:noProof/>
                <w:webHidden/>
              </w:rPr>
              <w:fldChar w:fldCharType="begin"/>
            </w:r>
            <w:r w:rsidR="00FB659E">
              <w:rPr>
                <w:noProof/>
                <w:webHidden/>
              </w:rPr>
              <w:instrText xml:space="preserve"> PAGEREF _Toc422226820 \h </w:instrText>
            </w:r>
            <w:r w:rsidR="00FB659E">
              <w:rPr>
                <w:noProof/>
                <w:webHidden/>
              </w:rPr>
            </w:r>
            <w:r w:rsidR="00FB659E">
              <w:rPr>
                <w:noProof/>
                <w:webHidden/>
              </w:rPr>
              <w:fldChar w:fldCharType="separate"/>
            </w:r>
            <w:r w:rsidR="004A5B77">
              <w:rPr>
                <w:noProof/>
                <w:webHidden/>
              </w:rPr>
              <w:t>20</w:t>
            </w:r>
            <w:r w:rsidR="00FB659E">
              <w:rPr>
                <w:noProof/>
                <w:webHidden/>
              </w:rPr>
              <w:fldChar w:fldCharType="end"/>
            </w:r>
          </w:hyperlink>
        </w:p>
        <w:p w14:paraId="4F14A143" w14:textId="77777777" w:rsidR="00FB659E" w:rsidRDefault="009C4B1A">
          <w:pPr>
            <w:pStyle w:val="INNH3"/>
            <w:tabs>
              <w:tab w:val="left" w:pos="1200"/>
            </w:tabs>
            <w:rPr>
              <w:rFonts w:asciiTheme="minorHAnsi" w:eastAsiaTheme="minorEastAsia" w:hAnsiTheme="minorHAnsi" w:cstheme="minorBidi"/>
              <w:noProof/>
              <w:sz w:val="22"/>
              <w:szCs w:val="22"/>
            </w:rPr>
          </w:pPr>
          <w:hyperlink w:anchor="_Toc422226821" w:history="1">
            <w:r w:rsidR="00FB659E" w:rsidRPr="00BF0226">
              <w:rPr>
                <w:rStyle w:val="Hyperkobling"/>
                <w:noProof/>
              </w:rPr>
              <w:t>1.2.6</w:t>
            </w:r>
            <w:r w:rsidR="00FB659E">
              <w:rPr>
                <w:rFonts w:asciiTheme="minorHAnsi" w:eastAsiaTheme="minorEastAsia" w:hAnsiTheme="minorHAnsi" w:cstheme="minorBidi"/>
                <w:noProof/>
                <w:sz w:val="22"/>
                <w:szCs w:val="22"/>
              </w:rPr>
              <w:tab/>
            </w:r>
            <w:r w:rsidR="00FB659E" w:rsidRPr="00BF0226">
              <w:rPr>
                <w:rStyle w:val="Hyperkobling"/>
                <w:noProof/>
              </w:rPr>
              <w:t>Lønnsutviklingen i offentlig sektor</w:t>
            </w:r>
            <w:r w:rsidR="00FB659E">
              <w:rPr>
                <w:noProof/>
                <w:webHidden/>
              </w:rPr>
              <w:tab/>
            </w:r>
            <w:r w:rsidR="00FB659E">
              <w:rPr>
                <w:noProof/>
                <w:webHidden/>
              </w:rPr>
              <w:fldChar w:fldCharType="begin"/>
            </w:r>
            <w:r w:rsidR="00FB659E">
              <w:rPr>
                <w:noProof/>
                <w:webHidden/>
              </w:rPr>
              <w:instrText xml:space="preserve"> PAGEREF _Toc422226821 \h </w:instrText>
            </w:r>
            <w:r w:rsidR="00FB659E">
              <w:rPr>
                <w:noProof/>
                <w:webHidden/>
              </w:rPr>
            </w:r>
            <w:r w:rsidR="00FB659E">
              <w:rPr>
                <w:noProof/>
                <w:webHidden/>
              </w:rPr>
              <w:fldChar w:fldCharType="separate"/>
            </w:r>
            <w:r w:rsidR="004A5B77">
              <w:rPr>
                <w:noProof/>
                <w:webHidden/>
              </w:rPr>
              <w:t>21</w:t>
            </w:r>
            <w:r w:rsidR="00FB659E">
              <w:rPr>
                <w:noProof/>
                <w:webHidden/>
              </w:rPr>
              <w:fldChar w:fldCharType="end"/>
            </w:r>
          </w:hyperlink>
        </w:p>
        <w:p w14:paraId="657B6021" w14:textId="77777777" w:rsidR="00FB659E" w:rsidRDefault="009C4B1A">
          <w:pPr>
            <w:pStyle w:val="INNH3"/>
            <w:tabs>
              <w:tab w:val="left" w:pos="1200"/>
            </w:tabs>
            <w:rPr>
              <w:rFonts w:asciiTheme="minorHAnsi" w:eastAsiaTheme="minorEastAsia" w:hAnsiTheme="minorHAnsi" w:cstheme="minorBidi"/>
              <w:noProof/>
              <w:sz w:val="22"/>
              <w:szCs w:val="22"/>
            </w:rPr>
          </w:pPr>
          <w:hyperlink w:anchor="_Toc422226822" w:history="1">
            <w:r w:rsidR="00FB659E" w:rsidRPr="00BF0226">
              <w:rPr>
                <w:rStyle w:val="Hyperkobling"/>
                <w:noProof/>
              </w:rPr>
              <w:t>1.2.7</w:t>
            </w:r>
            <w:r w:rsidR="00FB659E">
              <w:rPr>
                <w:rFonts w:asciiTheme="minorHAnsi" w:eastAsiaTheme="minorEastAsia" w:hAnsiTheme="minorHAnsi" w:cstheme="minorBidi"/>
                <w:noProof/>
                <w:sz w:val="22"/>
                <w:szCs w:val="22"/>
              </w:rPr>
              <w:tab/>
            </w:r>
            <w:r w:rsidR="00FB659E" w:rsidRPr="00BF0226">
              <w:rPr>
                <w:rStyle w:val="Hyperkobling"/>
                <w:noProof/>
              </w:rPr>
              <w:t>Lønnsutviklingen i Spekter-området</w:t>
            </w:r>
            <w:r w:rsidR="00FB659E">
              <w:rPr>
                <w:noProof/>
                <w:webHidden/>
              </w:rPr>
              <w:tab/>
            </w:r>
            <w:r w:rsidR="00FB659E">
              <w:rPr>
                <w:noProof/>
                <w:webHidden/>
              </w:rPr>
              <w:fldChar w:fldCharType="begin"/>
            </w:r>
            <w:r w:rsidR="00FB659E">
              <w:rPr>
                <w:noProof/>
                <w:webHidden/>
              </w:rPr>
              <w:instrText xml:space="preserve"> PAGEREF _Toc422226822 \h </w:instrText>
            </w:r>
            <w:r w:rsidR="00FB659E">
              <w:rPr>
                <w:noProof/>
                <w:webHidden/>
              </w:rPr>
            </w:r>
            <w:r w:rsidR="00FB659E">
              <w:rPr>
                <w:noProof/>
                <w:webHidden/>
              </w:rPr>
              <w:fldChar w:fldCharType="separate"/>
            </w:r>
            <w:r w:rsidR="004A5B77">
              <w:rPr>
                <w:noProof/>
                <w:webHidden/>
              </w:rPr>
              <w:t>23</w:t>
            </w:r>
            <w:r w:rsidR="00FB659E">
              <w:rPr>
                <w:noProof/>
                <w:webHidden/>
              </w:rPr>
              <w:fldChar w:fldCharType="end"/>
            </w:r>
          </w:hyperlink>
        </w:p>
        <w:p w14:paraId="4923B531" w14:textId="411D8CFD" w:rsidR="00FB659E" w:rsidRDefault="00914833">
          <w:pPr>
            <w:pStyle w:val="INNH2"/>
            <w:tabs>
              <w:tab w:val="left" w:pos="800"/>
            </w:tabs>
            <w:rPr>
              <w:rFonts w:asciiTheme="minorHAnsi" w:eastAsiaTheme="minorEastAsia" w:hAnsiTheme="minorHAnsi" w:cstheme="minorBidi"/>
              <w:b w:val="0"/>
              <w:noProof/>
              <w:sz w:val="22"/>
              <w:szCs w:val="22"/>
            </w:rPr>
          </w:pPr>
          <w:hyperlink w:anchor="_Toc422226823" w:history="1">
            <w:r w:rsidR="00FB659E" w:rsidRPr="00BF0226">
              <w:rPr>
                <w:rStyle w:val="Hyperkobling"/>
                <w:noProof/>
              </w:rPr>
              <w:t>1.3</w:t>
            </w:r>
            <w:r w:rsidR="00FB659E">
              <w:rPr>
                <w:rFonts w:asciiTheme="minorHAnsi" w:eastAsiaTheme="minorEastAsia" w:hAnsiTheme="minorHAnsi" w:cstheme="minorBidi"/>
                <w:b w:val="0"/>
                <w:noProof/>
                <w:sz w:val="22"/>
                <w:szCs w:val="22"/>
              </w:rPr>
              <w:tab/>
            </w:r>
            <w:r w:rsidR="00FB659E" w:rsidRPr="00BF0226">
              <w:rPr>
                <w:rStyle w:val="Hyperkobling"/>
                <w:noProof/>
              </w:rPr>
              <w:t>Lønnsoverhenget</w:t>
            </w:r>
            <w:r w:rsidR="00FB659E">
              <w:rPr>
                <w:noProof/>
                <w:webHidden/>
              </w:rPr>
              <w:tab/>
            </w:r>
            <w:r w:rsidR="00FB659E">
              <w:rPr>
                <w:noProof/>
                <w:webHidden/>
              </w:rPr>
              <w:fldChar w:fldCharType="begin"/>
            </w:r>
            <w:r w:rsidR="00FB659E">
              <w:rPr>
                <w:noProof/>
                <w:webHidden/>
              </w:rPr>
              <w:instrText xml:space="preserve"> PAGEREF _Toc422226823 \h </w:instrText>
            </w:r>
            <w:r w:rsidR="00FB659E">
              <w:rPr>
                <w:noProof/>
                <w:webHidden/>
              </w:rPr>
            </w:r>
            <w:r w:rsidR="00FB659E">
              <w:rPr>
                <w:noProof/>
                <w:webHidden/>
              </w:rPr>
              <w:fldChar w:fldCharType="separate"/>
            </w:r>
            <w:r w:rsidR="004A5B77">
              <w:rPr>
                <w:noProof/>
                <w:webHidden/>
              </w:rPr>
              <w:t>25</w:t>
            </w:r>
            <w:r w:rsidR="00FB659E">
              <w:rPr>
                <w:noProof/>
                <w:webHidden/>
              </w:rPr>
              <w:fldChar w:fldCharType="end"/>
            </w:r>
          </w:hyperlink>
        </w:p>
        <w:p w14:paraId="79EB0585" w14:textId="177D9113" w:rsidR="00FB659E" w:rsidRDefault="009C4B1A" w:rsidP="002C627F">
          <w:pPr>
            <w:pStyle w:val="INNH2"/>
            <w:tabs>
              <w:tab w:val="left" w:pos="800"/>
            </w:tabs>
            <w:ind w:left="720" w:hanging="520"/>
            <w:rPr>
              <w:rFonts w:asciiTheme="minorHAnsi" w:eastAsiaTheme="minorEastAsia" w:hAnsiTheme="minorHAnsi" w:cstheme="minorBidi"/>
              <w:b w:val="0"/>
              <w:noProof/>
              <w:sz w:val="22"/>
              <w:szCs w:val="22"/>
            </w:rPr>
          </w:pPr>
          <w:hyperlink w:anchor="_Toc422226824" w:history="1">
            <w:r w:rsidR="00FB659E" w:rsidRPr="00BF0226">
              <w:rPr>
                <w:rStyle w:val="Hyperkobling"/>
                <w:noProof/>
              </w:rPr>
              <w:t>1.4</w:t>
            </w:r>
            <w:r w:rsidR="00FB659E">
              <w:rPr>
                <w:rFonts w:asciiTheme="minorHAnsi" w:eastAsiaTheme="minorEastAsia" w:hAnsiTheme="minorHAnsi" w:cstheme="minorBidi"/>
                <w:b w:val="0"/>
                <w:noProof/>
                <w:sz w:val="22"/>
                <w:szCs w:val="22"/>
              </w:rPr>
              <w:tab/>
            </w:r>
            <w:r w:rsidR="00FB659E" w:rsidRPr="00BF0226">
              <w:rPr>
                <w:rStyle w:val="Hyperkobling"/>
                <w:noProof/>
              </w:rPr>
              <w:t xml:space="preserve">Noen hovedtrekk ved lønnsutviklingen i 2015 i enkelte </w:t>
            </w:r>
            <w:r w:rsidR="002C627F">
              <w:rPr>
                <w:rStyle w:val="Hyperkobling"/>
                <w:noProof/>
              </w:rPr>
              <w:br/>
            </w:r>
            <w:r w:rsidR="00FB659E" w:rsidRPr="00BF0226">
              <w:rPr>
                <w:rStyle w:val="Hyperkobling"/>
                <w:noProof/>
              </w:rPr>
              <w:t>forhandlingsområder</w:t>
            </w:r>
            <w:r w:rsidR="00FB659E">
              <w:rPr>
                <w:noProof/>
                <w:webHidden/>
              </w:rPr>
              <w:tab/>
            </w:r>
            <w:r w:rsidR="00FB659E">
              <w:rPr>
                <w:noProof/>
                <w:webHidden/>
              </w:rPr>
              <w:fldChar w:fldCharType="begin"/>
            </w:r>
            <w:r w:rsidR="00FB659E">
              <w:rPr>
                <w:noProof/>
                <w:webHidden/>
              </w:rPr>
              <w:instrText xml:space="preserve"> PAGEREF _Toc422226824 \h </w:instrText>
            </w:r>
            <w:r w:rsidR="00FB659E">
              <w:rPr>
                <w:noProof/>
                <w:webHidden/>
              </w:rPr>
            </w:r>
            <w:r w:rsidR="00FB659E">
              <w:rPr>
                <w:noProof/>
                <w:webHidden/>
              </w:rPr>
              <w:fldChar w:fldCharType="separate"/>
            </w:r>
            <w:r w:rsidR="004A5B77">
              <w:rPr>
                <w:noProof/>
                <w:webHidden/>
              </w:rPr>
              <w:t>27</w:t>
            </w:r>
            <w:r w:rsidR="00FB659E">
              <w:rPr>
                <w:noProof/>
                <w:webHidden/>
              </w:rPr>
              <w:fldChar w:fldCharType="end"/>
            </w:r>
          </w:hyperlink>
        </w:p>
        <w:p w14:paraId="483FAEA9" w14:textId="77777777" w:rsidR="00FB659E" w:rsidRDefault="009C4B1A">
          <w:pPr>
            <w:pStyle w:val="INNH2"/>
            <w:tabs>
              <w:tab w:val="left" w:pos="800"/>
            </w:tabs>
            <w:rPr>
              <w:rFonts w:asciiTheme="minorHAnsi" w:eastAsiaTheme="minorEastAsia" w:hAnsiTheme="minorHAnsi" w:cstheme="minorBidi"/>
              <w:b w:val="0"/>
              <w:noProof/>
              <w:sz w:val="22"/>
              <w:szCs w:val="22"/>
            </w:rPr>
          </w:pPr>
          <w:hyperlink w:anchor="_Toc422226825" w:history="1">
            <w:r w:rsidR="00FB659E" w:rsidRPr="00BF0226">
              <w:rPr>
                <w:rStyle w:val="Hyperkobling"/>
                <w:noProof/>
              </w:rPr>
              <w:t>1.5</w:t>
            </w:r>
            <w:r w:rsidR="00FB659E">
              <w:rPr>
                <w:rFonts w:asciiTheme="minorHAnsi" w:eastAsiaTheme="minorEastAsia" w:hAnsiTheme="minorHAnsi" w:cstheme="minorBidi"/>
                <w:b w:val="0"/>
                <w:noProof/>
                <w:sz w:val="22"/>
                <w:szCs w:val="22"/>
              </w:rPr>
              <w:tab/>
            </w:r>
            <w:r w:rsidR="00FB659E" w:rsidRPr="00BF0226">
              <w:rPr>
                <w:rStyle w:val="Hyperkobling"/>
                <w:noProof/>
              </w:rPr>
              <w:t>Lønnsutviklingen for ledere</w:t>
            </w:r>
            <w:r w:rsidR="00FB659E">
              <w:rPr>
                <w:noProof/>
                <w:webHidden/>
              </w:rPr>
              <w:tab/>
            </w:r>
            <w:r w:rsidR="00FB659E">
              <w:rPr>
                <w:noProof/>
                <w:webHidden/>
              </w:rPr>
              <w:fldChar w:fldCharType="begin"/>
            </w:r>
            <w:r w:rsidR="00FB659E">
              <w:rPr>
                <w:noProof/>
                <w:webHidden/>
              </w:rPr>
              <w:instrText xml:space="preserve"> PAGEREF _Toc422226825 \h </w:instrText>
            </w:r>
            <w:r w:rsidR="00FB659E">
              <w:rPr>
                <w:noProof/>
                <w:webHidden/>
              </w:rPr>
            </w:r>
            <w:r w:rsidR="00FB659E">
              <w:rPr>
                <w:noProof/>
                <w:webHidden/>
              </w:rPr>
              <w:fldChar w:fldCharType="separate"/>
            </w:r>
            <w:r w:rsidR="004A5B77">
              <w:rPr>
                <w:noProof/>
                <w:webHidden/>
              </w:rPr>
              <w:t>28</w:t>
            </w:r>
            <w:r w:rsidR="00FB659E">
              <w:rPr>
                <w:noProof/>
                <w:webHidden/>
              </w:rPr>
              <w:fldChar w:fldCharType="end"/>
            </w:r>
          </w:hyperlink>
        </w:p>
        <w:p w14:paraId="4E1C603C" w14:textId="473344C4" w:rsidR="00FB659E" w:rsidRDefault="009C4B1A" w:rsidP="002C627F">
          <w:pPr>
            <w:pStyle w:val="INNH3"/>
            <w:tabs>
              <w:tab w:val="left" w:pos="1200"/>
            </w:tabs>
            <w:ind w:left="1195" w:hanging="795"/>
            <w:rPr>
              <w:rFonts w:asciiTheme="minorHAnsi" w:eastAsiaTheme="minorEastAsia" w:hAnsiTheme="minorHAnsi" w:cstheme="minorBidi"/>
              <w:noProof/>
              <w:sz w:val="22"/>
              <w:szCs w:val="22"/>
            </w:rPr>
          </w:pPr>
          <w:hyperlink w:anchor="_Toc422226826" w:history="1">
            <w:r w:rsidR="00FB659E" w:rsidRPr="00BF0226">
              <w:rPr>
                <w:rStyle w:val="Hyperkobling"/>
                <w:noProof/>
              </w:rPr>
              <w:t>1.5.1</w:t>
            </w:r>
            <w:r w:rsidR="00FB659E">
              <w:rPr>
                <w:rFonts w:asciiTheme="minorHAnsi" w:eastAsiaTheme="minorEastAsia" w:hAnsiTheme="minorHAnsi" w:cstheme="minorBidi"/>
                <w:noProof/>
                <w:sz w:val="22"/>
                <w:szCs w:val="22"/>
              </w:rPr>
              <w:tab/>
            </w:r>
            <w:r w:rsidR="00FB659E" w:rsidRPr="00BF0226">
              <w:rPr>
                <w:rStyle w:val="Hyperkobling"/>
                <w:noProof/>
              </w:rPr>
              <w:t xml:space="preserve">Lønnsutviklingen eksklusive opsjons- og naturalytelser for ledere </w:t>
            </w:r>
            <w:r w:rsidR="002C627F">
              <w:rPr>
                <w:rStyle w:val="Hyperkobling"/>
                <w:noProof/>
              </w:rPr>
              <w:br/>
            </w:r>
            <w:r w:rsidR="00FB659E" w:rsidRPr="00BF0226">
              <w:rPr>
                <w:rStyle w:val="Hyperkobling"/>
                <w:noProof/>
              </w:rPr>
              <w:t>i enkelte næringer</w:t>
            </w:r>
            <w:r w:rsidR="00FB659E">
              <w:rPr>
                <w:noProof/>
                <w:webHidden/>
              </w:rPr>
              <w:tab/>
            </w:r>
            <w:r w:rsidR="00FB659E">
              <w:rPr>
                <w:noProof/>
                <w:webHidden/>
              </w:rPr>
              <w:fldChar w:fldCharType="begin"/>
            </w:r>
            <w:r w:rsidR="00FB659E">
              <w:rPr>
                <w:noProof/>
                <w:webHidden/>
              </w:rPr>
              <w:instrText xml:space="preserve"> PAGEREF _Toc422226826 \h </w:instrText>
            </w:r>
            <w:r w:rsidR="00FB659E">
              <w:rPr>
                <w:noProof/>
                <w:webHidden/>
              </w:rPr>
            </w:r>
            <w:r w:rsidR="00FB659E">
              <w:rPr>
                <w:noProof/>
                <w:webHidden/>
              </w:rPr>
              <w:fldChar w:fldCharType="separate"/>
            </w:r>
            <w:r w:rsidR="004A5B77">
              <w:rPr>
                <w:noProof/>
                <w:webHidden/>
              </w:rPr>
              <w:t>28</w:t>
            </w:r>
            <w:r w:rsidR="00FB659E">
              <w:rPr>
                <w:noProof/>
                <w:webHidden/>
              </w:rPr>
              <w:fldChar w:fldCharType="end"/>
            </w:r>
          </w:hyperlink>
        </w:p>
        <w:p w14:paraId="31A4CBA5" w14:textId="25B6AA04" w:rsidR="00FB659E" w:rsidRDefault="00914833">
          <w:pPr>
            <w:pStyle w:val="INNH3"/>
            <w:tabs>
              <w:tab w:val="left" w:pos="1200"/>
            </w:tabs>
            <w:rPr>
              <w:rFonts w:asciiTheme="minorHAnsi" w:eastAsiaTheme="minorEastAsia" w:hAnsiTheme="minorHAnsi" w:cstheme="minorBidi"/>
              <w:noProof/>
              <w:sz w:val="22"/>
              <w:szCs w:val="22"/>
            </w:rPr>
          </w:pPr>
          <w:hyperlink w:anchor="_Toc422226827" w:history="1">
            <w:r w:rsidR="00FB659E" w:rsidRPr="00BF0226">
              <w:rPr>
                <w:rStyle w:val="Hyperkobling"/>
                <w:noProof/>
              </w:rPr>
              <w:t>1.5.2</w:t>
            </w:r>
            <w:r w:rsidR="00FB659E">
              <w:rPr>
                <w:rFonts w:asciiTheme="minorHAnsi" w:eastAsiaTheme="minorEastAsia" w:hAnsiTheme="minorHAnsi" w:cstheme="minorBidi"/>
                <w:noProof/>
                <w:sz w:val="22"/>
                <w:szCs w:val="22"/>
              </w:rPr>
              <w:tab/>
            </w:r>
            <w:r w:rsidR="00FB659E" w:rsidRPr="00BF0226">
              <w:rPr>
                <w:rStyle w:val="Hyperkobling"/>
                <w:noProof/>
              </w:rPr>
              <w:t>Lønnsutviklingen for ledere inklusive opsjons- og naturalytelser</w:t>
            </w:r>
            <w:r w:rsidR="00FB659E">
              <w:rPr>
                <w:noProof/>
                <w:webHidden/>
              </w:rPr>
              <w:tab/>
            </w:r>
            <w:r w:rsidR="00FB659E">
              <w:rPr>
                <w:noProof/>
                <w:webHidden/>
              </w:rPr>
              <w:fldChar w:fldCharType="begin"/>
            </w:r>
            <w:r w:rsidR="00FB659E">
              <w:rPr>
                <w:noProof/>
                <w:webHidden/>
              </w:rPr>
              <w:instrText xml:space="preserve"> PAGEREF _Toc422226827 \h </w:instrText>
            </w:r>
            <w:r w:rsidR="00FB659E">
              <w:rPr>
                <w:noProof/>
                <w:webHidden/>
              </w:rPr>
            </w:r>
            <w:r w:rsidR="00FB659E">
              <w:rPr>
                <w:noProof/>
                <w:webHidden/>
              </w:rPr>
              <w:fldChar w:fldCharType="separate"/>
            </w:r>
            <w:r w:rsidR="004A5B77">
              <w:rPr>
                <w:noProof/>
                <w:webHidden/>
              </w:rPr>
              <w:t>29</w:t>
            </w:r>
            <w:r w:rsidR="00FB659E">
              <w:rPr>
                <w:noProof/>
                <w:webHidden/>
              </w:rPr>
              <w:fldChar w:fldCharType="end"/>
            </w:r>
          </w:hyperlink>
        </w:p>
        <w:p w14:paraId="1A25375C" w14:textId="6BA528B4" w:rsidR="00FB659E" w:rsidRDefault="00914833">
          <w:pPr>
            <w:pStyle w:val="INNH3"/>
            <w:tabs>
              <w:tab w:val="left" w:pos="1200"/>
            </w:tabs>
            <w:rPr>
              <w:rFonts w:asciiTheme="minorHAnsi" w:eastAsiaTheme="minorEastAsia" w:hAnsiTheme="minorHAnsi" w:cstheme="minorBidi"/>
              <w:noProof/>
              <w:sz w:val="22"/>
              <w:szCs w:val="22"/>
            </w:rPr>
          </w:pPr>
          <w:hyperlink w:anchor="_Toc422226828" w:history="1">
            <w:r w:rsidR="00FB659E" w:rsidRPr="00BF0226">
              <w:rPr>
                <w:rStyle w:val="Hyperkobling"/>
                <w:noProof/>
              </w:rPr>
              <w:t>1.5.3</w:t>
            </w:r>
            <w:r w:rsidR="00FB659E">
              <w:rPr>
                <w:rFonts w:asciiTheme="minorHAnsi" w:eastAsiaTheme="minorEastAsia" w:hAnsiTheme="minorHAnsi" w:cstheme="minorBidi"/>
                <w:noProof/>
                <w:sz w:val="22"/>
                <w:szCs w:val="22"/>
              </w:rPr>
              <w:tab/>
            </w:r>
            <w:r w:rsidR="00FB659E" w:rsidRPr="00BF0226">
              <w:rPr>
                <w:rStyle w:val="Hyperkobling"/>
                <w:noProof/>
              </w:rPr>
              <w:t>Lønnsutviklingen for toppledere i offentlig sektor</w:t>
            </w:r>
            <w:r w:rsidR="00FB659E">
              <w:rPr>
                <w:noProof/>
                <w:webHidden/>
              </w:rPr>
              <w:tab/>
            </w:r>
            <w:r w:rsidR="00FB659E">
              <w:rPr>
                <w:noProof/>
                <w:webHidden/>
              </w:rPr>
              <w:fldChar w:fldCharType="begin"/>
            </w:r>
            <w:r w:rsidR="00FB659E">
              <w:rPr>
                <w:noProof/>
                <w:webHidden/>
              </w:rPr>
              <w:instrText xml:space="preserve"> PAGEREF _Toc422226828 \h </w:instrText>
            </w:r>
            <w:r w:rsidR="00FB659E">
              <w:rPr>
                <w:noProof/>
                <w:webHidden/>
              </w:rPr>
            </w:r>
            <w:r w:rsidR="00FB659E">
              <w:rPr>
                <w:noProof/>
                <w:webHidden/>
              </w:rPr>
              <w:fldChar w:fldCharType="separate"/>
            </w:r>
            <w:r w:rsidR="004A5B77">
              <w:rPr>
                <w:noProof/>
                <w:webHidden/>
              </w:rPr>
              <w:t>32</w:t>
            </w:r>
            <w:r w:rsidR="00FB659E">
              <w:rPr>
                <w:noProof/>
                <w:webHidden/>
              </w:rPr>
              <w:fldChar w:fldCharType="end"/>
            </w:r>
          </w:hyperlink>
        </w:p>
        <w:p w14:paraId="20C983AA" w14:textId="3A1765A5" w:rsidR="00FB659E" w:rsidRDefault="00914833">
          <w:pPr>
            <w:pStyle w:val="INNH2"/>
            <w:tabs>
              <w:tab w:val="left" w:pos="800"/>
            </w:tabs>
            <w:rPr>
              <w:rFonts w:asciiTheme="minorHAnsi" w:eastAsiaTheme="minorEastAsia" w:hAnsiTheme="minorHAnsi" w:cstheme="minorBidi"/>
              <w:b w:val="0"/>
              <w:noProof/>
              <w:sz w:val="22"/>
              <w:szCs w:val="22"/>
            </w:rPr>
          </w:pPr>
          <w:hyperlink w:anchor="_Toc422226829" w:history="1">
            <w:r w:rsidR="00FB659E" w:rsidRPr="00BF0226">
              <w:rPr>
                <w:rStyle w:val="Hyperkobling"/>
                <w:noProof/>
              </w:rPr>
              <w:t>1.6</w:t>
            </w:r>
            <w:r w:rsidR="00FB659E">
              <w:rPr>
                <w:rFonts w:asciiTheme="minorHAnsi" w:eastAsiaTheme="minorEastAsia" w:hAnsiTheme="minorHAnsi" w:cstheme="minorBidi"/>
                <w:b w:val="0"/>
                <w:noProof/>
                <w:sz w:val="22"/>
                <w:szCs w:val="22"/>
              </w:rPr>
              <w:tab/>
            </w:r>
            <w:r w:rsidR="00FB659E" w:rsidRPr="00BF0226">
              <w:rPr>
                <w:rStyle w:val="Hyperkobling"/>
                <w:noProof/>
              </w:rPr>
              <w:t>Lønnsutviklingen for kvinner og menn</w:t>
            </w:r>
            <w:r w:rsidR="00FB659E">
              <w:rPr>
                <w:noProof/>
                <w:webHidden/>
              </w:rPr>
              <w:tab/>
            </w:r>
            <w:r w:rsidR="00FB659E">
              <w:rPr>
                <w:noProof/>
                <w:webHidden/>
              </w:rPr>
              <w:fldChar w:fldCharType="begin"/>
            </w:r>
            <w:r w:rsidR="00FB659E">
              <w:rPr>
                <w:noProof/>
                <w:webHidden/>
              </w:rPr>
              <w:instrText xml:space="preserve"> PAGEREF _Toc422226829 \h </w:instrText>
            </w:r>
            <w:r w:rsidR="00FB659E">
              <w:rPr>
                <w:noProof/>
                <w:webHidden/>
              </w:rPr>
            </w:r>
            <w:r w:rsidR="00FB659E">
              <w:rPr>
                <w:noProof/>
                <w:webHidden/>
              </w:rPr>
              <w:fldChar w:fldCharType="separate"/>
            </w:r>
            <w:r w:rsidR="004A5B77">
              <w:rPr>
                <w:noProof/>
                <w:webHidden/>
              </w:rPr>
              <w:t>34</w:t>
            </w:r>
            <w:r w:rsidR="00FB659E">
              <w:rPr>
                <w:noProof/>
                <w:webHidden/>
              </w:rPr>
              <w:fldChar w:fldCharType="end"/>
            </w:r>
          </w:hyperlink>
        </w:p>
        <w:p w14:paraId="6DCCCFEB" w14:textId="2EA34648" w:rsidR="00FB659E" w:rsidRDefault="00914833">
          <w:pPr>
            <w:pStyle w:val="INNH2"/>
            <w:tabs>
              <w:tab w:val="left" w:pos="800"/>
            </w:tabs>
            <w:rPr>
              <w:rFonts w:asciiTheme="minorHAnsi" w:eastAsiaTheme="minorEastAsia" w:hAnsiTheme="minorHAnsi" w:cstheme="minorBidi"/>
              <w:b w:val="0"/>
              <w:noProof/>
              <w:sz w:val="22"/>
              <w:szCs w:val="22"/>
            </w:rPr>
          </w:pPr>
          <w:hyperlink w:anchor="_Toc422226830" w:history="1">
            <w:r w:rsidR="00FB659E" w:rsidRPr="00BF0226">
              <w:rPr>
                <w:rStyle w:val="Hyperkobling"/>
                <w:noProof/>
              </w:rPr>
              <w:t>1.7</w:t>
            </w:r>
            <w:r w:rsidR="00FB659E">
              <w:rPr>
                <w:rFonts w:asciiTheme="minorHAnsi" w:eastAsiaTheme="minorEastAsia" w:hAnsiTheme="minorHAnsi" w:cstheme="minorBidi"/>
                <w:b w:val="0"/>
                <w:noProof/>
                <w:sz w:val="22"/>
                <w:szCs w:val="22"/>
              </w:rPr>
              <w:tab/>
            </w:r>
            <w:r w:rsidR="00FB659E" w:rsidRPr="00BF0226">
              <w:rPr>
                <w:rStyle w:val="Hyperkobling"/>
                <w:noProof/>
              </w:rPr>
              <w:t>Lønnsutviklingen etter utdanning</w:t>
            </w:r>
            <w:r w:rsidR="00FB659E">
              <w:rPr>
                <w:noProof/>
                <w:webHidden/>
              </w:rPr>
              <w:tab/>
            </w:r>
            <w:r w:rsidR="00FB659E">
              <w:rPr>
                <w:noProof/>
                <w:webHidden/>
              </w:rPr>
              <w:fldChar w:fldCharType="begin"/>
            </w:r>
            <w:r w:rsidR="00FB659E">
              <w:rPr>
                <w:noProof/>
                <w:webHidden/>
              </w:rPr>
              <w:instrText xml:space="preserve"> PAGEREF _Toc422226830 \h </w:instrText>
            </w:r>
            <w:r w:rsidR="00FB659E">
              <w:rPr>
                <w:noProof/>
                <w:webHidden/>
              </w:rPr>
            </w:r>
            <w:r w:rsidR="00FB659E">
              <w:rPr>
                <w:noProof/>
                <w:webHidden/>
              </w:rPr>
              <w:fldChar w:fldCharType="separate"/>
            </w:r>
            <w:r w:rsidR="004A5B77">
              <w:rPr>
                <w:noProof/>
                <w:webHidden/>
              </w:rPr>
              <w:t>40</w:t>
            </w:r>
            <w:r w:rsidR="00FB659E">
              <w:rPr>
                <w:noProof/>
                <w:webHidden/>
              </w:rPr>
              <w:fldChar w:fldCharType="end"/>
            </w:r>
          </w:hyperlink>
        </w:p>
        <w:p w14:paraId="65516F4B" w14:textId="48CBFBBE" w:rsidR="00FB659E" w:rsidRDefault="00914833">
          <w:pPr>
            <w:pStyle w:val="INNH2"/>
            <w:tabs>
              <w:tab w:val="left" w:pos="800"/>
            </w:tabs>
            <w:rPr>
              <w:rFonts w:asciiTheme="minorHAnsi" w:eastAsiaTheme="minorEastAsia" w:hAnsiTheme="minorHAnsi" w:cstheme="minorBidi"/>
              <w:b w:val="0"/>
              <w:noProof/>
              <w:sz w:val="22"/>
              <w:szCs w:val="22"/>
            </w:rPr>
          </w:pPr>
          <w:hyperlink w:anchor="_Toc422226831" w:history="1">
            <w:r w:rsidR="00FB659E" w:rsidRPr="00BF0226">
              <w:rPr>
                <w:rStyle w:val="Hyperkobling"/>
                <w:noProof/>
              </w:rPr>
              <w:t>1.8</w:t>
            </w:r>
            <w:r w:rsidR="00FB659E">
              <w:rPr>
                <w:rFonts w:asciiTheme="minorHAnsi" w:eastAsiaTheme="minorEastAsia" w:hAnsiTheme="minorHAnsi" w:cstheme="minorBidi"/>
                <w:b w:val="0"/>
                <w:noProof/>
                <w:sz w:val="22"/>
                <w:szCs w:val="22"/>
              </w:rPr>
              <w:tab/>
            </w:r>
            <w:r w:rsidR="00FB659E" w:rsidRPr="00BF0226">
              <w:rPr>
                <w:rStyle w:val="Hyperkobling"/>
                <w:noProof/>
              </w:rPr>
              <w:t>Lønnsutviklingen for deltidsansatte</w:t>
            </w:r>
            <w:r w:rsidR="00FB659E">
              <w:rPr>
                <w:noProof/>
                <w:webHidden/>
              </w:rPr>
              <w:tab/>
            </w:r>
            <w:r w:rsidR="00FB659E">
              <w:rPr>
                <w:noProof/>
                <w:webHidden/>
              </w:rPr>
              <w:fldChar w:fldCharType="begin"/>
            </w:r>
            <w:r w:rsidR="00FB659E">
              <w:rPr>
                <w:noProof/>
                <w:webHidden/>
              </w:rPr>
              <w:instrText xml:space="preserve"> PAGEREF _Toc422226831 \h </w:instrText>
            </w:r>
            <w:r w:rsidR="00FB659E">
              <w:rPr>
                <w:noProof/>
                <w:webHidden/>
              </w:rPr>
            </w:r>
            <w:r w:rsidR="00FB659E">
              <w:rPr>
                <w:noProof/>
                <w:webHidden/>
              </w:rPr>
              <w:fldChar w:fldCharType="separate"/>
            </w:r>
            <w:r w:rsidR="004A5B77">
              <w:rPr>
                <w:noProof/>
                <w:webHidden/>
              </w:rPr>
              <w:t>46</w:t>
            </w:r>
            <w:r w:rsidR="00FB659E">
              <w:rPr>
                <w:noProof/>
                <w:webHidden/>
              </w:rPr>
              <w:fldChar w:fldCharType="end"/>
            </w:r>
          </w:hyperlink>
        </w:p>
        <w:p w14:paraId="00277315" w14:textId="54857BB8" w:rsidR="00FB659E" w:rsidRDefault="00914833">
          <w:pPr>
            <w:pStyle w:val="INNH2"/>
            <w:tabs>
              <w:tab w:val="left" w:pos="800"/>
            </w:tabs>
            <w:rPr>
              <w:rStyle w:val="Hyperkobling"/>
              <w:noProof/>
            </w:rPr>
          </w:pPr>
          <w:hyperlink w:anchor="_Toc422226832" w:history="1">
            <w:r w:rsidR="00FB659E" w:rsidRPr="00BF0226">
              <w:rPr>
                <w:rStyle w:val="Hyperkobling"/>
                <w:noProof/>
              </w:rPr>
              <w:t>1.9</w:t>
            </w:r>
            <w:r w:rsidR="00FB659E">
              <w:rPr>
                <w:rFonts w:asciiTheme="minorHAnsi" w:eastAsiaTheme="minorEastAsia" w:hAnsiTheme="minorHAnsi" w:cstheme="minorBidi"/>
                <w:b w:val="0"/>
                <w:noProof/>
                <w:sz w:val="22"/>
                <w:szCs w:val="22"/>
              </w:rPr>
              <w:tab/>
            </w:r>
            <w:r w:rsidR="00FB659E" w:rsidRPr="00BF0226">
              <w:rPr>
                <w:rStyle w:val="Hyperkobling"/>
                <w:noProof/>
              </w:rPr>
              <w:t>Lønnsfordelingen før skatt for lønnstakere 2005-2014</w:t>
            </w:r>
            <w:r w:rsidR="00FB659E">
              <w:rPr>
                <w:noProof/>
                <w:webHidden/>
              </w:rPr>
              <w:tab/>
            </w:r>
            <w:r w:rsidR="00FB659E">
              <w:rPr>
                <w:noProof/>
                <w:webHidden/>
              </w:rPr>
              <w:fldChar w:fldCharType="begin"/>
            </w:r>
            <w:r w:rsidR="00FB659E">
              <w:rPr>
                <w:noProof/>
                <w:webHidden/>
              </w:rPr>
              <w:instrText xml:space="preserve"> PAGEREF _Toc422226832 \h </w:instrText>
            </w:r>
            <w:r w:rsidR="00FB659E">
              <w:rPr>
                <w:noProof/>
                <w:webHidden/>
              </w:rPr>
            </w:r>
            <w:r w:rsidR="00FB659E">
              <w:rPr>
                <w:noProof/>
                <w:webHidden/>
              </w:rPr>
              <w:fldChar w:fldCharType="separate"/>
            </w:r>
            <w:r w:rsidR="004A5B77">
              <w:rPr>
                <w:noProof/>
                <w:webHidden/>
              </w:rPr>
              <w:t>47</w:t>
            </w:r>
            <w:r w:rsidR="00FB659E">
              <w:rPr>
                <w:noProof/>
                <w:webHidden/>
              </w:rPr>
              <w:fldChar w:fldCharType="end"/>
            </w:r>
          </w:hyperlink>
        </w:p>
        <w:p w14:paraId="6DD98A8D" w14:textId="54D6C619" w:rsidR="00FB659E" w:rsidRPr="00FB659E" w:rsidRDefault="00FB659E" w:rsidP="00FB659E">
          <w:pPr>
            <w:pStyle w:val="INNH2"/>
            <w:tabs>
              <w:tab w:val="left" w:pos="800"/>
            </w:tabs>
            <w:ind w:left="0"/>
            <w:rPr>
              <w:rFonts w:ascii="Arial" w:eastAsiaTheme="minorEastAsia" w:hAnsi="Arial" w:cs="Arial"/>
              <w:b w:val="0"/>
              <w:noProof/>
              <w:sz w:val="28"/>
              <w:szCs w:val="28"/>
            </w:rPr>
          </w:pPr>
          <w:r w:rsidRPr="00FB659E">
            <w:rPr>
              <w:rFonts w:ascii="Arial" w:eastAsiaTheme="minorEastAsia" w:hAnsi="Arial" w:cs="Arial"/>
              <w:b w:val="0"/>
              <w:noProof/>
              <w:sz w:val="28"/>
              <w:szCs w:val="28"/>
            </w:rPr>
            <w:lastRenderedPageBreak/>
            <w:t>Vedlegg:</w:t>
          </w:r>
        </w:p>
        <w:p w14:paraId="04769026" w14:textId="1FE81790" w:rsidR="00FB659E" w:rsidRDefault="00914833">
          <w:pPr>
            <w:pStyle w:val="INNH1"/>
            <w:rPr>
              <w:rFonts w:asciiTheme="minorHAnsi" w:eastAsiaTheme="minorEastAsia" w:hAnsiTheme="minorHAnsi" w:cstheme="minorBidi"/>
              <w:b w:val="0"/>
              <w:caps w:val="0"/>
              <w:noProof/>
              <w:sz w:val="22"/>
              <w:szCs w:val="22"/>
            </w:rPr>
          </w:pPr>
          <w:hyperlink w:anchor="_Toc422226833" w:history="1">
            <w:r w:rsidR="00FB659E" w:rsidRPr="00BF0226">
              <w:rPr>
                <w:rStyle w:val="Hyperkobling"/>
                <w:noProof/>
              </w:rPr>
              <w:t>1 Lønnsoppgjør i 2015</w:t>
            </w:r>
            <w:r w:rsidR="00FB659E">
              <w:rPr>
                <w:noProof/>
                <w:webHidden/>
              </w:rPr>
              <w:tab/>
            </w:r>
            <w:r w:rsidR="00FB659E">
              <w:rPr>
                <w:noProof/>
                <w:webHidden/>
              </w:rPr>
              <w:fldChar w:fldCharType="begin"/>
            </w:r>
            <w:r w:rsidR="00FB659E">
              <w:rPr>
                <w:noProof/>
                <w:webHidden/>
              </w:rPr>
              <w:instrText xml:space="preserve"> PAGEREF _Toc422226833 \h </w:instrText>
            </w:r>
            <w:r w:rsidR="00FB659E">
              <w:rPr>
                <w:noProof/>
                <w:webHidden/>
              </w:rPr>
            </w:r>
            <w:r w:rsidR="00FB659E">
              <w:rPr>
                <w:noProof/>
                <w:webHidden/>
              </w:rPr>
              <w:fldChar w:fldCharType="separate"/>
            </w:r>
            <w:r w:rsidR="004A5B77">
              <w:rPr>
                <w:noProof/>
                <w:webHidden/>
              </w:rPr>
              <w:t>53</w:t>
            </w:r>
            <w:r w:rsidR="00FB659E">
              <w:rPr>
                <w:noProof/>
                <w:webHidden/>
              </w:rPr>
              <w:fldChar w:fldCharType="end"/>
            </w:r>
          </w:hyperlink>
        </w:p>
        <w:p w14:paraId="5384B907" w14:textId="25DCC15C" w:rsidR="00FB659E" w:rsidRDefault="00914833">
          <w:pPr>
            <w:pStyle w:val="INNH2"/>
            <w:tabs>
              <w:tab w:val="left" w:pos="800"/>
            </w:tabs>
            <w:rPr>
              <w:rFonts w:asciiTheme="minorHAnsi" w:eastAsiaTheme="minorEastAsia" w:hAnsiTheme="minorHAnsi" w:cstheme="minorBidi"/>
              <w:b w:val="0"/>
              <w:noProof/>
              <w:sz w:val="22"/>
              <w:szCs w:val="22"/>
            </w:rPr>
          </w:pPr>
          <w:hyperlink w:anchor="_Toc422226834" w:history="1">
            <w:r w:rsidR="00FB659E" w:rsidRPr="00BF0226">
              <w:rPr>
                <w:rStyle w:val="Hyperkobling"/>
                <w:noProof/>
              </w:rPr>
              <w:t>1.1</w:t>
            </w:r>
            <w:r w:rsidR="00FB659E">
              <w:rPr>
                <w:rFonts w:asciiTheme="minorHAnsi" w:eastAsiaTheme="minorEastAsia" w:hAnsiTheme="minorHAnsi" w:cstheme="minorBidi"/>
                <w:b w:val="0"/>
                <w:noProof/>
                <w:sz w:val="22"/>
                <w:szCs w:val="22"/>
              </w:rPr>
              <w:tab/>
            </w:r>
            <w:r w:rsidR="00FB659E" w:rsidRPr="00BF0226">
              <w:rPr>
                <w:rStyle w:val="Hyperkobling"/>
                <w:noProof/>
              </w:rPr>
              <w:t>Vedtak foran mellomoppgjørene i 2015</w:t>
            </w:r>
            <w:r w:rsidR="00FB659E">
              <w:rPr>
                <w:noProof/>
                <w:webHidden/>
              </w:rPr>
              <w:tab/>
            </w:r>
            <w:r w:rsidR="00FB659E">
              <w:rPr>
                <w:noProof/>
                <w:webHidden/>
              </w:rPr>
              <w:fldChar w:fldCharType="begin"/>
            </w:r>
            <w:r w:rsidR="00FB659E">
              <w:rPr>
                <w:noProof/>
                <w:webHidden/>
              </w:rPr>
              <w:instrText xml:space="preserve"> PAGEREF _Toc422226834 \h </w:instrText>
            </w:r>
            <w:r w:rsidR="00FB659E">
              <w:rPr>
                <w:noProof/>
                <w:webHidden/>
              </w:rPr>
            </w:r>
            <w:r w:rsidR="00FB659E">
              <w:rPr>
                <w:noProof/>
                <w:webHidden/>
              </w:rPr>
              <w:fldChar w:fldCharType="separate"/>
            </w:r>
            <w:r w:rsidR="004A5B77">
              <w:rPr>
                <w:noProof/>
                <w:webHidden/>
              </w:rPr>
              <w:t>53</w:t>
            </w:r>
            <w:r w:rsidR="00FB659E">
              <w:rPr>
                <w:noProof/>
                <w:webHidden/>
              </w:rPr>
              <w:fldChar w:fldCharType="end"/>
            </w:r>
          </w:hyperlink>
        </w:p>
        <w:p w14:paraId="25BB24BC" w14:textId="20F2BC4B" w:rsidR="00FB659E" w:rsidRDefault="00914833">
          <w:pPr>
            <w:pStyle w:val="INNH2"/>
            <w:tabs>
              <w:tab w:val="left" w:pos="800"/>
            </w:tabs>
            <w:rPr>
              <w:rFonts w:asciiTheme="minorHAnsi" w:eastAsiaTheme="minorEastAsia" w:hAnsiTheme="minorHAnsi" w:cstheme="minorBidi"/>
              <w:b w:val="0"/>
              <w:noProof/>
              <w:sz w:val="22"/>
              <w:szCs w:val="22"/>
            </w:rPr>
          </w:pPr>
          <w:hyperlink w:anchor="_Toc422226835" w:history="1">
            <w:r w:rsidR="00FB659E" w:rsidRPr="00BF0226">
              <w:rPr>
                <w:rStyle w:val="Hyperkobling"/>
                <w:noProof/>
              </w:rPr>
              <w:t>1.2</w:t>
            </w:r>
            <w:r w:rsidR="00FB659E">
              <w:rPr>
                <w:rFonts w:asciiTheme="minorHAnsi" w:eastAsiaTheme="minorEastAsia" w:hAnsiTheme="minorHAnsi" w:cstheme="minorBidi"/>
                <w:b w:val="0"/>
                <w:noProof/>
                <w:sz w:val="22"/>
                <w:szCs w:val="22"/>
              </w:rPr>
              <w:tab/>
            </w:r>
            <w:r w:rsidR="00FB659E" w:rsidRPr="00BF0226">
              <w:rPr>
                <w:rStyle w:val="Hyperkobling"/>
                <w:noProof/>
              </w:rPr>
              <w:t>Oppgjørene i privat sektor</w:t>
            </w:r>
            <w:r w:rsidR="00FB659E">
              <w:rPr>
                <w:noProof/>
                <w:webHidden/>
              </w:rPr>
              <w:tab/>
            </w:r>
            <w:r w:rsidR="00FB659E">
              <w:rPr>
                <w:noProof/>
                <w:webHidden/>
              </w:rPr>
              <w:fldChar w:fldCharType="begin"/>
            </w:r>
            <w:r w:rsidR="00FB659E">
              <w:rPr>
                <w:noProof/>
                <w:webHidden/>
              </w:rPr>
              <w:instrText xml:space="preserve"> PAGEREF _Toc422226835 \h </w:instrText>
            </w:r>
            <w:r w:rsidR="00FB659E">
              <w:rPr>
                <w:noProof/>
                <w:webHidden/>
              </w:rPr>
            </w:r>
            <w:r w:rsidR="00FB659E">
              <w:rPr>
                <w:noProof/>
                <w:webHidden/>
              </w:rPr>
              <w:fldChar w:fldCharType="separate"/>
            </w:r>
            <w:r w:rsidR="004A5B77">
              <w:rPr>
                <w:noProof/>
                <w:webHidden/>
              </w:rPr>
              <w:t>57</w:t>
            </w:r>
            <w:r w:rsidR="00FB659E">
              <w:rPr>
                <w:noProof/>
                <w:webHidden/>
              </w:rPr>
              <w:fldChar w:fldCharType="end"/>
            </w:r>
          </w:hyperlink>
        </w:p>
        <w:p w14:paraId="177D162B" w14:textId="1B2E42DE" w:rsidR="00FB659E" w:rsidRDefault="00914833">
          <w:pPr>
            <w:pStyle w:val="INNH3"/>
            <w:tabs>
              <w:tab w:val="left" w:pos="1200"/>
            </w:tabs>
            <w:rPr>
              <w:rFonts w:asciiTheme="minorHAnsi" w:eastAsiaTheme="minorEastAsia" w:hAnsiTheme="minorHAnsi" w:cstheme="minorBidi"/>
              <w:noProof/>
              <w:sz w:val="22"/>
              <w:szCs w:val="22"/>
            </w:rPr>
          </w:pPr>
          <w:hyperlink w:anchor="_Toc422226836" w:history="1">
            <w:r w:rsidR="00FB659E" w:rsidRPr="00BF0226">
              <w:rPr>
                <w:rStyle w:val="Hyperkobling"/>
                <w:noProof/>
              </w:rPr>
              <w:t>1.2.1</w:t>
            </w:r>
            <w:r w:rsidR="00FB659E">
              <w:rPr>
                <w:rFonts w:asciiTheme="minorHAnsi" w:eastAsiaTheme="minorEastAsia" w:hAnsiTheme="minorHAnsi" w:cstheme="minorBidi"/>
                <w:noProof/>
                <w:sz w:val="22"/>
                <w:szCs w:val="22"/>
              </w:rPr>
              <w:tab/>
            </w:r>
            <w:r w:rsidR="00FB659E" w:rsidRPr="00BF0226">
              <w:rPr>
                <w:rStyle w:val="Hyperkobling"/>
                <w:noProof/>
              </w:rPr>
              <w:t>LO-NHO-området</w:t>
            </w:r>
            <w:r w:rsidR="00FB659E">
              <w:rPr>
                <w:noProof/>
                <w:webHidden/>
              </w:rPr>
              <w:tab/>
            </w:r>
            <w:r w:rsidR="00FB659E">
              <w:rPr>
                <w:noProof/>
                <w:webHidden/>
              </w:rPr>
              <w:fldChar w:fldCharType="begin"/>
            </w:r>
            <w:r w:rsidR="00FB659E">
              <w:rPr>
                <w:noProof/>
                <w:webHidden/>
              </w:rPr>
              <w:instrText xml:space="preserve"> PAGEREF _Toc422226836 \h </w:instrText>
            </w:r>
            <w:r w:rsidR="00FB659E">
              <w:rPr>
                <w:noProof/>
                <w:webHidden/>
              </w:rPr>
            </w:r>
            <w:r w:rsidR="00FB659E">
              <w:rPr>
                <w:noProof/>
                <w:webHidden/>
              </w:rPr>
              <w:fldChar w:fldCharType="separate"/>
            </w:r>
            <w:r w:rsidR="004A5B77">
              <w:rPr>
                <w:noProof/>
                <w:webHidden/>
              </w:rPr>
              <w:t>57</w:t>
            </w:r>
            <w:r w:rsidR="00FB659E">
              <w:rPr>
                <w:noProof/>
                <w:webHidden/>
              </w:rPr>
              <w:fldChar w:fldCharType="end"/>
            </w:r>
          </w:hyperlink>
        </w:p>
        <w:p w14:paraId="34C8293E" w14:textId="58C80C46" w:rsidR="00FB659E" w:rsidRDefault="00914833">
          <w:pPr>
            <w:pStyle w:val="INNH3"/>
            <w:tabs>
              <w:tab w:val="left" w:pos="1200"/>
            </w:tabs>
            <w:rPr>
              <w:rFonts w:asciiTheme="minorHAnsi" w:eastAsiaTheme="minorEastAsia" w:hAnsiTheme="minorHAnsi" w:cstheme="minorBidi"/>
              <w:noProof/>
              <w:sz w:val="22"/>
              <w:szCs w:val="22"/>
            </w:rPr>
          </w:pPr>
          <w:hyperlink w:anchor="_Toc422226837" w:history="1">
            <w:r w:rsidR="00FB659E" w:rsidRPr="00BF0226">
              <w:rPr>
                <w:rStyle w:val="Hyperkobling"/>
                <w:noProof/>
              </w:rPr>
              <w:t>1.2.2</w:t>
            </w:r>
            <w:r w:rsidR="00FB659E">
              <w:rPr>
                <w:rFonts w:asciiTheme="minorHAnsi" w:eastAsiaTheme="minorEastAsia" w:hAnsiTheme="minorHAnsi" w:cstheme="minorBidi"/>
                <w:noProof/>
                <w:sz w:val="22"/>
                <w:szCs w:val="22"/>
              </w:rPr>
              <w:tab/>
            </w:r>
            <w:r w:rsidR="00FB659E" w:rsidRPr="00BF0226">
              <w:rPr>
                <w:rStyle w:val="Hyperkobling"/>
                <w:noProof/>
              </w:rPr>
              <w:t>Oppgjørene i privat sektor utenom LO-NHO-området</w:t>
            </w:r>
            <w:r w:rsidR="00FB659E">
              <w:rPr>
                <w:noProof/>
                <w:webHidden/>
              </w:rPr>
              <w:tab/>
            </w:r>
            <w:r w:rsidR="00FB659E">
              <w:rPr>
                <w:noProof/>
                <w:webHidden/>
              </w:rPr>
              <w:fldChar w:fldCharType="begin"/>
            </w:r>
            <w:r w:rsidR="00FB659E">
              <w:rPr>
                <w:noProof/>
                <w:webHidden/>
              </w:rPr>
              <w:instrText xml:space="preserve"> PAGEREF _Toc422226837 \h </w:instrText>
            </w:r>
            <w:r w:rsidR="00FB659E">
              <w:rPr>
                <w:noProof/>
                <w:webHidden/>
              </w:rPr>
            </w:r>
            <w:r w:rsidR="00FB659E">
              <w:rPr>
                <w:noProof/>
                <w:webHidden/>
              </w:rPr>
              <w:fldChar w:fldCharType="separate"/>
            </w:r>
            <w:r w:rsidR="004A5B77">
              <w:rPr>
                <w:noProof/>
                <w:webHidden/>
              </w:rPr>
              <w:t>59</w:t>
            </w:r>
            <w:r w:rsidR="00FB659E">
              <w:rPr>
                <w:noProof/>
                <w:webHidden/>
              </w:rPr>
              <w:fldChar w:fldCharType="end"/>
            </w:r>
          </w:hyperlink>
        </w:p>
        <w:p w14:paraId="7DE2FD25" w14:textId="0D8BBA2A" w:rsidR="00FB659E" w:rsidRDefault="00914833">
          <w:pPr>
            <w:pStyle w:val="INNH2"/>
            <w:tabs>
              <w:tab w:val="left" w:pos="800"/>
            </w:tabs>
            <w:rPr>
              <w:rFonts w:asciiTheme="minorHAnsi" w:eastAsiaTheme="minorEastAsia" w:hAnsiTheme="minorHAnsi" w:cstheme="minorBidi"/>
              <w:b w:val="0"/>
              <w:noProof/>
              <w:sz w:val="22"/>
              <w:szCs w:val="22"/>
            </w:rPr>
          </w:pPr>
          <w:hyperlink w:anchor="_Toc422226838" w:history="1">
            <w:r w:rsidR="00FB659E" w:rsidRPr="00BF0226">
              <w:rPr>
                <w:rStyle w:val="Hyperkobling"/>
                <w:noProof/>
              </w:rPr>
              <w:t>1.3</w:t>
            </w:r>
            <w:r w:rsidR="00FB659E">
              <w:rPr>
                <w:rFonts w:asciiTheme="minorHAnsi" w:eastAsiaTheme="minorEastAsia" w:hAnsiTheme="minorHAnsi" w:cstheme="minorBidi"/>
                <w:b w:val="0"/>
                <w:noProof/>
                <w:sz w:val="22"/>
                <w:szCs w:val="22"/>
              </w:rPr>
              <w:tab/>
            </w:r>
            <w:r w:rsidR="00FB659E" w:rsidRPr="00BF0226">
              <w:rPr>
                <w:rStyle w:val="Hyperkobling"/>
                <w:noProof/>
              </w:rPr>
              <w:t>Oppgjørene i offentlig sektor</w:t>
            </w:r>
            <w:r w:rsidR="00FB659E">
              <w:rPr>
                <w:noProof/>
                <w:webHidden/>
              </w:rPr>
              <w:tab/>
            </w:r>
            <w:r w:rsidR="00FB659E">
              <w:rPr>
                <w:noProof/>
                <w:webHidden/>
              </w:rPr>
              <w:fldChar w:fldCharType="begin"/>
            </w:r>
            <w:r w:rsidR="00FB659E">
              <w:rPr>
                <w:noProof/>
                <w:webHidden/>
              </w:rPr>
              <w:instrText xml:space="preserve"> PAGEREF _Toc422226838 \h </w:instrText>
            </w:r>
            <w:r w:rsidR="00FB659E">
              <w:rPr>
                <w:noProof/>
                <w:webHidden/>
              </w:rPr>
            </w:r>
            <w:r w:rsidR="00FB659E">
              <w:rPr>
                <w:noProof/>
                <w:webHidden/>
              </w:rPr>
              <w:fldChar w:fldCharType="separate"/>
            </w:r>
            <w:r w:rsidR="004A5B77">
              <w:rPr>
                <w:noProof/>
                <w:webHidden/>
              </w:rPr>
              <w:t>60</w:t>
            </w:r>
            <w:r w:rsidR="00FB659E">
              <w:rPr>
                <w:noProof/>
                <w:webHidden/>
              </w:rPr>
              <w:fldChar w:fldCharType="end"/>
            </w:r>
          </w:hyperlink>
        </w:p>
        <w:p w14:paraId="08167B8A" w14:textId="4471A3D7" w:rsidR="00FB659E" w:rsidRDefault="00914833">
          <w:pPr>
            <w:pStyle w:val="INNH2"/>
            <w:tabs>
              <w:tab w:val="left" w:pos="800"/>
            </w:tabs>
            <w:rPr>
              <w:rFonts w:asciiTheme="minorHAnsi" w:eastAsiaTheme="minorEastAsia" w:hAnsiTheme="minorHAnsi" w:cstheme="minorBidi"/>
              <w:b w:val="0"/>
              <w:noProof/>
              <w:sz w:val="22"/>
              <w:szCs w:val="22"/>
            </w:rPr>
          </w:pPr>
          <w:hyperlink w:anchor="_Toc422226839" w:history="1">
            <w:r w:rsidR="00FB659E" w:rsidRPr="00BF0226">
              <w:rPr>
                <w:rStyle w:val="Hyperkobling"/>
                <w:noProof/>
              </w:rPr>
              <w:t>1.4</w:t>
            </w:r>
            <w:r w:rsidR="00FB659E">
              <w:rPr>
                <w:rFonts w:asciiTheme="minorHAnsi" w:eastAsiaTheme="minorEastAsia" w:hAnsiTheme="minorHAnsi" w:cstheme="minorBidi"/>
                <w:b w:val="0"/>
                <w:noProof/>
                <w:sz w:val="22"/>
                <w:szCs w:val="22"/>
              </w:rPr>
              <w:tab/>
            </w:r>
            <w:r w:rsidR="00FB659E" w:rsidRPr="00BF0226">
              <w:rPr>
                <w:rStyle w:val="Hyperkobling"/>
                <w:noProof/>
              </w:rPr>
              <w:t>Oppgjørene i Spekter-området</w:t>
            </w:r>
            <w:r w:rsidR="00FB659E">
              <w:rPr>
                <w:noProof/>
                <w:webHidden/>
              </w:rPr>
              <w:tab/>
            </w:r>
            <w:r w:rsidR="00FB659E">
              <w:rPr>
                <w:noProof/>
                <w:webHidden/>
              </w:rPr>
              <w:fldChar w:fldCharType="begin"/>
            </w:r>
            <w:r w:rsidR="00FB659E">
              <w:rPr>
                <w:noProof/>
                <w:webHidden/>
              </w:rPr>
              <w:instrText xml:space="preserve"> PAGEREF _Toc422226839 \h </w:instrText>
            </w:r>
            <w:r w:rsidR="00FB659E">
              <w:rPr>
                <w:noProof/>
                <w:webHidden/>
              </w:rPr>
            </w:r>
            <w:r w:rsidR="00FB659E">
              <w:rPr>
                <w:noProof/>
                <w:webHidden/>
              </w:rPr>
              <w:fldChar w:fldCharType="separate"/>
            </w:r>
            <w:r w:rsidR="004A5B77">
              <w:rPr>
                <w:noProof/>
                <w:webHidden/>
              </w:rPr>
              <w:t>63</w:t>
            </w:r>
            <w:r w:rsidR="00FB659E">
              <w:rPr>
                <w:noProof/>
                <w:webHidden/>
              </w:rPr>
              <w:fldChar w:fldCharType="end"/>
            </w:r>
          </w:hyperlink>
        </w:p>
        <w:p w14:paraId="618E23CA" w14:textId="56A74CFD" w:rsidR="00FB659E" w:rsidRDefault="00914833">
          <w:pPr>
            <w:pStyle w:val="INNH2"/>
            <w:tabs>
              <w:tab w:val="left" w:pos="800"/>
            </w:tabs>
            <w:rPr>
              <w:rFonts w:asciiTheme="minorHAnsi" w:eastAsiaTheme="minorEastAsia" w:hAnsiTheme="minorHAnsi" w:cstheme="minorBidi"/>
              <w:b w:val="0"/>
              <w:noProof/>
              <w:sz w:val="22"/>
              <w:szCs w:val="22"/>
            </w:rPr>
          </w:pPr>
          <w:hyperlink w:anchor="_Toc422226840" w:history="1">
            <w:r w:rsidR="00FB659E" w:rsidRPr="00BF0226">
              <w:rPr>
                <w:rStyle w:val="Hyperkobling"/>
                <w:noProof/>
              </w:rPr>
              <w:t>1.5</w:t>
            </w:r>
            <w:r w:rsidR="00FB659E">
              <w:rPr>
                <w:rFonts w:asciiTheme="minorHAnsi" w:eastAsiaTheme="minorEastAsia" w:hAnsiTheme="minorHAnsi" w:cstheme="minorBidi"/>
                <w:b w:val="0"/>
                <w:noProof/>
                <w:sz w:val="22"/>
                <w:szCs w:val="22"/>
              </w:rPr>
              <w:tab/>
            </w:r>
            <w:r w:rsidR="00FB659E" w:rsidRPr="00BF0226">
              <w:rPr>
                <w:rStyle w:val="Hyperkobling"/>
                <w:noProof/>
              </w:rPr>
              <w:t>Konflikter i 2015-oppgjøret</w:t>
            </w:r>
            <w:r w:rsidR="00FB659E">
              <w:rPr>
                <w:noProof/>
                <w:webHidden/>
              </w:rPr>
              <w:tab/>
            </w:r>
            <w:r w:rsidR="00FB659E">
              <w:rPr>
                <w:noProof/>
                <w:webHidden/>
              </w:rPr>
              <w:fldChar w:fldCharType="begin"/>
            </w:r>
            <w:r w:rsidR="00FB659E">
              <w:rPr>
                <w:noProof/>
                <w:webHidden/>
              </w:rPr>
              <w:instrText xml:space="preserve"> PAGEREF _Toc422226840 \h </w:instrText>
            </w:r>
            <w:r w:rsidR="00FB659E">
              <w:rPr>
                <w:noProof/>
                <w:webHidden/>
              </w:rPr>
            </w:r>
            <w:r w:rsidR="00FB659E">
              <w:rPr>
                <w:noProof/>
                <w:webHidden/>
              </w:rPr>
              <w:fldChar w:fldCharType="separate"/>
            </w:r>
            <w:r w:rsidR="004A5B77">
              <w:rPr>
                <w:noProof/>
                <w:webHidden/>
              </w:rPr>
              <w:t>64</w:t>
            </w:r>
            <w:r w:rsidR="00FB659E">
              <w:rPr>
                <w:noProof/>
                <w:webHidden/>
              </w:rPr>
              <w:fldChar w:fldCharType="end"/>
            </w:r>
          </w:hyperlink>
        </w:p>
        <w:p w14:paraId="24FFE13D" w14:textId="6B41769A" w:rsidR="00FB659E" w:rsidRDefault="00914833">
          <w:pPr>
            <w:pStyle w:val="INNH1"/>
            <w:tabs>
              <w:tab w:val="left" w:pos="400"/>
            </w:tabs>
            <w:rPr>
              <w:rFonts w:asciiTheme="minorHAnsi" w:eastAsiaTheme="minorEastAsia" w:hAnsiTheme="minorHAnsi" w:cstheme="minorBidi"/>
              <w:b w:val="0"/>
              <w:caps w:val="0"/>
              <w:noProof/>
              <w:sz w:val="22"/>
              <w:szCs w:val="22"/>
            </w:rPr>
          </w:pPr>
          <w:hyperlink w:anchor="_Toc422226841" w:history="1">
            <w:r w:rsidR="00FB659E" w:rsidRPr="00BF0226">
              <w:rPr>
                <w:rStyle w:val="Hyperkobling"/>
                <w:noProof/>
              </w:rPr>
              <w:t>2</w:t>
            </w:r>
            <w:r w:rsidR="00FB659E">
              <w:rPr>
                <w:rFonts w:asciiTheme="minorHAnsi" w:eastAsiaTheme="minorEastAsia" w:hAnsiTheme="minorHAnsi" w:cstheme="minorBidi"/>
                <w:b w:val="0"/>
                <w:caps w:val="0"/>
                <w:noProof/>
                <w:sz w:val="22"/>
                <w:szCs w:val="22"/>
              </w:rPr>
              <w:tab/>
            </w:r>
            <w:r w:rsidR="00FB659E" w:rsidRPr="00BF0226">
              <w:rPr>
                <w:rStyle w:val="Hyperkobling"/>
                <w:noProof/>
              </w:rPr>
              <w:t>Tabellvedlegg</w:t>
            </w:r>
            <w:r w:rsidR="00FB659E">
              <w:rPr>
                <w:noProof/>
                <w:webHidden/>
              </w:rPr>
              <w:tab/>
            </w:r>
            <w:r w:rsidR="00FB659E">
              <w:rPr>
                <w:noProof/>
                <w:webHidden/>
              </w:rPr>
              <w:fldChar w:fldCharType="begin"/>
            </w:r>
            <w:r w:rsidR="00FB659E">
              <w:rPr>
                <w:noProof/>
                <w:webHidden/>
              </w:rPr>
              <w:instrText xml:space="preserve"> PAGEREF _Toc422226841 \h </w:instrText>
            </w:r>
            <w:r w:rsidR="00FB659E">
              <w:rPr>
                <w:noProof/>
                <w:webHidden/>
              </w:rPr>
            </w:r>
            <w:r w:rsidR="00FB659E">
              <w:rPr>
                <w:noProof/>
                <w:webHidden/>
              </w:rPr>
              <w:fldChar w:fldCharType="separate"/>
            </w:r>
            <w:r w:rsidR="004A5B77">
              <w:rPr>
                <w:noProof/>
                <w:webHidden/>
              </w:rPr>
              <w:t>67</w:t>
            </w:r>
            <w:r w:rsidR="00FB659E">
              <w:rPr>
                <w:noProof/>
                <w:webHidden/>
              </w:rPr>
              <w:fldChar w:fldCharType="end"/>
            </w:r>
          </w:hyperlink>
        </w:p>
        <w:p w14:paraId="0770A75F" w14:textId="496FD2FA" w:rsidR="00FB659E" w:rsidRDefault="00914833">
          <w:pPr>
            <w:pStyle w:val="INNH1"/>
            <w:tabs>
              <w:tab w:val="left" w:pos="400"/>
            </w:tabs>
            <w:rPr>
              <w:rFonts w:asciiTheme="minorHAnsi" w:eastAsiaTheme="minorEastAsia" w:hAnsiTheme="minorHAnsi" w:cstheme="minorBidi"/>
              <w:b w:val="0"/>
              <w:caps w:val="0"/>
              <w:noProof/>
              <w:sz w:val="22"/>
              <w:szCs w:val="22"/>
            </w:rPr>
          </w:pPr>
          <w:hyperlink w:anchor="_Toc422226842" w:history="1">
            <w:r w:rsidR="00FB659E" w:rsidRPr="00BF0226">
              <w:rPr>
                <w:rStyle w:val="Hyperkobling"/>
                <w:noProof/>
              </w:rPr>
              <w:t>3</w:t>
            </w:r>
            <w:r w:rsidR="00FB659E">
              <w:rPr>
                <w:rFonts w:asciiTheme="minorHAnsi" w:eastAsiaTheme="minorEastAsia" w:hAnsiTheme="minorHAnsi" w:cstheme="minorBidi"/>
                <w:b w:val="0"/>
                <w:caps w:val="0"/>
                <w:noProof/>
                <w:sz w:val="22"/>
                <w:szCs w:val="22"/>
              </w:rPr>
              <w:tab/>
            </w:r>
            <w:r w:rsidR="00FB659E" w:rsidRPr="00BF0226">
              <w:rPr>
                <w:rStyle w:val="Hyperkobling"/>
                <w:noProof/>
              </w:rPr>
              <w:t>Allmenngjøringsforskrifter</w:t>
            </w:r>
            <w:r w:rsidR="00FB659E">
              <w:rPr>
                <w:noProof/>
                <w:webHidden/>
              </w:rPr>
              <w:tab/>
            </w:r>
            <w:r w:rsidR="00FB659E">
              <w:rPr>
                <w:noProof/>
                <w:webHidden/>
              </w:rPr>
              <w:fldChar w:fldCharType="begin"/>
            </w:r>
            <w:r w:rsidR="00FB659E">
              <w:rPr>
                <w:noProof/>
                <w:webHidden/>
              </w:rPr>
              <w:instrText xml:space="preserve"> PAGEREF _Toc422226842 \h </w:instrText>
            </w:r>
            <w:r w:rsidR="00FB659E">
              <w:rPr>
                <w:noProof/>
                <w:webHidden/>
              </w:rPr>
            </w:r>
            <w:r w:rsidR="00FB659E">
              <w:rPr>
                <w:noProof/>
                <w:webHidden/>
              </w:rPr>
              <w:fldChar w:fldCharType="separate"/>
            </w:r>
            <w:r w:rsidR="004A5B77">
              <w:rPr>
                <w:noProof/>
                <w:webHidden/>
              </w:rPr>
              <w:t>73</w:t>
            </w:r>
            <w:r w:rsidR="00FB659E">
              <w:rPr>
                <w:noProof/>
                <w:webHidden/>
              </w:rPr>
              <w:fldChar w:fldCharType="end"/>
            </w:r>
          </w:hyperlink>
        </w:p>
        <w:p w14:paraId="38035309" w14:textId="1D1310A4" w:rsidR="00462B43" w:rsidRDefault="00E256ED" w:rsidP="006B0714">
          <w:pPr>
            <w:pStyle w:val="INNH1"/>
            <w:tabs>
              <w:tab w:val="left" w:pos="400"/>
            </w:tabs>
          </w:pPr>
          <w:r>
            <w:fldChar w:fldCharType="end"/>
          </w:r>
        </w:p>
      </w:sdtContent>
    </w:sdt>
    <w:bookmarkEnd w:id="20"/>
    <w:bookmarkEnd w:id="19"/>
    <w:bookmarkEnd w:id="18"/>
    <w:bookmarkEnd w:id="17"/>
    <w:bookmarkEnd w:id="16"/>
    <w:bookmarkEnd w:id="15"/>
    <w:bookmarkEnd w:id="14"/>
    <w:bookmarkEnd w:id="13"/>
    <w:bookmarkEnd w:id="12"/>
    <w:bookmarkEnd w:id="11"/>
    <w:bookmarkEnd w:id="10"/>
    <w:bookmarkEnd w:id="9"/>
    <w:bookmarkEnd w:id="8"/>
    <w:p w14:paraId="70C58B32" w14:textId="77777777" w:rsidR="00A26BEB" w:rsidRDefault="00A26BEB">
      <w:pPr>
        <w:spacing w:after="0"/>
        <w:rPr>
          <w:rFonts w:asciiTheme="majorHAnsi" w:hAnsiTheme="majorHAnsi"/>
          <w:sz w:val="52"/>
          <w:szCs w:val="52"/>
        </w:rPr>
      </w:pPr>
      <w:r>
        <w:rPr>
          <w:rFonts w:asciiTheme="majorHAnsi" w:hAnsiTheme="majorHAnsi"/>
          <w:sz w:val="52"/>
          <w:szCs w:val="52"/>
        </w:rPr>
        <w:br w:type="page"/>
      </w:r>
    </w:p>
    <w:p w14:paraId="729545E0" w14:textId="44865707" w:rsidR="00364674" w:rsidRDefault="00364674" w:rsidP="00364674">
      <w:pPr>
        <w:jc w:val="center"/>
        <w:rPr>
          <w:rFonts w:asciiTheme="majorHAnsi" w:hAnsiTheme="majorHAnsi"/>
          <w:sz w:val="52"/>
          <w:szCs w:val="52"/>
        </w:rPr>
      </w:pPr>
      <w:r w:rsidRPr="00B12041">
        <w:rPr>
          <w:rFonts w:asciiTheme="majorHAnsi" w:hAnsiTheme="majorHAnsi"/>
          <w:sz w:val="52"/>
          <w:szCs w:val="52"/>
        </w:rPr>
        <w:lastRenderedPageBreak/>
        <w:t>Kapittel 1</w:t>
      </w:r>
    </w:p>
    <w:p w14:paraId="63A698C3" w14:textId="77777777" w:rsidR="00364674" w:rsidRPr="003C3D4C" w:rsidRDefault="00364674" w:rsidP="003C3D4C"/>
    <w:p w14:paraId="7F5C0655" w14:textId="570C0272" w:rsidR="005D1D4C" w:rsidRPr="001F047F" w:rsidRDefault="00364674" w:rsidP="001F047F">
      <w:pPr>
        <w:pStyle w:val="Overskrift1"/>
        <w:spacing w:before="240"/>
        <w:jc w:val="center"/>
      </w:pPr>
      <w:bookmarkStart w:id="21" w:name="_Toc351913423"/>
      <w:bookmarkStart w:id="22" w:name="_Toc422226810"/>
      <w:r w:rsidRPr="00C558CD">
        <w:t>Lønnsutviklingen i senere år</w:t>
      </w:r>
      <w:bookmarkEnd w:id="21"/>
      <w:bookmarkEnd w:id="22"/>
      <w:r w:rsidR="001F047F">
        <w:br/>
      </w:r>
    </w:p>
    <w:p w14:paraId="49BED7C1" w14:textId="28EC909C" w:rsidR="00281F28" w:rsidRDefault="00E56863" w:rsidP="00E56863">
      <w:pPr>
        <w:pStyle w:val="Listeavsnitt"/>
        <w:numPr>
          <w:ilvl w:val="0"/>
          <w:numId w:val="60"/>
        </w:numPr>
        <w:spacing w:before="0" w:after="120" w:line="240" w:lineRule="auto"/>
        <w:rPr>
          <w:szCs w:val="24"/>
        </w:rPr>
      </w:pPr>
      <w:r>
        <w:rPr>
          <w:szCs w:val="24"/>
        </w:rPr>
        <w:t xml:space="preserve">For </w:t>
      </w:r>
      <w:r>
        <w:rPr>
          <w:i/>
          <w:iCs/>
          <w:szCs w:val="24"/>
        </w:rPr>
        <w:t>industriarbeidere</w:t>
      </w:r>
      <w:r>
        <w:rPr>
          <w:bCs/>
          <w:i/>
          <w:szCs w:val="24"/>
        </w:rPr>
        <w:t xml:space="preserve"> </w:t>
      </w:r>
      <w:r>
        <w:rPr>
          <w:i/>
          <w:iCs/>
          <w:szCs w:val="24"/>
        </w:rPr>
        <w:t>i NHO-bedrifter</w:t>
      </w:r>
      <w:r>
        <w:rPr>
          <w:szCs w:val="24"/>
        </w:rPr>
        <w:t xml:space="preserve"> gir de avtalte tarifftilleggene </w:t>
      </w:r>
      <w:r w:rsidR="00281F28">
        <w:rPr>
          <w:szCs w:val="24"/>
        </w:rPr>
        <w:t xml:space="preserve">mellom LO og NHO </w:t>
      </w:r>
      <w:r>
        <w:rPr>
          <w:szCs w:val="24"/>
        </w:rPr>
        <w:t xml:space="preserve">i mellomoppgjøret i 2015 og bidrag fra garantiordninger og sentrale tilpasninger av minstelønnssatser, et bidrag til årslønnsveksten på 0,1-0,2 prosentpoeng. Sammen med lønnsoverhenget til 2015 på 1,0 prosent gir dette en årslønnsvekst fra 2014 til 2015 på 1,1-1,2 prosent før bidrag fra lønnsglidningen i 2015. </w:t>
      </w:r>
    </w:p>
    <w:p w14:paraId="3013759F" w14:textId="0F125F5A" w:rsidR="00E56863" w:rsidRDefault="00281F28" w:rsidP="00E56863">
      <w:pPr>
        <w:pStyle w:val="Listeavsnitt"/>
        <w:numPr>
          <w:ilvl w:val="0"/>
          <w:numId w:val="60"/>
        </w:numPr>
        <w:spacing w:before="0" w:after="120" w:line="240" w:lineRule="auto"/>
        <w:rPr>
          <w:szCs w:val="24"/>
        </w:rPr>
      </w:pPr>
      <w:r>
        <w:rPr>
          <w:szCs w:val="24"/>
        </w:rPr>
        <w:t>Ved</w:t>
      </w:r>
      <w:r w:rsidR="00E56863">
        <w:rPr>
          <w:szCs w:val="24"/>
        </w:rPr>
        <w:t xml:space="preserve"> mellomoppgjøret anslo NHO, i forståelse med LO, årslønnsveksten i industrien samlet i NHO-området til 2,7 prosent i 2015. </w:t>
      </w:r>
    </w:p>
    <w:p w14:paraId="759425C2" w14:textId="677B72FD" w:rsidR="00E56863" w:rsidRDefault="00E56863" w:rsidP="00E56863">
      <w:pPr>
        <w:pStyle w:val="Listeavsnitt"/>
        <w:numPr>
          <w:ilvl w:val="0"/>
          <w:numId w:val="60"/>
        </w:numPr>
        <w:suppressAutoHyphens/>
        <w:autoSpaceDE w:val="0"/>
        <w:autoSpaceDN w:val="0"/>
        <w:adjustRightInd w:val="0"/>
        <w:spacing w:before="0" w:after="120" w:line="240" w:lineRule="auto"/>
        <w:rPr>
          <w:noProof/>
          <w:szCs w:val="24"/>
        </w:rPr>
      </w:pPr>
      <w:r>
        <w:rPr>
          <w:snapToGrid w:val="0"/>
          <w:szCs w:val="24"/>
        </w:rPr>
        <w:t xml:space="preserve">For </w:t>
      </w:r>
      <w:r>
        <w:rPr>
          <w:i/>
          <w:snapToGrid w:val="0"/>
          <w:szCs w:val="24"/>
        </w:rPr>
        <w:t>Virke-bedrifter i varehandel</w:t>
      </w:r>
      <w:r>
        <w:rPr>
          <w:snapToGrid w:val="0"/>
          <w:szCs w:val="24"/>
        </w:rPr>
        <w:t xml:space="preserve"> gir de avtalte tarifftilleggene i 2015</w:t>
      </w:r>
      <w:r w:rsidR="00974D36">
        <w:rPr>
          <w:snapToGrid w:val="0"/>
          <w:szCs w:val="24"/>
        </w:rPr>
        <w:t xml:space="preserve"> på</w:t>
      </w:r>
      <w:r>
        <w:rPr>
          <w:snapToGrid w:val="0"/>
          <w:szCs w:val="24"/>
        </w:rPr>
        <w:t xml:space="preserve"> 0,4 prosent og garantitillegg </w:t>
      </w:r>
      <w:r w:rsidR="00974D36">
        <w:rPr>
          <w:snapToGrid w:val="0"/>
          <w:szCs w:val="24"/>
        </w:rPr>
        <w:t xml:space="preserve">på </w:t>
      </w:r>
      <w:r>
        <w:rPr>
          <w:snapToGrid w:val="0"/>
          <w:szCs w:val="24"/>
        </w:rPr>
        <w:t xml:space="preserve">0,3 prosent et bidrag til årslønnsveksten på 0,7 prosentpoeng. Sammen med overhenget </w:t>
      </w:r>
      <w:r w:rsidR="00CD7BE2">
        <w:rPr>
          <w:snapToGrid w:val="0"/>
          <w:szCs w:val="24"/>
        </w:rPr>
        <w:t xml:space="preserve">til 2015 </w:t>
      </w:r>
      <w:r>
        <w:rPr>
          <w:snapToGrid w:val="0"/>
          <w:szCs w:val="24"/>
        </w:rPr>
        <w:t xml:space="preserve">på 1,0 prosent gir dette </w:t>
      </w:r>
      <w:r>
        <w:rPr>
          <w:szCs w:val="24"/>
        </w:rPr>
        <w:t>en årslønnsvekst på 1,7 prosent fra 2014 til 2015 før bidrag fra lønnsglidningen i 2015.</w:t>
      </w:r>
    </w:p>
    <w:p w14:paraId="2DAB3382" w14:textId="05F74727" w:rsidR="00B23392" w:rsidRPr="00B23392" w:rsidRDefault="00E56863" w:rsidP="00B23392">
      <w:pPr>
        <w:pStyle w:val="Listeavsnitt"/>
        <w:numPr>
          <w:ilvl w:val="0"/>
          <w:numId w:val="60"/>
        </w:numPr>
        <w:spacing w:before="0" w:after="120" w:line="240" w:lineRule="auto"/>
        <w:ind w:left="714" w:hanging="357"/>
        <w:rPr>
          <w:rFonts w:asciiTheme="minorHAnsi" w:eastAsiaTheme="minorHAnsi" w:hAnsiTheme="minorHAnsi"/>
          <w:sz w:val="22"/>
        </w:rPr>
      </w:pPr>
      <w:r w:rsidRPr="00B23392">
        <w:rPr>
          <w:szCs w:val="24"/>
        </w:rPr>
        <w:t xml:space="preserve">I </w:t>
      </w:r>
      <w:r w:rsidRPr="00B23392">
        <w:rPr>
          <w:i/>
          <w:szCs w:val="24"/>
        </w:rPr>
        <w:t>staten</w:t>
      </w:r>
      <w:r w:rsidRPr="00B23392">
        <w:rPr>
          <w:szCs w:val="24"/>
        </w:rPr>
        <w:t xml:space="preserve"> </w:t>
      </w:r>
      <w:r w:rsidRPr="00B23392">
        <w:rPr>
          <w:snapToGrid w:val="0"/>
          <w:szCs w:val="24"/>
        </w:rPr>
        <w:t>gir de avtalte tarifftilleggene i 2015 et bidrag til årslønnsveksten på 0,1 prosentpoeng. Sammen med</w:t>
      </w:r>
      <w:r w:rsidRPr="00B23392">
        <w:rPr>
          <w:szCs w:val="24"/>
        </w:rPr>
        <w:t xml:space="preserve"> overhenget på 2,1 prosent gir dette en årslønnsvekst fra 2014 til 2015 på 2,2 prosent før bidrag fra lønnsglidningen i 2015. </w:t>
      </w:r>
    </w:p>
    <w:p w14:paraId="000606B2" w14:textId="0E9519E7" w:rsidR="00E56863" w:rsidRPr="00B23392" w:rsidRDefault="00B23392" w:rsidP="00B23392">
      <w:pPr>
        <w:pStyle w:val="Listeavsnitt"/>
        <w:numPr>
          <w:ilvl w:val="0"/>
          <w:numId w:val="60"/>
        </w:numPr>
        <w:spacing w:before="0" w:after="120" w:line="240" w:lineRule="auto"/>
        <w:ind w:left="714" w:hanging="357"/>
        <w:rPr>
          <w:rFonts w:ascii="Calibri" w:eastAsia="Calibri" w:hAnsi="Calibri"/>
          <w:sz w:val="22"/>
        </w:rPr>
      </w:pPr>
      <w:r>
        <w:t xml:space="preserve">For ansatte med hovedsakelig sentral lønnsdannelse i </w:t>
      </w:r>
      <w:r w:rsidRPr="00B23392">
        <w:rPr>
          <w:i/>
        </w:rPr>
        <w:t>KS-området</w:t>
      </w:r>
      <w:r>
        <w:t xml:space="preserve"> er det beregnet at overhenget på 1,9 prosent og tarifftilleggene på 1,1 prosent bidrar til årslønnsveksten fra 2014 til 2015 med 3,0 prosentpoeng. Bidraget fra lønnsglidningen for disse stillingene var i gjennomsnitt 0,2 prosentpoeng de siste tre årene. Lærerstreiken i 2014 trakk opp overhenget til 2015 med 0,3 prosentpoeng for disse stillingene.</w:t>
      </w:r>
    </w:p>
    <w:p w14:paraId="023B7CB0" w14:textId="090F6E44" w:rsidR="00E56863" w:rsidRDefault="00E56863" w:rsidP="00E56863">
      <w:pPr>
        <w:pStyle w:val="Listeavsnitt"/>
        <w:numPr>
          <w:ilvl w:val="0"/>
          <w:numId w:val="60"/>
        </w:numPr>
        <w:spacing w:before="0" w:after="120" w:line="240" w:lineRule="auto"/>
        <w:ind w:left="709" w:hanging="284"/>
        <w:rPr>
          <w:szCs w:val="24"/>
        </w:rPr>
      </w:pPr>
      <w:r>
        <w:rPr>
          <w:szCs w:val="24"/>
        </w:rPr>
        <w:t xml:space="preserve">I </w:t>
      </w:r>
      <w:r>
        <w:rPr>
          <w:i/>
          <w:iCs/>
          <w:szCs w:val="24"/>
        </w:rPr>
        <w:t>Spekter-bedrifter eksklusive helseforetakene</w:t>
      </w:r>
      <w:r>
        <w:rPr>
          <w:szCs w:val="24"/>
        </w:rPr>
        <w:t xml:space="preserve"> gir de avtalte tilleggene på A-nivå et bidrag til årslønnsveksten på om lag 0,2 prosentpoeng. I tillegg kommer lønnstillegg avtalt på den enkelte virksomhet (B-nivå) som anslås i gjennomsnitt å gi et bidrag på om lag 1¾ prosentpoeng. </w:t>
      </w:r>
      <w:r>
        <w:rPr>
          <w:snapToGrid w:val="0"/>
          <w:szCs w:val="24"/>
        </w:rPr>
        <w:t>Sammen med</w:t>
      </w:r>
      <w:r>
        <w:rPr>
          <w:szCs w:val="24"/>
        </w:rPr>
        <w:t xml:space="preserve"> overhenget</w:t>
      </w:r>
      <w:r w:rsidR="0065294F">
        <w:rPr>
          <w:szCs w:val="24"/>
        </w:rPr>
        <w:t xml:space="preserve"> til 2015</w:t>
      </w:r>
      <w:r>
        <w:rPr>
          <w:szCs w:val="24"/>
        </w:rPr>
        <w:t xml:space="preserve"> på 0,8 prosent gir dette en årslønnsvekst fra 2014 til 2015 på 2¾ prosent før bidrag fra lønnsglidningen i 2015. </w:t>
      </w:r>
    </w:p>
    <w:p w14:paraId="3F2B0AE2" w14:textId="3005D4C9" w:rsidR="00E56863" w:rsidRDefault="00E56863" w:rsidP="00E56863">
      <w:pPr>
        <w:pStyle w:val="Listeavsnitt"/>
        <w:numPr>
          <w:ilvl w:val="0"/>
          <w:numId w:val="60"/>
        </w:numPr>
        <w:spacing w:before="0" w:after="120" w:line="240" w:lineRule="auto"/>
        <w:ind w:left="709" w:hanging="284"/>
        <w:rPr>
          <w:szCs w:val="24"/>
        </w:rPr>
      </w:pPr>
      <w:r>
        <w:rPr>
          <w:szCs w:val="24"/>
        </w:rPr>
        <w:t xml:space="preserve">I </w:t>
      </w:r>
      <w:r>
        <w:rPr>
          <w:i/>
          <w:szCs w:val="24"/>
        </w:rPr>
        <w:t>helseforetakene</w:t>
      </w:r>
      <w:r>
        <w:rPr>
          <w:szCs w:val="24"/>
        </w:rPr>
        <w:t xml:space="preserve"> </w:t>
      </w:r>
      <w:r>
        <w:t xml:space="preserve">gir de sentralt avtalte tilleggene i 2015 et bidrag til årslønnsveksten på om lag 1 </w:t>
      </w:r>
      <w:r w:rsidRPr="00EC6185">
        <w:t>prosentpoeng</w:t>
      </w:r>
      <w:r>
        <w:t xml:space="preserve">. I tillegg kommer bidrag fra tillegg ved lokale forhandlinger som anslås til ½ prosentpoeng. </w:t>
      </w:r>
      <w:r>
        <w:rPr>
          <w:snapToGrid w:val="0"/>
          <w:szCs w:val="24"/>
        </w:rPr>
        <w:t>Sammen med</w:t>
      </w:r>
      <w:r>
        <w:rPr>
          <w:szCs w:val="24"/>
        </w:rPr>
        <w:t xml:space="preserve"> overhenget </w:t>
      </w:r>
      <w:r w:rsidR="0065294F">
        <w:rPr>
          <w:szCs w:val="24"/>
        </w:rPr>
        <w:t xml:space="preserve">til 2015 </w:t>
      </w:r>
      <w:r>
        <w:rPr>
          <w:szCs w:val="24"/>
        </w:rPr>
        <w:t>på 1,2 prosent gir dette en årslønnsvekst fra 2014 til 2015 på 2¾ prosent før bidrag fra lønnsglidningen i 2015.</w:t>
      </w:r>
    </w:p>
    <w:p w14:paraId="3E08C939" w14:textId="77777777" w:rsidR="006E2C5D" w:rsidRPr="006E2C5D" w:rsidRDefault="00E56863" w:rsidP="009C4B1A">
      <w:pPr>
        <w:pStyle w:val="Liste"/>
        <w:numPr>
          <w:ilvl w:val="0"/>
          <w:numId w:val="36"/>
        </w:numPr>
        <w:tabs>
          <w:tab w:val="num" w:pos="851"/>
        </w:tabs>
      </w:pPr>
      <w:r w:rsidRPr="006E2C5D">
        <w:rPr>
          <w:szCs w:val="24"/>
        </w:rPr>
        <w:t xml:space="preserve">For ansatte i </w:t>
      </w:r>
      <w:r w:rsidRPr="006E2C5D">
        <w:rPr>
          <w:i/>
          <w:szCs w:val="24"/>
        </w:rPr>
        <w:t>forretnings- og sparebanker og forsikringsvirksomhet</w:t>
      </w:r>
      <w:r w:rsidRPr="006E2C5D">
        <w:rPr>
          <w:szCs w:val="24"/>
        </w:rPr>
        <w:t xml:space="preserve">, som omfatter noen flere grupper enn forhandlingsområdet bank og forsikring, gir de avtalte tarifftilleggene i 2015 et bidrag til årslønnsveksten på 0,4 prosentpoeng. </w:t>
      </w:r>
      <w:r w:rsidRPr="006E2C5D">
        <w:rPr>
          <w:snapToGrid w:val="0"/>
          <w:szCs w:val="24"/>
        </w:rPr>
        <w:t>Sammen med</w:t>
      </w:r>
      <w:r w:rsidRPr="006E2C5D">
        <w:rPr>
          <w:szCs w:val="24"/>
        </w:rPr>
        <w:t xml:space="preserve"> overhenget </w:t>
      </w:r>
      <w:r w:rsidR="0065294F" w:rsidRPr="006E2C5D">
        <w:rPr>
          <w:szCs w:val="24"/>
        </w:rPr>
        <w:t xml:space="preserve">til 2015 </w:t>
      </w:r>
      <w:r w:rsidRPr="006E2C5D">
        <w:rPr>
          <w:szCs w:val="24"/>
        </w:rPr>
        <w:t xml:space="preserve">på 1,2 prosent gir dette en årslønnsvekst </w:t>
      </w:r>
      <w:r w:rsidRPr="006E2C5D">
        <w:rPr>
          <w:spacing w:val="0"/>
          <w:szCs w:val="24"/>
        </w:rPr>
        <w:t>fra 2014 til 2015 på 1,6 prosent før bidrag fra lønnsglidningen i 2015.</w:t>
      </w:r>
      <w:r w:rsidR="006E2C5D" w:rsidRPr="006E2C5D">
        <w:rPr>
          <w:spacing w:val="0"/>
          <w:szCs w:val="24"/>
        </w:rPr>
        <w:br/>
      </w:r>
    </w:p>
    <w:p w14:paraId="409C2555" w14:textId="721C552A" w:rsidR="00E944D0" w:rsidRPr="00A60305" w:rsidRDefault="003D357D" w:rsidP="006E2C5D">
      <w:pPr>
        <w:pStyle w:val="Liste"/>
        <w:numPr>
          <w:ilvl w:val="0"/>
          <w:numId w:val="0"/>
        </w:numPr>
        <w:ind w:left="360"/>
      </w:pPr>
      <w:r w:rsidRPr="006E2C5D">
        <w:rPr>
          <w:szCs w:val="24"/>
        </w:rPr>
        <w:t>For oppsummering av lønnsutviklingen i 2014 vises til ingressen i kapittel 1 i NOU 2015: 6 Grunnlaget for inntektsoppgjørene 2015.</w:t>
      </w:r>
    </w:p>
    <w:p w14:paraId="6106633A" w14:textId="397B8023" w:rsidR="006E34F6" w:rsidRDefault="006E34F6" w:rsidP="00791192">
      <w:pPr>
        <w:pStyle w:val="Liste"/>
        <w:numPr>
          <w:ilvl w:val="0"/>
          <w:numId w:val="0"/>
        </w:numPr>
        <w:tabs>
          <w:tab w:val="left" w:pos="708"/>
        </w:tabs>
        <w:ind w:left="714"/>
        <w:contextualSpacing w:val="0"/>
      </w:pPr>
    </w:p>
    <w:p w14:paraId="4D19A413" w14:textId="627792B7" w:rsidR="004B1A77" w:rsidRPr="0054791E" w:rsidRDefault="004B1A77" w:rsidP="004B1A77">
      <w:pPr>
        <w:pStyle w:val="Overskrift2"/>
      </w:pPr>
      <w:bookmarkStart w:id="23" w:name="_Toc320820653"/>
      <w:bookmarkStart w:id="24" w:name="_Toc351913424"/>
      <w:bookmarkStart w:id="25" w:name="_Toc380506118"/>
      <w:bookmarkStart w:id="26" w:name="_Toc422226811"/>
      <w:r>
        <w:lastRenderedPageBreak/>
        <w:t>Innledning</w:t>
      </w:r>
      <w:bookmarkEnd w:id="23"/>
      <w:bookmarkEnd w:id="24"/>
      <w:bookmarkEnd w:id="25"/>
      <w:bookmarkEnd w:id="26"/>
    </w:p>
    <w:p w14:paraId="66436CCE" w14:textId="77777777" w:rsidR="0015736D" w:rsidRDefault="004B1A77" w:rsidP="004B1A77">
      <w:r w:rsidRPr="008200B8">
        <w:t xml:space="preserve">Beregningsutvalget legger i dette kapitlet fram statistikk og beregninger </w:t>
      </w:r>
      <w:r>
        <w:t>over</w:t>
      </w:r>
      <w:r w:rsidRPr="008200B8">
        <w:t xml:space="preserve"> lønnsutviklingen fra 20</w:t>
      </w:r>
      <w:r>
        <w:t>13</w:t>
      </w:r>
      <w:r w:rsidRPr="008200B8">
        <w:t xml:space="preserve"> til 20</w:t>
      </w:r>
      <w:r>
        <w:t>14</w:t>
      </w:r>
      <w:r w:rsidRPr="008200B8">
        <w:t xml:space="preserve"> for hovedgrupper av lønnstakere. I kapitlet gis det også en oversikt over lønnstilleggene i 20</w:t>
      </w:r>
      <w:r>
        <w:t>1</w:t>
      </w:r>
      <w:r w:rsidR="001C4E0E">
        <w:t>5</w:t>
      </w:r>
      <w:r w:rsidRPr="008200B8">
        <w:t xml:space="preserve"> </w:t>
      </w:r>
      <w:r>
        <w:t>i en del tariffområder</w:t>
      </w:r>
      <w:r w:rsidRPr="008200B8">
        <w:t>.</w:t>
      </w:r>
      <w:r>
        <w:t xml:space="preserve"> </w:t>
      </w:r>
      <w:r w:rsidRPr="008200B8">
        <w:t>En mer detaljert oversikt over resultatene av lønnsoppgjør i 20</w:t>
      </w:r>
      <w:r>
        <w:t>1</w:t>
      </w:r>
      <w:r w:rsidR="001C4E0E">
        <w:t>5</w:t>
      </w:r>
      <w:r w:rsidRPr="008200B8">
        <w:t xml:space="preserve"> gis i vedlegg 1.</w:t>
      </w:r>
      <w:r w:rsidR="0015736D">
        <w:t xml:space="preserve"> </w:t>
      </w:r>
    </w:p>
    <w:p w14:paraId="6BB85E57" w14:textId="01BAABC5" w:rsidR="004B1A77" w:rsidRDefault="0015736D" w:rsidP="004B1A77">
      <w:r>
        <w:t xml:space="preserve">Årslønnsveksten kan dekomponeres i tre elementer; lønnsoverhenget fra året før og bidrag fra tarifftillegg og lønnsglidning i beregningsåret. På nåværende tidspunkt kjenner vi ikke bidraget fra lønnsglidningen i 2015. Som det framgår av tabell 1.3, varierer lønnsglidningen mellom tariffområdene. Det </w:t>
      </w:r>
      <w:r w:rsidR="00743BAE">
        <w:t>er redegjort nærmere for lønnsglidning i vedlegg 2 Definisjoner av en del lønnsbegreper m.m. i NOU 2015: 6</w:t>
      </w:r>
      <w:r>
        <w:t>.</w:t>
      </w:r>
    </w:p>
    <w:p w14:paraId="2424A9B0" w14:textId="77777777" w:rsidR="004B1A77" w:rsidRPr="00BA1C84" w:rsidRDefault="004B1A77" w:rsidP="00791192">
      <w:pPr>
        <w:pStyle w:val="Overskrift3"/>
        <w:spacing w:before="240" w:after="120"/>
      </w:pPr>
      <w:bookmarkStart w:id="27" w:name="_Toc421190099"/>
      <w:bookmarkStart w:id="28" w:name="_Toc320820654"/>
      <w:bookmarkStart w:id="29" w:name="_Toc351913425"/>
      <w:bookmarkStart w:id="30" w:name="_Toc380506119"/>
      <w:bookmarkStart w:id="31" w:name="_Toc422226812"/>
      <w:bookmarkEnd w:id="27"/>
      <w:r w:rsidRPr="00BA1C84">
        <w:t>Lønnsutviklingen for hovedgrupper i forhandlingsområdene</w:t>
      </w:r>
      <w:bookmarkEnd w:id="28"/>
      <w:bookmarkEnd w:id="29"/>
      <w:bookmarkEnd w:id="30"/>
      <w:bookmarkEnd w:id="31"/>
    </w:p>
    <w:p w14:paraId="2D8E9D0E" w14:textId="77777777" w:rsidR="004B1A77" w:rsidRDefault="004B1A77" w:rsidP="00E4613F">
      <w:r w:rsidRPr="00342025">
        <w:t xml:space="preserve">Tabell 1.1 viser at </w:t>
      </w:r>
      <w:r>
        <w:t>veksten i gjennomsnittlig årslønn</w:t>
      </w:r>
      <w:r w:rsidRPr="00342025">
        <w:t xml:space="preserve"> </w:t>
      </w:r>
      <w:r w:rsidRPr="00A25A63">
        <w:t>fra 20</w:t>
      </w:r>
      <w:r>
        <w:t>13</w:t>
      </w:r>
      <w:r w:rsidRPr="00A25A63">
        <w:t xml:space="preserve"> til 20</w:t>
      </w:r>
      <w:r>
        <w:t>14</w:t>
      </w:r>
      <w:r w:rsidRPr="00A25A63">
        <w:t xml:space="preserve"> </w:t>
      </w:r>
      <w:r>
        <w:t xml:space="preserve">er </w:t>
      </w:r>
      <w:r w:rsidR="00B729A7">
        <w:t xml:space="preserve">beregnet </w:t>
      </w:r>
      <w:r>
        <w:t>til 3</w:t>
      </w:r>
      <w:r w:rsidR="00B729A7">
        <w:t>,0</w:t>
      </w:r>
      <w:r>
        <w:t xml:space="preserve"> </w:t>
      </w:r>
      <w:r w:rsidRPr="00A25A63">
        <w:t>prosent for</w:t>
      </w:r>
      <w:r>
        <w:t xml:space="preserve"> </w:t>
      </w:r>
      <w:r w:rsidRPr="00A25A63">
        <w:t xml:space="preserve">industriarbeidere og </w:t>
      </w:r>
      <w:r>
        <w:t>til 3</w:t>
      </w:r>
      <w:r w:rsidR="00B729A7">
        <w:t>,2</w:t>
      </w:r>
      <w:r>
        <w:t xml:space="preserve"> prosent </w:t>
      </w:r>
      <w:r w:rsidRPr="00A25A63">
        <w:t>for industrifunksjonærer</w:t>
      </w:r>
      <w:r>
        <w:t xml:space="preserve"> </w:t>
      </w:r>
      <w:r w:rsidRPr="00A25A63">
        <w:t>i NHO-bedrifter</w:t>
      </w:r>
      <w:r>
        <w:t xml:space="preserve">. </w:t>
      </w:r>
      <w:r w:rsidRPr="00EA0201">
        <w:t xml:space="preserve">Endringer i uregelmessige tillegg trakk lønnsveksten ned for industriarbeidere og opp for industrifunksjonærer. </w:t>
      </w:r>
      <w:r>
        <w:t xml:space="preserve">Lønnsveksten for alle ansatte i industrien i NHO-bedrifter </w:t>
      </w:r>
      <w:r w:rsidR="007B0A29">
        <w:t>ble</w:t>
      </w:r>
      <w:r>
        <w:t xml:space="preserve"> i gjennomsnitt 3</w:t>
      </w:r>
      <w:r w:rsidR="007B0A29">
        <w:t>,3</w:t>
      </w:r>
      <w:r>
        <w:t xml:space="preserve"> prosent. </w:t>
      </w:r>
      <w:r w:rsidRPr="0098055B">
        <w:t xml:space="preserve">På bakgrunn av </w:t>
      </w:r>
      <w:r>
        <w:t>vurderinger</w:t>
      </w:r>
      <w:r w:rsidRPr="0098055B">
        <w:t xml:space="preserve"> gjort av NHO, i forståelse med LO, </w:t>
      </w:r>
      <w:r>
        <w:t xml:space="preserve">ble lønnsoppgjøret i 2014 for Industrioverenskomsten (frontfaget) mellom Fellesforbundet og Norsk Industri anslått til å </w:t>
      </w:r>
      <w:r w:rsidRPr="0098055B">
        <w:t xml:space="preserve">gi en årslønnsvekst </w:t>
      </w:r>
      <w:r>
        <w:t xml:space="preserve">fra 2013 til </w:t>
      </w:r>
      <w:r w:rsidRPr="0098055B">
        <w:t>2014 på 3,3 pro</w:t>
      </w:r>
      <w:r>
        <w:t>sent for industriarbeidere. Lønnsveksten samlet for arbeidere og funksjonærer i industrien i NHO-området ble anslått til å bli 0,6 prosentpoeng lavere enn i 2013, noe som tilsa en årslønnsvekst på 3,3 prosent fra 2013 til 2014.</w:t>
      </w:r>
    </w:p>
    <w:p w14:paraId="532BECF0" w14:textId="77777777" w:rsidR="004B1A77" w:rsidRDefault="004B1A77" w:rsidP="004B1A77">
      <w:pPr>
        <w:rPr>
          <w:szCs w:val="24"/>
        </w:rPr>
      </w:pPr>
      <w:r>
        <w:t>Å</w:t>
      </w:r>
      <w:r w:rsidRPr="00A25A63">
        <w:t xml:space="preserve">rslønnsveksten i </w:t>
      </w:r>
      <w:r>
        <w:t>Virke</w:t>
      </w:r>
      <w:r w:rsidRPr="00A25A63">
        <w:t xml:space="preserve">-bedrifter i varehandelen er </w:t>
      </w:r>
      <w:r>
        <w:t>beregnet</w:t>
      </w:r>
      <w:r w:rsidRPr="00A25A63">
        <w:t xml:space="preserve"> til </w:t>
      </w:r>
      <w:r>
        <w:t xml:space="preserve">3,5 </w:t>
      </w:r>
      <w:r w:rsidRPr="00A25A63">
        <w:t>prosent.</w:t>
      </w:r>
      <w:r>
        <w:t xml:space="preserve"> </w:t>
      </w:r>
      <w:r>
        <w:rPr>
          <w:rFonts w:ascii="Times New Roman" w:hAnsi="Times New Roman"/>
        </w:rPr>
        <w:t xml:space="preserve">Endret sammensetning av lønnstakere trakk lønnsveksten opp. </w:t>
      </w:r>
      <w:r w:rsidRPr="00A25A63">
        <w:t xml:space="preserve">I finanstjenester, som omfatter noen flere grupper enn forhandlingsområdet bank og forsikring, er lønnsveksten </w:t>
      </w:r>
      <w:r>
        <w:t>beregnet</w:t>
      </w:r>
      <w:r w:rsidRPr="00A25A63">
        <w:t xml:space="preserve"> til </w:t>
      </w:r>
      <w:r>
        <w:t xml:space="preserve">2,9 </w:t>
      </w:r>
      <w:r w:rsidRPr="00A25A63">
        <w:t xml:space="preserve">prosent. </w:t>
      </w:r>
      <w:r>
        <w:t xml:space="preserve">Lavere bonusutbetalinger i 2014 enn i 2013 trakk lønnsveksten ned. For </w:t>
      </w:r>
      <w:r w:rsidRPr="00A25A63">
        <w:t>ansatte i kommunene</w:t>
      </w:r>
      <w:r>
        <w:t xml:space="preserve"> er lønnsveksten </w:t>
      </w:r>
      <w:r w:rsidR="007B0A29">
        <w:t xml:space="preserve">beregnet </w:t>
      </w:r>
      <w:r>
        <w:t>til 3</w:t>
      </w:r>
      <w:r w:rsidR="007B0A29">
        <w:t>,2</w:t>
      </w:r>
      <w:r>
        <w:t xml:space="preserve"> prosent</w:t>
      </w:r>
      <w:r w:rsidRPr="00A25A63">
        <w:t xml:space="preserve">. </w:t>
      </w:r>
      <w:r>
        <w:rPr>
          <w:rFonts w:ascii="Times New Roman" w:hAnsi="Times New Roman"/>
        </w:rPr>
        <w:t xml:space="preserve">Streiken blant undervisningspersonell trakk lønnsveksten ned </w:t>
      </w:r>
      <w:r w:rsidR="007B0A29">
        <w:rPr>
          <w:rFonts w:ascii="Times New Roman" w:hAnsi="Times New Roman"/>
        </w:rPr>
        <w:t xml:space="preserve">med </w:t>
      </w:r>
      <w:r w:rsidR="00EE5138">
        <w:rPr>
          <w:rFonts w:ascii="Times New Roman" w:hAnsi="Times New Roman"/>
        </w:rPr>
        <w:t>0</w:t>
      </w:r>
      <w:r w:rsidR="007B0A29">
        <w:rPr>
          <w:rFonts w:ascii="Times New Roman" w:hAnsi="Times New Roman"/>
        </w:rPr>
        <w:t xml:space="preserve">,2 prosentpoeng </w:t>
      </w:r>
      <w:r>
        <w:rPr>
          <w:rFonts w:ascii="Times New Roman" w:hAnsi="Times New Roman"/>
        </w:rPr>
        <w:t xml:space="preserve">for hele kommunesektoren.  </w:t>
      </w:r>
      <w:r w:rsidRPr="00A25A63">
        <w:t xml:space="preserve">Årslønnsveksten i Spekter-bedriftene ekskl. helseforetakene </w:t>
      </w:r>
      <w:r w:rsidR="007B0A29">
        <w:t>var</w:t>
      </w:r>
      <w:r w:rsidRPr="00A25A63">
        <w:t xml:space="preserve"> </w:t>
      </w:r>
      <w:r>
        <w:t>3</w:t>
      </w:r>
      <w:r w:rsidR="007B0A29">
        <w:t>,3</w:t>
      </w:r>
      <w:r>
        <w:t xml:space="preserve"> </w:t>
      </w:r>
      <w:r w:rsidRPr="00A25A63">
        <w:t>prosent</w:t>
      </w:r>
      <w:r>
        <w:t xml:space="preserve"> og i</w:t>
      </w:r>
      <w:r w:rsidRPr="00C817E8">
        <w:rPr>
          <w:szCs w:val="24"/>
        </w:rPr>
        <w:t xml:space="preserve"> helseforetakene </w:t>
      </w:r>
      <w:r>
        <w:rPr>
          <w:szCs w:val="24"/>
        </w:rPr>
        <w:t xml:space="preserve">3,4 prosent. For ansatte i staten er årslønnsveksten fra 2013 til 2014 </w:t>
      </w:r>
      <w:r w:rsidR="007B0A29">
        <w:rPr>
          <w:szCs w:val="24"/>
        </w:rPr>
        <w:t xml:space="preserve">beregnet til </w:t>
      </w:r>
      <w:r>
        <w:rPr>
          <w:szCs w:val="24"/>
        </w:rPr>
        <w:t>3</w:t>
      </w:r>
      <w:r w:rsidR="007B0A29">
        <w:rPr>
          <w:szCs w:val="24"/>
        </w:rPr>
        <w:t>,4</w:t>
      </w:r>
      <w:r>
        <w:rPr>
          <w:szCs w:val="24"/>
        </w:rPr>
        <w:t xml:space="preserve"> prosent.</w:t>
      </w:r>
    </w:p>
    <w:p w14:paraId="572D9EA2" w14:textId="77777777" w:rsidR="004B1A77" w:rsidRDefault="004B1A77" w:rsidP="004B1A77">
      <w:pPr>
        <w:rPr>
          <w:szCs w:val="24"/>
        </w:rPr>
      </w:pPr>
      <w:r>
        <w:rPr>
          <w:szCs w:val="24"/>
        </w:rPr>
        <w:t xml:space="preserve">Utvalget får utarbeidet tall for lønnsveksten for ansatte </w:t>
      </w:r>
      <w:r w:rsidRPr="00013CB5">
        <w:rPr>
          <w:szCs w:val="24"/>
        </w:rPr>
        <w:t xml:space="preserve">i </w:t>
      </w:r>
      <w:r>
        <w:rPr>
          <w:szCs w:val="24"/>
        </w:rPr>
        <w:t>de største forhandlingsområdene og anslår veksten i gjennomsnittlig årslønn for disse områdene til 3,2 prosent fra 2013 til 2014. B</w:t>
      </w:r>
      <w:r w:rsidRPr="00013CB5">
        <w:rPr>
          <w:szCs w:val="24"/>
        </w:rPr>
        <w:t>eregningen omfatter gruppene i tabell 1.1, enkelte grupper</w:t>
      </w:r>
      <w:r w:rsidRPr="00013CB5">
        <w:rPr>
          <w:rStyle w:val="Fotnotereferanse"/>
          <w:szCs w:val="24"/>
        </w:rPr>
        <w:footnoteReference w:id="2"/>
      </w:r>
      <w:r w:rsidRPr="00013CB5">
        <w:rPr>
          <w:szCs w:val="24"/>
        </w:rPr>
        <w:t xml:space="preserve"> i vedleggstabell </w:t>
      </w:r>
      <w:r>
        <w:rPr>
          <w:szCs w:val="24"/>
        </w:rPr>
        <w:t xml:space="preserve">4.10 </w:t>
      </w:r>
      <w:r w:rsidRPr="00013CB5">
        <w:rPr>
          <w:szCs w:val="24"/>
        </w:rPr>
        <w:t xml:space="preserve">og fra avsnitt 1.2.2. Til sammen utgjør </w:t>
      </w:r>
      <w:r>
        <w:rPr>
          <w:szCs w:val="24"/>
        </w:rPr>
        <w:t xml:space="preserve">ansatte i </w:t>
      </w:r>
      <w:r w:rsidRPr="00013CB5">
        <w:rPr>
          <w:szCs w:val="24"/>
        </w:rPr>
        <w:t xml:space="preserve">disse gruppene om lag </w:t>
      </w:r>
      <w:r>
        <w:rPr>
          <w:szCs w:val="24"/>
        </w:rPr>
        <w:t>60</w:t>
      </w:r>
      <w:r w:rsidRPr="00013CB5">
        <w:rPr>
          <w:szCs w:val="24"/>
        </w:rPr>
        <w:t xml:space="preserve"> prosent av alle lønnstakerårsverk i 201</w:t>
      </w:r>
      <w:r>
        <w:rPr>
          <w:szCs w:val="24"/>
        </w:rPr>
        <w:t>4</w:t>
      </w:r>
      <w:r w:rsidRPr="00013CB5">
        <w:rPr>
          <w:szCs w:val="24"/>
        </w:rPr>
        <w:t>.</w:t>
      </w:r>
    </w:p>
    <w:p w14:paraId="0C2B98D4" w14:textId="5D640DF0" w:rsidR="004B1A77" w:rsidRDefault="004B1A77" w:rsidP="004B1A77">
      <w:r>
        <w:t xml:space="preserve">Beregningene av årslønn og lønnsvekst i tabell 1.1 bygger på lønnsstatistikk for de enkelte gruppene, og på opplysninger om lønnstillegg og reguleringstidspunkter i de enkelte år, se vedlegg 2 </w:t>
      </w:r>
      <w:r w:rsidR="00E7650B">
        <w:t xml:space="preserve">i NOU 2015: 6 </w:t>
      </w:r>
      <w:r>
        <w:t>for nærmere beskrivelse av lønnsbegreper og grunnlaget for beregningene.</w:t>
      </w:r>
    </w:p>
    <w:p w14:paraId="7F92A6AC" w14:textId="124432F8" w:rsidR="004B1A77" w:rsidRDefault="004B1A77" w:rsidP="004B1A77">
      <w:r>
        <w:t xml:space="preserve">Tabell 1.1 viser at i årene 2005 til 2008 var det jevnt over stigende lønnsvekst, særlig tok lønnsveksten seg opp i 2007 og 2008. I forhandlingsområdene i tabell 1.1 varierte </w:t>
      </w:r>
      <w:r>
        <w:lastRenderedPageBreak/>
        <w:t xml:space="preserve">lønnsveksten i disse årene fra 3,3 til 6,7 prosent. Unntaket er finanstjenester der høye bonusutbetalinger i 2008 trakk opp lønnsveksten til 9,2 prosent. I 2009 og 2010 falt samlet lønnsvekst, mens den tok seg noe opp igjen i 2011. I årene 2012 til 2014 falt den igjen, særlig fra 2013 til 2014. </w:t>
      </w:r>
      <w:r w:rsidR="005E1E31">
        <w:t>Vi må tilbake til 1994 for å finne en like lav lønnsvekst som i 2014. Nominell lønnsvekst og reallønnsvekst siden 1970 vises i vedlegg 5</w:t>
      </w:r>
      <w:r w:rsidR="00E7650B">
        <w:t xml:space="preserve"> i NOU 2015: 6</w:t>
      </w:r>
      <w:r w:rsidR="005E1E31">
        <w:t>.</w:t>
      </w:r>
    </w:p>
    <w:p w14:paraId="38111463" w14:textId="77777777" w:rsidR="004B1A77" w:rsidRDefault="004B1A77" w:rsidP="004B1A77">
      <w:r>
        <w:t>Lønnsutviklingen for en gruppe kan være påvirket av flere forhold som f. eks. endring i kvalifikasjoner/utdanning blant arbeidstakerne, endringer i stillingsstruktur, forskyvninger i timeverkene mellom bransjer/bedrifter med ulikt lønnsnivå, endret omfang av skiftarbeid eller endringer i sammensetningen av arbeidsstyrken (f. eks. endringer i sysselsettingen etter aldersgrupper, økt omfang av arbeidsinnvandring og endringer i andelen menn/kvinner). Utvalget vil peke på at forskjeller i lønnsutviklingen mellom ulike grupper/næringer kan skyldes ulik grad av slike strukturendringer. Særlig gjelder dette over en så lang tidsperiode som i tabell 1.1.</w:t>
      </w:r>
    </w:p>
    <w:p w14:paraId="0247F635" w14:textId="77777777" w:rsidR="00C32CED" w:rsidRDefault="00C32CED" w:rsidP="004B1A77"/>
    <w:p w14:paraId="1DBCF35F" w14:textId="77777777" w:rsidR="00C32CED" w:rsidRPr="00673974" w:rsidRDefault="00C32CED" w:rsidP="004B1A77">
      <w:pPr>
        <w:rPr>
          <w:b/>
        </w:rPr>
        <w:sectPr w:rsidR="00C32CED" w:rsidRPr="00673974" w:rsidSect="000C08ED">
          <w:headerReference w:type="default" r:id="rId8"/>
          <w:footerReference w:type="even" r:id="rId9"/>
          <w:footerReference w:type="default" r:id="rId10"/>
          <w:pgSz w:w="11906" w:h="16838" w:code="9"/>
          <w:pgMar w:top="1440" w:right="1440" w:bottom="1440" w:left="1440" w:header="709" w:footer="1440" w:gutter="0"/>
          <w:cols w:space="708"/>
          <w:titlePg/>
          <w:docGrid w:linePitch="326"/>
        </w:sectPr>
      </w:pPr>
    </w:p>
    <w:p w14:paraId="74D14C1E" w14:textId="77777777" w:rsidR="004B1A77" w:rsidRDefault="004B1A77" w:rsidP="004B1A77">
      <w:pPr>
        <w:pStyle w:val="tabell-tittel"/>
        <w:spacing w:after="0"/>
      </w:pPr>
      <w:r w:rsidRPr="000B2523">
        <w:lastRenderedPageBreak/>
        <w:t>Årslønnsvekst fra året før i prosent for noen store forhandlingsområder. Per årsverk</w:t>
      </w:r>
      <w:r>
        <w:t xml:space="preserve"> </w:t>
      </w:r>
    </w:p>
    <w:tbl>
      <w:tblPr>
        <w:tblW w:w="5212" w:type="pct"/>
        <w:jc w:val="right"/>
        <w:tblCellMar>
          <w:left w:w="30" w:type="dxa"/>
          <w:right w:w="30" w:type="dxa"/>
        </w:tblCellMar>
        <w:tblLook w:val="0080" w:firstRow="0" w:lastRow="0" w:firstColumn="1" w:lastColumn="0" w:noHBand="0" w:noVBand="0"/>
      </w:tblPr>
      <w:tblGrid>
        <w:gridCol w:w="1186"/>
        <w:gridCol w:w="944"/>
        <w:gridCol w:w="837"/>
        <w:gridCol w:w="1178"/>
        <w:gridCol w:w="1073"/>
        <w:gridCol w:w="6"/>
        <w:gridCol w:w="881"/>
        <w:gridCol w:w="1014"/>
        <w:gridCol w:w="1386"/>
        <w:gridCol w:w="1460"/>
        <w:gridCol w:w="1294"/>
        <w:gridCol w:w="8"/>
        <w:gridCol w:w="945"/>
        <w:gridCol w:w="451"/>
        <w:gridCol w:w="1088"/>
        <w:gridCol w:w="8"/>
        <w:gridCol w:w="837"/>
      </w:tblGrid>
      <w:tr w:rsidR="00253A7B" w:rsidRPr="00777AF3" w14:paraId="68CD753D" w14:textId="77777777" w:rsidTr="00266CEC">
        <w:trPr>
          <w:cantSplit/>
          <w:trHeight w:val="308"/>
          <w:jc w:val="right"/>
        </w:trPr>
        <w:tc>
          <w:tcPr>
            <w:tcW w:w="407" w:type="pct"/>
            <w:tcBorders>
              <w:top w:val="single" w:sz="4" w:space="0" w:color="auto"/>
            </w:tcBorders>
            <w:vAlign w:val="bottom"/>
          </w:tcPr>
          <w:p w14:paraId="1C620C1E" w14:textId="77777777" w:rsidR="004B1A77" w:rsidRPr="00777AF3" w:rsidRDefault="004B1A77" w:rsidP="00795948">
            <w:pPr>
              <w:pStyle w:val="Tabelltekst"/>
              <w:ind w:left="397" w:hanging="397"/>
              <w:jc w:val="center"/>
              <w:rPr>
                <w:sz w:val="20"/>
              </w:rPr>
            </w:pPr>
          </w:p>
        </w:tc>
        <w:tc>
          <w:tcPr>
            <w:tcW w:w="1015" w:type="pct"/>
            <w:gridSpan w:val="3"/>
            <w:tcBorders>
              <w:top w:val="single" w:sz="4" w:space="0" w:color="auto"/>
              <w:bottom w:val="single" w:sz="4" w:space="0" w:color="auto"/>
            </w:tcBorders>
            <w:vAlign w:val="bottom"/>
          </w:tcPr>
          <w:p w14:paraId="7877A00E" w14:textId="77777777" w:rsidR="004B1A77" w:rsidRPr="00777AF3" w:rsidRDefault="004B1A77" w:rsidP="00795948">
            <w:pPr>
              <w:pStyle w:val="Tabelltekst"/>
              <w:jc w:val="center"/>
              <w:rPr>
                <w:sz w:val="20"/>
              </w:rPr>
            </w:pPr>
            <w:r w:rsidRPr="00777AF3">
              <w:rPr>
                <w:sz w:val="20"/>
              </w:rPr>
              <w:t>NHO-bedrifter i industrien</w:t>
            </w:r>
          </w:p>
        </w:tc>
        <w:tc>
          <w:tcPr>
            <w:tcW w:w="368" w:type="pct"/>
            <w:tcBorders>
              <w:top w:val="single" w:sz="4" w:space="0" w:color="auto"/>
            </w:tcBorders>
            <w:vAlign w:val="bottom"/>
          </w:tcPr>
          <w:p w14:paraId="20442C07" w14:textId="77777777" w:rsidR="004B1A77" w:rsidRPr="00777AF3" w:rsidRDefault="004B1A77" w:rsidP="00795948">
            <w:pPr>
              <w:pStyle w:val="Tabelltekst"/>
              <w:jc w:val="center"/>
              <w:rPr>
                <w:sz w:val="20"/>
              </w:rPr>
            </w:pPr>
          </w:p>
        </w:tc>
        <w:tc>
          <w:tcPr>
            <w:tcW w:w="304" w:type="pct"/>
            <w:gridSpan w:val="2"/>
            <w:tcBorders>
              <w:top w:val="single" w:sz="4" w:space="0" w:color="auto"/>
            </w:tcBorders>
          </w:tcPr>
          <w:p w14:paraId="7259D498" w14:textId="77777777" w:rsidR="004B1A77" w:rsidRPr="00777AF3" w:rsidRDefault="004B1A77" w:rsidP="00795948">
            <w:pPr>
              <w:pStyle w:val="Tabelltekst"/>
              <w:jc w:val="center"/>
              <w:rPr>
                <w:sz w:val="20"/>
              </w:rPr>
            </w:pPr>
          </w:p>
        </w:tc>
        <w:tc>
          <w:tcPr>
            <w:tcW w:w="820" w:type="pct"/>
            <w:gridSpan w:val="2"/>
            <w:tcBorders>
              <w:top w:val="single" w:sz="4" w:space="0" w:color="auto"/>
            </w:tcBorders>
            <w:vAlign w:val="bottom"/>
          </w:tcPr>
          <w:p w14:paraId="7B3DB311" w14:textId="77777777" w:rsidR="004B1A77" w:rsidRPr="00777AF3" w:rsidRDefault="004B1A77" w:rsidP="00795948">
            <w:pPr>
              <w:pStyle w:val="Tabelltekst"/>
              <w:jc w:val="center"/>
              <w:rPr>
                <w:sz w:val="20"/>
              </w:rPr>
            </w:pPr>
          </w:p>
        </w:tc>
        <w:tc>
          <w:tcPr>
            <w:tcW w:w="1267" w:type="pct"/>
            <w:gridSpan w:val="4"/>
            <w:tcBorders>
              <w:top w:val="single" w:sz="4" w:space="0" w:color="auto"/>
            </w:tcBorders>
            <w:vAlign w:val="bottom"/>
          </w:tcPr>
          <w:p w14:paraId="090B8A17" w14:textId="77777777" w:rsidR="004B1A77" w:rsidRPr="00777AF3" w:rsidRDefault="004B1A77" w:rsidP="00795948">
            <w:pPr>
              <w:pStyle w:val="Tabelltekst"/>
              <w:jc w:val="center"/>
              <w:rPr>
                <w:sz w:val="20"/>
              </w:rPr>
            </w:pPr>
            <w:r w:rsidRPr="00777AF3">
              <w:rPr>
                <w:sz w:val="20"/>
              </w:rPr>
              <w:t>Kommuneansatte</w:t>
            </w:r>
          </w:p>
        </w:tc>
        <w:tc>
          <w:tcPr>
            <w:tcW w:w="155" w:type="pct"/>
            <w:vMerge w:val="restart"/>
            <w:tcBorders>
              <w:top w:val="single" w:sz="4" w:space="0" w:color="auto"/>
            </w:tcBorders>
          </w:tcPr>
          <w:p w14:paraId="1ABD5206" w14:textId="77777777" w:rsidR="004B1A77" w:rsidRPr="00777AF3" w:rsidRDefault="004B1A77" w:rsidP="00795948">
            <w:pPr>
              <w:pStyle w:val="Tabelltekst"/>
              <w:jc w:val="center"/>
              <w:rPr>
                <w:sz w:val="20"/>
              </w:rPr>
            </w:pPr>
          </w:p>
        </w:tc>
        <w:tc>
          <w:tcPr>
            <w:tcW w:w="665" w:type="pct"/>
            <w:gridSpan w:val="3"/>
            <w:tcBorders>
              <w:top w:val="single" w:sz="4" w:space="0" w:color="auto"/>
              <w:bottom w:val="single" w:sz="4" w:space="0" w:color="auto"/>
            </w:tcBorders>
            <w:vAlign w:val="bottom"/>
          </w:tcPr>
          <w:p w14:paraId="6C007676" w14:textId="77777777" w:rsidR="004B1A77" w:rsidRPr="00777AF3" w:rsidRDefault="004B1A77" w:rsidP="00795948">
            <w:pPr>
              <w:pStyle w:val="Tabelltekst"/>
              <w:jc w:val="center"/>
              <w:rPr>
                <w:sz w:val="20"/>
              </w:rPr>
            </w:pPr>
            <w:r w:rsidRPr="00777AF3">
              <w:rPr>
                <w:sz w:val="20"/>
              </w:rPr>
              <w:t>Spekter-bedrifter</w:t>
            </w:r>
          </w:p>
        </w:tc>
      </w:tr>
      <w:tr w:rsidR="00253A7B" w:rsidRPr="00777AF3" w14:paraId="54BB78CD" w14:textId="77777777" w:rsidTr="00266CEC">
        <w:trPr>
          <w:cantSplit/>
          <w:trHeight w:val="552"/>
          <w:jc w:val="right"/>
        </w:trPr>
        <w:tc>
          <w:tcPr>
            <w:tcW w:w="407" w:type="pct"/>
            <w:tcBorders>
              <w:bottom w:val="single" w:sz="4" w:space="0" w:color="auto"/>
            </w:tcBorders>
            <w:vAlign w:val="bottom"/>
          </w:tcPr>
          <w:p w14:paraId="2D17A66A" w14:textId="77777777" w:rsidR="004B1A77" w:rsidRPr="00777AF3" w:rsidRDefault="004B1A77" w:rsidP="00795948">
            <w:pPr>
              <w:pStyle w:val="Tabelltekst"/>
              <w:ind w:left="397" w:hanging="397"/>
              <w:rPr>
                <w:sz w:val="20"/>
              </w:rPr>
            </w:pPr>
          </w:p>
        </w:tc>
        <w:tc>
          <w:tcPr>
            <w:tcW w:w="324" w:type="pct"/>
            <w:tcBorders>
              <w:top w:val="single" w:sz="4" w:space="0" w:color="auto"/>
              <w:bottom w:val="single" w:sz="4" w:space="0" w:color="auto"/>
            </w:tcBorders>
            <w:vAlign w:val="bottom"/>
          </w:tcPr>
          <w:p w14:paraId="7F57F0A5" w14:textId="77777777" w:rsidR="004B1A77" w:rsidRPr="00777AF3" w:rsidRDefault="004B1A77" w:rsidP="00795948">
            <w:pPr>
              <w:pStyle w:val="Tabelltekst"/>
              <w:jc w:val="center"/>
              <w:rPr>
                <w:sz w:val="20"/>
              </w:rPr>
            </w:pPr>
            <w:r w:rsidRPr="00777AF3">
              <w:rPr>
                <w:sz w:val="20"/>
              </w:rPr>
              <w:t>Industri i alt</w:t>
            </w:r>
          </w:p>
        </w:tc>
        <w:tc>
          <w:tcPr>
            <w:tcW w:w="287" w:type="pct"/>
            <w:tcBorders>
              <w:top w:val="single" w:sz="4" w:space="0" w:color="auto"/>
              <w:bottom w:val="single" w:sz="4" w:space="0" w:color="auto"/>
            </w:tcBorders>
            <w:vAlign w:val="bottom"/>
          </w:tcPr>
          <w:p w14:paraId="6BB7D65C" w14:textId="77777777" w:rsidR="004B1A77" w:rsidRPr="00777AF3" w:rsidRDefault="004B1A77" w:rsidP="00795948">
            <w:pPr>
              <w:pStyle w:val="Tabelltekst"/>
              <w:jc w:val="center"/>
              <w:rPr>
                <w:sz w:val="20"/>
                <w:vertAlign w:val="superscript"/>
              </w:rPr>
            </w:pPr>
            <w:r w:rsidRPr="00777AF3">
              <w:rPr>
                <w:sz w:val="20"/>
              </w:rPr>
              <w:t>Industri-arbeidere</w:t>
            </w:r>
          </w:p>
        </w:tc>
        <w:tc>
          <w:tcPr>
            <w:tcW w:w="404" w:type="pct"/>
            <w:tcBorders>
              <w:top w:val="single" w:sz="4" w:space="0" w:color="auto"/>
              <w:bottom w:val="single" w:sz="4" w:space="0" w:color="auto"/>
            </w:tcBorders>
            <w:vAlign w:val="bottom"/>
          </w:tcPr>
          <w:p w14:paraId="06A78156" w14:textId="77777777" w:rsidR="004B1A77" w:rsidRPr="00777AF3" w:rsidRDefault="004B1A77" w:rsidP="00795948">
            <w:pPr>
              <w:pStyle w:val="Tabelltekst"/>
              <w:jc w:val="center"/>
              <w:rPr>
                <w:sz w:val="20"/>
              </w:rPr>
            </w:pPr>
            <w:r w:rsidRPr="00777AF3">
              <w:rPr>
                <w:sz w:val="20"/>
              </w:rPr>
              <w:t>Industri-funksjonærer</w:t>
            </w:r>
          </w:p>
        </w:tc>
        <w:tc>
          <w:tcPr>
            <w:tcW w:w="368" w:type="pct"/>
            <w:tcBorders>
              <w:bottom w:val="single" w:sz="4" w:space="0" w:color="auto"/>
            </w:tcBorders>
            <w:vAlign w:val="bottom"/>
          </w:tcPr>
          <w:p w14:paraId="631961BC" w14:textId="77777777" w:rsidR="004B1A77" w:rsidRPr="00777AF3" w:rsidRDefault="004B1A77" w:rsidP="00795948">
            <w:pPr>
              <w:pStyle w:val="Tabelltekst"/>
              <w:jc w:val="center"/>
              <w:rPr>
                <w:sz w:val="20"/>
              </w:rPr>
            </w:pPr>
            <w:r w:rsidRPr="00777AF3">
              <w:rPr>
                <w:sz w:val="20"/>
              </w:rPr>
              <w:t>Virke-bedrifter i varehandel</w:t>
            </w:r>
            <w:r>
              <w:rPr>
                <w:sz w:val="20"/>
                <w:vertAlign w:val="superscript"/>
              </w:rPr>
              <w:t>1</w:t>
            </w:r>
          </w:p>
        </w:tc>
        <w:tc>
          <w:tcPr>
            <w:tcW w:w="304" w:type="pct"/>
            <w:gridSpan w:val="2"/>
            <w:tcBorders>
              <w:bottom w:val="single" w:sz="4" w:space="0" w:color="auto"/>
            </w:tcBorders>
            <w:vAlign w:val="bottom"/>
          </w:tcPr>
          <w:p w14:paraId="5FC74A8D" w14:textId="77777777" w:rsidR="004B1A77" w:rsidRPr="00777AF3" w:rsidRDefault="004B1A77" w:rsidP="00795948">
            <w:pPr>
              <w:pStyle w:val="Tabelltekst"/>
              <w:jc w:val="center"/>
              <w:rPr>
                <w:sz w:val="20"/>
              </w:rPr>
            </w:pPr>
            <w:r w:rsidRPr="00777AF3">
              <w:rPr>
                <w:sz w:val="20"/>
              </w:rPr>
              <w:t>Finans</w:t>
            </w:r>
            <w:r>
              <w:rPr>
                <w:sz w:val="20"/>
              </w:rPr>
              <w:t>-</w:t>
            </w:r>
            <w:r w:rsidRPr="00777AF3">
              <w:rPr>
                <w:sz w:val="20"/>
              </w:rPr>
              <w:t>tjenester</w:t>
            </w:r>
            <w:r>
              <w:rPr>
                <w:sz w:val="20"/>
                <w:vertAlign w:val="superscript"/>
              </w:rPr>
              <w:t>2</w:t>
            </w:r>
          </w:p>
        </w:tc>
        <w:tc>
          <w:tcPr>
            <w:tcW w:w="346" w:type="pct"/>
            <w:tcBorders>
              <w:bottom w:val="single" w:sz="4" w:space="0" w:color="auto"/>
            </w:tcBorders>
            <w:vAlign w:val="bottom"/>
          </w:tcPr>
          <w:p w14:paraId="7B83FA95" w14:textId="77777777" w:rsidR="004B1A77" w:rsidRPr="00777AF3" w:rsidRDefault="004B1A77" w:rsidP="00795948">
            <w:pPr>
              <w:pStyle w:val="Tabelltekst"/>
              <w:jc w:val="center"/>
              <w:rPr>
                <w:sz w:val="20"/>
              </w:rPr>
            </w:pPr>
            <w:r>
              <w:rPr>
                <w:sz w:val="20"/>
              </w:rPr>
              <w:t>Offentlig forvaltning</w:t>
            </w:r>
            <w:r w:rsidRPr="00A97533">
              <w:rPr>
                <w:sz w:val="20"/>
                <w:vertAlign w:val="superscript"/>
              </w:rPr>
              <w:t>3</w:t>
            </w:r>
          </w:p>
        </w:tc>
        <w:tc>
          <w:tcPr>
            <w:tcW w:w="475" w:type="pct"/>
            <w:tcBorders>
              <w:bottom w:val="single" w:sz="4" w:space="0" w:color="auto"/>
            </w:tcBorders>
            <w:vAlign w:val="bottom"/>
          </w:tcPr>
          <w:p w14:paraId="11310D88" w14:textId="77777777" w:rsidR="004B1A77" w:rsidRPr="00777AF3" w:rsidRDefault="004B1A77" w:rsidP="00795948">
            <w:pPr>
              <w:pStyle w:val="Tabelltekst"/>
              <w:jc w:val="center"/>
              <w:rPr>
                <w:sz w:val="20"/>
              </w:rPr>
            </w:pPr>
            <w:r w:rsidRPr="00777AF3">
              <w:rPr>
                <w:sz w:val="20"/>
              </w:rPr>
              <w:t>Statsansatte</w:t>
            </w:r>
            <w:r>
              <w:rPr>
                <w:color w:val="auto"/>
                <w:sz w:val="20"/>
                <w:vertAlign w:val="superscript"/>
              </w:rPr>
              <w:t>4</w:t>
            </w:r>
          </w:p>
        </w:tc>
        <w:tc>
          <w:tcPr>
            <w:tcW w:w="498" w:type="pct"/>
            <w:tcBorders>
              <w:top w:val="single" w:sz="4" w:space="0" w:color="auto"/>
              <w:bottom w:val="single" w:sz="4" w:space="0" w:color="auto"/>
            </w:tcBorders>
            <w:vAlign w:val="bottom"/>
          </w:tcPr>
          <w:p w14:paraId="21E0E75C" w14:textId="77777777" w:rsidR="004B1A77" w:rsidRPr="00777AF3" w:rsidRDefault="004B1A77" w:rsidP="00795948">
            <w:pPr>
              <w:pStyle w:val="Tabelltekst"/>
              <w:jc w:val="center"/>
              <w:rPr>
                <w:sz w:val="20"/>
                <w:vertAlign w:val="superscript"/>
              </w:rPr>
            </w:pPr>
            <w:r w:rsidRPr="00777AF3">
              <w:rPr>
                <w:sz w:val="20"/>
              </w:rPr>
              <w:t>Kommuneansatte i alt</w:t>
            </w:r>
            <w:r>
              <w:rPr>
                <w:sz w:val="20"/>
                <w:vertAlign w:val="superscript"/>
              </w:rPr>
              <w:t>5</w:t>
            </w:r>
          </w:p>
        </w:tc>
        <w:tc>
          <w:tcPr>
            <w:tcW w:w="442" w:type="pct"/>
            <w:tcBorders>
              <w:top w:val="single" w:sz="4" w:space="0" w:color="auto"/>
              <w:bottom w:val="single" w:sz="4" w:space="0" w:color="auto"/>
            </w:tcBorders>
            <w:vAlign w:val="bottom"/>
          </w:tcPr>
          <w:p w14:paraId="4C187CCD" w14:textId="77777777" w:rsidR="004B1A77" w:rsidRPr="00777AF3" w:rsidRDefault="004B1A77" w:rsidP="00795948">
            <w:pPr>
              <w:pStyle w:val="Tabelltekst"/>
              <w:jc w:val="center"/>
              <w:rPr>
                <w:sz w:val="20"/>
              </w:rPr>
            </w:pPr>
            <w:r w:rsidRPr="00777AF3">
              <w:rPr>
                <w:sz w:val="20"/>
              </w:rPr>
              <w:t>Undervisnings-personell</w:t>
            </w:r>
            <w:r>
              <w:rPr>
                <w:sz w:val="20"/>
                <w:vertAlign w:val="superscript"/>
              </w:rPr>
              <w:t>6</w:t>
            </w:r>
          </w:p>
        </w:tc>
        <w:tc>
          <w:tcPr>
            <w:tcW w:w="327" w:type="pct"/>
            <w:gridSpan w:val="2"/>
            <w:tcBorders>
              <w:top w:val="single" w:sz="4" w:space="0" w:color="auto"/>
              <w:bottom w:val="single" w:sz="4" w:space="0" w:color="auto"/>
            </w:tcBorders>
            <w:vAlign w:val="bottom"/>
          </w:tcPr>
          <w:p w14:paraId="6278B025" w14:textId="77777777" w:rsidR="004B1A77" w:rsidRPr="00777AF3" w:rsidRDefault="004B1A77" w:rsidP="00795948">
            <w:pPr>
              <w:pStyle w:val="Tabelltekst"/>
              <w:jc w:val="center"/>
              <w:rPr>
                <w:sz w:val="20"/>
              </w:rPr>
            </w:pPr>
            <w:r>
              <w:rPr>
                <w:sz w:val="20"/>
              </w:rPr>
              <w:t xml:space="preserve">Øvrige ansatte </w:t>
            </w:r>
          </w:p>
        </w:tc>
        <w:tc>
          <w:tcPr>
            <w:tcW w:w="155" w:type="pct"/>
            <w:vMerge/>
            <w:tcBorders>
              <w:bottom w:val="single" w:sz="4" w:space="0" w:color="auto"/>
            </w:tcBorders>
          </w:tcPr>
          <w:p w14:paraId="4B0A55F4" w14:textId="77777777" w:rsidR="004B1A77" w:rsidRPr="00777AF3" w:rsidRDefault="004B1A77" w:rsidP="00795948">
            <w:pPr>
              <w:pStyle w:val="Tabelltekst"/>
              <w:jc w:val="center"/>
              <w:rPr>
                <w:sz w:val="20"/>
              </w:rPr>
            </w:pPr>
          </w:p>
        </w:tc>
        <w:tc>
          <w:tcPr>
            <w:tcW w:w="373" w:type="pct"/>
            <w:tcBorders>
              <w:top w:val="single" w:sz="4" w:space="0" w:color="auto"/>
              <w:bottom w:val="single" w:sz="4" w:space="0" w:color="auto"/>
            </w:tcBorders>
            <w:vAlign w:val="bottom"/>
          </w:tcPr>
          <w:p w14:paraId="66905BAA" w14:textId="77777777" w:rsidR="004B1A77" w:rsidRPr="00777AF3" w:rsidRDefault="004B1A77" w:rsidP="00795948">
            <w:pPr>
              <w:pStyle w:val="Tabelltekst"/>
              <w:jc w:val="center"/>
              <w:rPr>
                <w:sz w:val="20"/>
              </w:rPr>
            </w:pPr>
            <w:r w:rsidRPr="00777AF3">
              <w:rPr>
                <w:sz w:val="20"/>
              </w:rPr>
              <w:t>Helsefore-</w:t>
            </w:r>
          </w:p>
          <w:p w14:paraId="4B19636C" w14:textId="77777777" w:rsidR="004B1A77" w:rsidRPr="00777AF3" w:rsidRDefault="004B1A77" w:rsidP="00795948">
            <w:pPr>
              <w:pStyle w:val="Tabelltekst"/>
              <w:jc w:val="center"/>
              <w:rPr>
                <w:sz w:val="20"/>
              </w:rPr>
            </w:pPr>
            <w:r>
              <w:rPr>
                <w:sz w:val="20"/>
              </w:rPr>
              <w:t>t</w:t>
            </w:r>
            <w:r w:rsidRPr="00777AF3">
              <w:rPr>
                <w:sz w:val="20"/>
              </w:rPr>
              <w:t>akene</w:t>
            </w:r>
            <w:r>
              <w:rPr>
                <w:sz w:val="20"/>
                <w:vertAlign w:val="superscript"/>
              </w:rPr>
              <w:t>8</w:t>
            </w:r>
          </w:p>
        </w:tc>
        <w:tc>
          <w:tcPr>
            <w:tcW w:w="292" w:type="pct"/>
            <w:gridSpan w:val="2"/>
            <w:tcBorders>
              <w:top w:val="single" w:sz="4" w:space="0" w:color="auto"/>
              <w:bottom w:val="single" w:sz="4" w:space="0" w:color="auto"/>
            </w:tcBorders>
            <w:vAlign w:val="bottom"/>
          </w:tcPr>
          <w:p w14:paraId="2807F7D5" w14:textId="77777777" w:rsidR="004B1A77" w:rsidRPr="00777AF3" w:rsidRDefault="004B1A77" w:rsidP="00795948">
            <w:pPr>
              <w:pStyle w:val="Tabelltekst"/>
              <w:jc w:val="center"/>
              <w:rPr>
                <w:sz w:val="20"/>
              </w:rPr>
            </w:pPr>
            <w:r w:rsidRPr="00777AF3">
              <w:rPr>
                <w:sz w:val="20"/>
              </w:rPr>
              <w:t>Øvrige bedrifter</w:t>
            </w:r>
          </w:p>
        </w:tc>
      </w:tr>
      <w:tr w:rsidR="00253A7B" w:rsidRPr="00777AF3" w14:paraId="74E5B220" w14:textId="77777777" w:rsidTr="00266CEC">
        <w:trPr>
          <w:cantSplit/>
          <w:trHeight w:val="244"/>
          <w:jc w:val="right"/>
        </w:trPr>
        <w:tc>
          <w:tcPr>
            <w:tcW w:w="407" w:type="pct"/>
            <w:vAlign w:val="bottom"/>
          </w:tcPr>
          <w:p w14:paraId="371622D2" w14:textId="77777777" w:rsidR="004B1A77" w:rsidRPr="00777AF3" w:rsidRDefault="004B1A77" w:rsidP="00795948">
            <w:pPr>
              <w:pStyle w:val="Tabelltekst"/>
              <w:rPr>
                <w:sz w:val="20"/>
              </w:rPr>
            </w:pPr>
            <w:r w:rsidRPr="00777AF3">
              <w:rPr>
                <w:sz w:val="20"/>
              </w:rPr>
              <w:t>2005</w:t>
            </w:r>
          </w:p>
        </w:tc>
        <w:tc>
          <w:tcPr>
            <w:tcW w:w="324" w:type="pct"/>
            <w:vAlign w:val="bottom"/>
          </w:tcPr>
          <w:p w14:paraId="67429DAA" w14:textId="77777777" w:rsidR="004B1A77" w:rsidRPr="00777AF3" w:rsidRDefault="004B1A77" w:rsidP="00795948">
            <w:pPr>
              <w:pStyle w:val="Tabelltekst"/>
              <w:jc w:val="center"/>
              <w:rPr>
                <w:snapToGrid w:val="0"/>
                <w:sz w:val="20"/>
              </w:rPr>
            </w:pPr>
            <w:r w:rsidRPr="00777AF3">
              <w:rPr>
                <w:snapToGrid w:val="0"/>
                <w:sz w:val="20"/>
              </w:rPr>
              <w:t>4,0</w:t>
            </w:r>
          </w:p>
        </w:tc>
        <w:tc>
          <w:tcPr>
            <w:tcW w:w="287" w:type="pct"/>
            <w:shd w:val="solid" w:color="FFFFFF" w:fill="auto"/>
            <w:vAlign w:val="bottom"/>
          </w:tcPr>
          <w:p w14:paraId="01A778A0" w14:textId="77777777" w:rsidR="004B1A77" w:rsidRPr="00777AF3" w:rsidRDefault="004B1A77" w:rsidP="00795948">
            <w:pPr>
              <w:pStyle w:val="Tabelltekst"/>
              <w:jc w:val="center"/>
              <w:rPr>
                <w:sz w:val="20"/>
              </w:rPr>
            </w:pPr>
            <w:r w:rsidRPr="00777AF3">
              <w:rPr>
                <w:sz w:val="20"/>
              </w:rPr>
              <w:t xml:space="preserve">3,4 </w:t>
            </w:r>
          </w:p>
        </w:tc>
        <w:tc>
          <w:tcPr>
            <w:tcW w:w="404" w:type="pct"/>
            <w:vAlign w:val="bottom"/>
          </w:tcPr>
          <w:p w14:paraId="10CB3AE4" w14:textId="77777777" w:rsidR="004B1A77" w:rsidRPr="00777AF3" w:rsidRDefault="004B1A77" w:rsidP="00795948">
            <w:pPr>
              <w:pStyle w:val="Tabelltekst"/>
              <w:jc w:val="center"/>
              <w:rPr>
                <w:sz w:val="20"/>
              </w:rPr>
            </w:pPr>
            <w:r w:rsidRPr="00777AF3">
              <w:rPr>
                <w:sz w:val="20"/>
              </w:rPr>
              <w:t xml:space="preserve">4,3 </w:t>
            </w:r>
          </w:p>
        </w:tc>
        <w:tc>
          <w:tcPr>
            <w:tcW w:w="368" w:type="pct"/>
            <w:vAlign w:val="bottom"/>
          </w:tcPr>
          <w:p w14:paraId="5F9EE91C" w14:textId="77777777" w:rsidR="004B1A77" w:rsidRPr="00777AF3" w:rsidRDefault="004B1A77" w:rsidP="00795948">
            <w:pPr>
              <w:pStyle w:val="Tabelltekst"/>
              <w:jc w:val="center"/>
              <w:rPr>
                <w:sz w:val="20"/>
              </w:rPr>
            </w:pPr>
            <w:r w:rsidRPr="00777AF3">
              <w:rPr>
                <w:sz w:val="20"/>
              </w:rPr>
              <w:t>3,9</w:t>
            </w:r>
          </w:p>
        </w:tc>
        <w:tc>
          <w:tcPr>
            <w:tcW w:w="304" w:type="pct"/>
            <w:gridSpan w:val="2"/>
            <w:vAlign w:val="bottom"/>
          </w:tcPr>
          <w:p w14:paraId="6E61C9EC" w14:textId="77777777" w:rsidR="004B1A77" w:rsidRPr="00777AF3" w:rsidRDefault="004B1A77" w:rsidP="00795948">
            <w:pPr>
              <w:pStyle w:val="Tabelltekst"/>
              <w:jc w:val="center"/>
              <w:rPr>
                <w:sz w:val="20"/>
              </w:rPr>
            </w:pPr>
            <w:r w:rsidRPr="00777AF3">
              <w:rPr>
                <w:sz w:val="20"/>
              </w:rPr>
              <w:t>7,7</w:t>
            </w:r>
          </w:p>
        </w:tc>
        <w:tc>
          <w:tcPr>
            <w:tcW w:w="346" w:type="pct"/>
          </w:tcPr>
          <w:p w14:paraId="388C56B9" w14:textId="77777777" w:rsidR="004B1A77" w:rsidRPr="00777AF3" w:rsidRDefault="004B1A77" w:rsidP="00795948">
            <w:pPr>
              <w:pStyle w:val="Tabelltekst"/>
              <w:jc w:val="center"/>
              <w:rPr>
                <w:sz w:val="20"/>
              </w:rPr>
            </w:pPr>
            <w:r>
              <w:rPr>
                <w:sz w:val="20"/>
              </w:rPr>
              <w:t>3,4</w:t>
            </w:r>
          </w:p>
        </w:tc>
        <w:tc>
          <w:tcPr>
            <w:tcW w:w="475" w:type="pct"/>
            <w:vAlign w:val="bottom"/>
          </w:tcPr>
          <w:p w14:paraId="7AE7D7F0" w14:textId="77777777" w:rsidR="004B1A77" w:rsidRPr="00777AF3" w:rsidRDefault="004B1A77" w:rsidP="00795948">
            <w:pPr>
              <w:pStyle w:val="Tabelltekst"/>
              <w:jc w:val="center"/>
              <w:rPr>
                <w:sz w:val="20"/>
              </w:rPr>
            </w:pPr>
            <w:r w:rsidRPr="00777AF3">
              <w:rPr>
                <w:sz w:val="20"/>
              </w:rPr>
              <w:t xml:space="preserve">3,4  </w:t>
            </w:r>
          </w:p>
        </w:tc>
        <w:tc>
          <w:tcPr>
            <w:tcW w:w="498" w:type="pct"/>
            <w:vAlign w:val="bottom"/>
          </w:tcPr>
          <w:p w14:paraId="2B53FF23" w14:textId="77777777" w:rsidR="004B1A77" w:rsidRPr="00777AF3" w:rsidRDefault="004B1A77" w:rsidP="00795948">
            <w:pPr>
              <w:pStyle w:val="Tabelltekst"/>
              <w:jc w:val="center"/>
              <w:rPr>
                <w:sz w:val="20"/>
              </w:rPr>
            </w:pPr>
            <w:r w:rsidRPr="00777AF3">
              <w:rPr>
                <w:sz w:val="20"/>
              </w:rPr>
              <w:t>3,4</w:t>
            </w:r>
          </w:p>
        </w:tc>
        <w:tc>
          <w:tcPr>
            <w:tcW w:w="442" w:type="pct"/>
            <w:vAlign w:val="bottom"/>
          </w:tcPr>
          <w:p w14:paraId="506F9963" w14:textId="77777777" w:rsidR="004B1A77" w:rsidRPr="00777AF3" w:rsidRDefault="004B1A77" w:rsidP="00795948">
            <w:pPr>
              <w:pStyle w:val="Tabelltekst"/>
              <w:jc w:val="center"/>
              <w:rPr>
                <w:sz w:val="20"/>
              </w:rPr>
            </w:pPr>
            <w:r w:rsidRPr="00777AF3">
              <w:rPr>
                <w:sz w:val="20"/>
              </w:rPr>
              <w:t>3,0</w:t>
            </w:r>
          </w:p>
        </w:tc>
        <w:tc>
          <w:tcPr>
            <w:tcW w:w="327" w:type="pct"/>
            <w:gridSpan w:val="2"/>
          </w:tcPr>
          <w:p w14:paraId="645C433A" w14:textId="77777777" w:rsidR="004B1A77" w:rsidRPr="00777AF3" w:rsidRDefault="004B1A77" w:rsidP="00795948">
            <w:pPr>
              <w:pStyle w:val="Tabelltekst"/>
              <w:jc w:val="center"/>
              <w:rPr>
                <w:sz w:val="20"/>
              </w:rPr>
            </w:pPr>
            <w:r>
              <w:rPr>
                <w:sz w:val="20"/>
              </w:rPr>
              <w:t>3,6</w:t>
            </w:r>
          </w:p>
        </w:tc>
        <w:tc>
          <w:tcPr>
            <w:tcW w:w="155" w:type="pct"/>
          </w:tcPr>
          <w:p w14:paraId="428C0739" w14:textId="77777777" w:rsidR="004B1A77" w:rsidRPr="00777AF3" w:rsidRDefault="004B1A77" w:rsidP="00795948">
            <w:pPr>
              <w:pStyle w:val="Tabelltekst"/>
              <w:jc w:val="center"/>
              <w:rPr>
                <w:sz w:val="20"/>
              </w:rPr>
            </w:pPr>
          </w:p>
        </w:tc>
        <w:tc>
          <w:tcPr>
            <w:tcW w:w="373" w:type="pct"/>
            <w:vAlign w:val="bottom"/>
          </w:tcPr>
          <w:p w14:paraId="10FDF8EA" w14:textId="77777777" w:rsidR="004B1A77" w:rsidRPr="00777AF3" w:rsidRDefault="004B1A77" w:rsidP="00795948">
            <w:pPr>
              <w:pStyle w:val="Tabelltekst"/>
              <w:jc w:val="center"/>
              <w:rPr>
                <w:sz w:val="20"/>
              </w:rPr>
            </w:pPr>
            <w:r w:rsidRPr="00777AF3">
              <w:rPr>
                <w:sz w:val="20"/>
              </w:rPr>
              <w:t>3,3</w:t>
            </w:r>
          </w:p>
        </w:tc>
        <w:tc>
          <w:tcPr>
            <w:tcW w:w="292" w:type="pct"/>
            <w:gridSpan w:val="2"/>
            <w:vAlign w:val="bottom"/>
          </w:tcPr>
          <w:p w14:paraId="7A42EF5D" w14:textId="77777777" w:rsidR="004B1A77" w:rsidRPr="00777AF3" w:rsidRDefault="004B1A77" w:rsidP="00795948">
            <w:pPr>
              <w:pStyle w:val="Tabelltekst"/>
              <w:jc w:val="center"/>
              <w:rPr>
                <w:sz w:val="20"/>
              </w:rPr>
            </w:pPr>
            <w:r w:rsidRPr="00777AF3">
              <w:rPr>
                <w:sz w:val="20"/>
              </w:rPr>
              <w:t>3,6</w:t>
            </w:r>
          </w:p>
        </w:tc>
      </w:tr>
      <w:tr w:rsidR="00253A7B" w:rsidRPr="00777AF3" w14:paraId="638C67B6" w14:textId="77777777" w:rsidTr="00266CEC">
        <w:trPr>
          <w:cantSplit/>
          <w:trHeight w:val="244"/>
          <w:jc w:val="right"/>
        </w:trPr>
        <w:tc>
          <w:tcPr>
            <w:tcW w:w="407" w:type="pct"/>
            <w:vAlign w:val="bottom"/>
          </w:tcPr>
          <w:p w14:paraId="2AEF72D5" w14:textId="77777777" w:rsidR="004B1A77" w:rsidRPr="00777AF3" w:rsidRDefault="004B1A77" w:rsidP="00795948">
            <w:pPr>
              <w:pStyle w:val="Tabelltekst"/>
              <w:rPr>
                <w:sz w:val="20"/>
              </w:rPr>
            </w:pPr>
            <w:r w:rsidRPr="00777AF3">
              <w:rPr>
                <w:sz w:val="20"/>
              </w:rPr>
              <w:t>2006</w:t>
            </w:r>
          </w:p>
        </w:tc>
        <w:tc>
          <w:tcPr>
            <w:tcW w:w="324" w:type="pct"/>
            <w:vAlign w:val="bottom"/>
          </w:tcPr>
          <w:p w14:paraId="3F151CF0" w14:textId="77777777" w:rsidR="004B1A77" w:rsidRPr="00777AF3" w:rsidRDefault="004B1A77" w:rsidP="00795948">
            <w:pPr>
              <w:pStyle w:val="Tabelltekst"/>
              <w:jc w:val="center"/>
              <w:rPr>
                <w:snapToGrid w:val="0"/>
                <w:sz w:val="20"/>
              </w:rPr>
            </w:pPr>
            <w:r w:rsidRPr="00777AF3">
              <w:rPr>
                <w:snapToGrid w:val="0"/>
                <w:sz w:val="20"/>
              </w:rPr>
              <w:t>4,3</w:t>
            </w:r>
          </w:p>
        </w:tc>
        <w:tc>
          <w:tcPr>
            <w:tcW w:w="287" w:type="pct"/>
            <w:shd w:val="solid" w:color="FFFFFF" w:fill="auto"/>
            <w:vAlign w:val="bottom"/>
          </w:tcPr>
          <w:p w14:paraId="2803E893" w14:textId="77777777" w:rsidR="004B1A77" w:rsidRPr="00777AF3" w:rsidRDefault="004B1A77" w:rsidP="00795948">
            <w:pPr>
              <w:pStyle w:val="Tabelltekst"/>
              <w:jc w:val="center"/>
              <w:rPr>
                <w:sz w:val="20"/>
              </w:rPr>
            </w:pPr>
            <w:r w:rsidRPr="00777AF3">
              <w:rPr>
                <w:sz w:val="20"/>
              </w:rPr>
              <w:t xml:space="preserve">3,6 </w:t>
            </w:r>
          </w:p>
        </w:tc>
        <w:tc>
          <w:tcPr>
            <w:tcW w:w="404" w:type="pct"/>
            <w:vAlign w:val="bottom"/>
          </w:tcPr>
          <w:p w14:paraId="38FE0A86" w14:textId="77777777" w:rsidR="004B1A77" w:rsidRPr="00777AF3" w:rsidRDefault="004B1A77" w:rsidP="00795948">
            <w:pPr>
              <w:pStyle w:val="Tabelltekst"/>
              <w:jc w:val="center"/>
              <w:rPr>
                <w:sz w:val="20"/>
              </w:rPr>
            </w:pPr>
            <w:r w:rsidRPr="00777AF3">
              <w:rPr>
                <w:sz w:val="20"/>
              </w:rPr>
              <w:t xml:space="preserve">4,6 </w:t>
            </w:r>
          </w:p>
        </w:tc>
        <w:tc>
          <w:tcPr>
            <w:tcW w:w="368" w:type="pct"/>
            <w:vAlign w:val="bottom"/>
          </w:tcPr>
          <w:p w14:paraId="04E67639" w14:textId="77777777" w:rsidR="004B1A77" w:rsidRPr="00777AF3" w:rsidRDefault="004B1A77" w:rsidP="00795948">
            <w:pPr>
              <w:pStyle w:val="Tabelltekst"/>
              <w:jc w:val="center"/>
              <w:rPr>
                <w:sz w:val="20"/>
              </w:rPr>
            </w:pPr>
            <w:r w:rsidRPr="00777AF3">
              <w:rPr>
                <w:sz w:val="20"/>
              </w:rPr>
              <w:t>4,2</w:t>
            </w:r>
          </w:p>
        </w:tc>
        <w:tc>
          <w:tcPr>
            <w:tcW w:w="304" w:type="pct"/>
            <w:gridSpan w:val="2"/>
            <w:vAlign w:val="bottom"/>
          </w:tcPr>
          <w:p w14:paraId="18521D62" w14:textId="77777777" w:rsidR="004B1A77" w:rsidRPr="00777AF3" w:rsidRDefault="004B1A77" w:rsidP="00795948">
            <w:pPr>
              <w:pStyle w:val="Tabelltekst"/>
              <w:jc w:val="center"/>
              <w:rPr>
                <w:sz w:val="20"/>
              </w:rPr>
            </w:pPr>
            <w:r w:rsidRPr="00777AF3">
              <w:rPr>
                <w:sz w:val="20"/>
              </w:rPr>
              <w:t>5,6</w:t>
            </w:r>
          </w:p>
        </w:tc>
        <w:tc>
          <w:tcPr>
            <w:tcW w:w="346" w:type="pct"/>
          </w:tcPr>
          <w:p w14:paraId="213E06AE" w14:textId="77777777" w:rsidR="004B1A77" w:rsidRPr="00777AF3" w:rsidRDefault="004B1A77" w:rsidP="00795948">
            <w:pPr>
              <w:pStyle w:val="Tabelltekst"/>
              <w:jc w:val="center"/>
              <w:rPr>
                <w:sz w:val="20"/>
              </w:rPr>
            </w:pPr>
            <w:r>
              <w:rPr>
                <w:sz w:val="20"/>
              </w:rPr>
              <w:t>4,0</w:t>
            </w:r>
          </w:p>
        </w:tc>
        <w:tc>
          <w:tcPr>
            <w:tcW w:w="475" w:type="pct"/>
            <w:vAlign w:val="bottom"/>
          </w:tcPr>
          <w:p w14:paraId="6392FF06" w14:textId="77777777" w:rsidR="004B1A77" w:rsidRPr="00777AF3" w:rsidRDefault="004B1A77" w:rsidP="00795948">
            <w:pPr>
              <w:pStyle w:val="Tabelltekst"/>
              <w:jc w:val="center"/>
              <w:rPr>
                <w:sz w:val="20"/>
              </w:rPr>
            </w:pPr>
            <w:r w:rsidRPr="00777AF3">
              <w:rPr>
                <w:sz w:val="20"/>
              </w:rPr>
              <w:t xml:space="preserve">4,5 </w:t>
            </w:r>
          </w:p>
        </w:tc>
        <w:tc>
          <w:tcPr>
            <w:tcW w:w="498" w:type="pct"/>
            <w:vAlign w:val="bottom"/>
          </w:tcPr>
          <w:p w14:paraId="194E83C4" w14:textId="77777777" w:rsidR="004B1A77" w:rsidRPr="00777AF3" w:rsidRDefault="004B1A77" w:rsidP="00795948">
            <w:pPr>
              <w:pStyle w:val="Tabelltekst"/>
              <w:jc w:val="center"/>
              <w:rPr>
                <w:sz w:val="20"/>
              </w:rPr>
            </w:pPr>
            <w:r w:rsidRPr="00777AF3">
              <w:rPr>
                <w:sz w:val="20"/>
              </w:rPr>
              <w:t>3,9</w:t>
            </w:r>
          </w:p>
        </w:tc>
        <w:tc>
          <w:tcPr>
            <w:tcW w:w="442" w:type="pct"/>
            <w:vAlign w:val="bottom"/>
          </w:tcPr>
          <w:p w14:paraId="7421AFF8" w14:textId="77777777" w:rsidR="004B1A77" w:rsidRPr="00777AF3" w:rsidRDefault="004B1A77" w:rsidP="00795948">
            <w:pPr>
              <w:pStyle w:val="Tabelltekst"/>
              <w:jc w:val="center"/>
              <w:rPr>
                <w:sz w:val="20"/>
              </w:rPr>
            </w:pPr>
            <w:r w:rsidRPr="00777AF3">
              <w:rPr>
                <w:sz w:val="20"/>
              </w:rPr>
              <w:t>2,6</w:t>
            </w:r>
          </w:p>
        </w:tc>
        <w:tc>
          <w:tcPr>
            <w:tcW w:w="327" w:type="pct"/>
            <w:gridSpan w:val="2"/>
          </w:tcPr>
          <w:p w14:paraId="4B68BF05" w14:textId="77777777" w:rsidR="004B1A77" w:rsidRPr="00777AF3" w:rsidRDefault="004B1A77" w:rsidP="00795948">
            <w:pPr>
              <w:pStyle w:val="Tabelltekst"/>
              <w:jc w:val="center"/>
              <w:rPr>
                <w:sz w:val="20"/>
              </w:rPr>
            </w:pPr>
            <w:r>
              <w:rPr>
                <w:sz w:val="20"/>
              </w:rPr>
              <w:t>4,5</w:t>
            </w:r>
          </w:p>
        </w:tc>
        <w:tc>
          <w:tcPr>
            <w:tcW w:w="155" w:type="pct"/>
          </w:tcPr>
          <w:p w14:paraId="0C74FB76" w14:textId="77777777" w:rsidR="004B1A77" w:rsidRPr="00777AF3" w:rsidRDefault="004B1A77" w:rsidP="00795948">
            <w:pPr>
              <w:pStyle w:val="Tabelltekst"/>
              <w:jc w:val="center"/>
              <w:rPr>
                <w:sz w:val="20"/>
              </w:rPr>
            </w:pPr>
          </w:p>
        </w:tc>
        <w:tc>
          <w:tcPr>
            <w:tcW w:w="373" w:type="pct"/>
            <w:vAlign w:val="bottom"/>
          </w:tcPr>
          <w:p w14:paraId="7EDF8CC5" w14:textId="77777777" w:rsidR="004B1A77" w:rsidRPr="00777AF3" w:rsidRDefault="004B1A77" w:rsidP="00795948">
            <w:pPr>
              <w:pStyle w:val="Tabelltekst"/>
              <w:jc w:val="center"/>
              <w:rPr>
                <w:sz w:val="20"/>
              </w:rPr>
            </w:pPr>
            <w:r w:rsidRPr="00777AF3">
              <w:rPr>
                <w:sz w:val="20"/>
              </w:rPr>
              <w:t>3,7</w:t>
            </w:r>
          </w:p>
        </w:tc>
        <w:tc>
          <w:tcPr>
            <w:tcW w:w="292" w:type="pct"/>
            <w:gridSpan w:val="2"/>
            <w:vAlign w:val="bottom"/>
          </w:tcPr>
          <w:p w14:paraId="61285687" w14:textId="77777777" w:rsidR="004B1A77" w:rsidRPr="00777AF3" w:rsidRDefault="004B1A77" w:rsidP="00795948">
            <w:pPr>
              <w:pStyle w:val="Tabelltekst"/>
              <w:jc w:val="center"/>
              <w:rPr>
                <w:sz w:val="20"/>
              </w:rPr>
            </w:pPr>
            <w:r w:rsidRPr="00777AF3">
              <w:rPr>
                <w:sz w:val="20"/>
              </w:rPr>
              <w:t xml:space="preserve"> 4,8</w:t>
            </w:r>
          </w:p>
        </w:tc>
      </w:tr>
      <w:tr w:rsidR="00253A7B" w:rsidRPr="00777AF3" w14:paraId="5CC5E62B" w14:textId="77777777" w:rsidTr="00266CEC">
        <w:trPr>
          <w:cantSplit/>
          <w:trHeight w:val="244"/>
          <w:jc w:val="right"/>
        </w:trPr>
        <w:tc>
          <w:tcPr>
            <w:tcW w:w="407" w:type="pct"/>
            <w:vAlign w:val="bottom"/>
          </w:tcPr>
          <w:p w14:paraId="1C7395D3" w14:textId="77777777" w:rsidR="004B1A77" w:rsidRPr="00777AF3" w:rsidRDefault="004B1A77" w:rsidP="00795948">
            <w:pPr>
              <w:pStyle w:val="Tabelltekst"/>
              <w:rPr>
                <w:sz w:val="20"/>
              </w:rPr>
            </w:pPr>
            <w:r w:rsidRPr="00777AF3">
              <w:rPr>
                <w:sz w:val="20"/>
              </w:rPr>
              <w:t>2007</w:t>
            </w:r>
          </w:p>
        </w:tc>
        <w:tc>
          <w:tcPr>
            <w:tcW w:w="324" w:type="pct"/>
            <w:vAlign w:val="bottom"/>
          </w:tcPr>
          <w:p w14:paraId="194777ED" w14:textId="77777777" w:rsidR="004B1A77" w:rsidRPr="00777AF3" w:rsidRDefault="004B1A77" w:rsidP="00795948">
            <w:pPr>
              <w:pStyle w:val="Tabelltekst"/>
              <w:jc w:val="center"/>
              <w:rPr>
                <w:snapToGrid w:val="0"/>
                <w:sz w:val="20"/>
              </w:rPr>
            </w:pPr>
            <w:r w:rsidRPr="00777AF3">
              <w:rPr>
                <w:snapToGrid w:val="0"/>
                <w:sz w:val="20"/>
              </w:rPr>
              <w:t>5,3</w:t>
            </w:r>
          </w:p>
        </w:tc>
        <w:tc>
          <w:tcPr>
            <w:tcW w:w="287" w:type="pct"/>
            <w:shd w:val="solid" w:color="FFFFFF" w:fill="auto"/>
            <w:vAlign w:val="bottom"/>
          </w:tcPr>
          <w:p w14:paraId="65D08262" w14:textId="77777777" w:rsidR="004B1A77" w:rsidRPr="00777AF3" w:rsidRDefault="004B1A77" w:rsidP="00795948">
            <w:pPr>
              <w:pStyle w:val="Tabelltekst"/>
              <w:jc w:val="center"/>
              <w:rPr>
                <w:sz w:val="20"/>
              </w:rPr>
            </w:pPr>
            <w:r w:rsidRPr="00777AF3">
              <w:rPr>
                <w:sz w:val="20"/>
              </w:rPr>
              <w:t xml:space="preserve">5,5 </w:t>
            </w:r>
          </w:p>
        </w:tc>
        <w:tc>
          <w:tcPr>
            <w:tcW w:w="404" w:type="pct"/>
            <w:vAlign w:val="bottom"/>
          </w:tcPr>
          <w:p w14:paraId="0B26C7CA" w14:textId="77777777" w:rsidR="004B1A77" w:rsidRPr="00777AF3" w:rsidRDefault="004B1A77" w:rsidP="00795948">
            <w:pPr>
              <w:pStyle w:val="Tabelltekst"/>
              <w:jc w:val="center"/>
              <w:rPr>
                <w:sz w:val="20"/>
              </w:rPr>
            </w:pPr>
            <w:r w:rsidRPr="00777AF3">
              <w:rPr>
                <w:sz w:val="20"/>
              </w:rPr>
              <w:t xml:space="preserve">5,7  </w:t>
            </w:r>
          </w:p>
        </w:tc>
        <w:tc>
          <w:tcPr>
            <w:tcW w:w="368" w:type="pct"/>
            <w:vAlign w:val="bottom"/>
          </w:tcPr>
          <w:p w14:paraId="69CB5038" w14:textId="77777777" w:rsidR="004B1A77" w:rsidRPr="00777AF3" w:rsidRDefault="004B1A77" w:rsidP="00795948">
            <w:pPr>
              <w:pStyle w:val="Tabelltekst"/>
              <w:jc w:val="center"/>
              <w:rPr>
                <w:sz w:val="20"/>
              </w:rPr>
            </w:pPr>
            <w:r w:rsidRPr="00777AF3">
              <w:rPr>
                <w:sz w:val="20"/>
              </w:rPr>
              <w:t>5,0</w:t>
            </w:r>
          </w:p>
        </w:tc>
        <w:tc>
          <w:tcPr>
            <w:tcW w:w="304" w:type="pct"/>
            <w:gridSpan w:val="2"/>
            <w:vAlign w:val="bottom"/>
          </w:tcPr>
          <w:p w14:paraId="37D16B41" w14:textId="77777777" w:rsidR="004B1A77" w:rsidRPr="00777AF3" w:rsidRDefault="004B1A77" w:rsidP="00795948">
            <w:pPr>
              <w:pStyle w:val="Tabelltekst"/>
              <w:jc w:val="center"/>
              <w:rPr>
                <w:sz w:val="20"/>
              </w:rPr>
            </w:pPr>
            <w:r w:rsidRPr="00777AF3">
              <w:rPr>
                <w:sz w:val="20"/>
              </w:rPr>
              <w:t>5,2</w:t>
            </w:r>
          </w:p>
        </w:tc>
        <w:tc>
          <w:tcPr>
            <w:tcW w:w="346" w:type="pct"/>
          </w:tcPr>
          <w:p w14:paraId="780C8091" w14:textId="77777777" w:rsidR="004B1A77" w:rsidRPr="00777AF3" w:rsidRDefault="004B1A77" w:rsidP="00795948">
            <w:pPr>
              <w:pStyle w:val="Tabelltekst"/>
              <w:jc w:val="center"/>
              <w:rPr>
                <w:sz w:val="20"/>
              </w:rPr>
            </w:pPr>
            <w:r>
              <w:rPr>
                <w:sz w:val="20"/>
              </w:rPr>
              <w:t>4,9</w:t>
            </w:r>
          </w:p>
        </w:tc>
        <w:tc>
          <w:tcPr>
            <w:tcW w:w="475" w:type="pct"/>
            <w:vAlign w:val="bottom"/>
          </w:tcPr>
          <w:p w14:paraId="12AD205B" w14:textId="77777777" w:rsidR="004B1A77" w:rsidRPr="00777AF3" w:rsidRDefault="004B1A77" w:rsidP="00795948">
            <w:pPr>
              <w:pStyle w:val="Tabelltekst"/>
              <w:jc w:val="center"/>
              <w:rPr>
                <w:sz w:val="20"/>
              </w:rPr>
            </w:pPr>
            <w:r w:rsidRPr="00777AF3">
              <w:rPr>
                <w:sz w:val="20"/>
              </w:rPr>
              <w:t>5,1</w:t>
            </w:r>
          </w:p>
        </w:tc>
        <w:tc>
          <w:tcPr>
            <w:tcW w:w="498" w:type="pct"/>
            <w:vAlign w:val="bottom"/>
          </w:tcPr>
          <w:p w14:paraId="16BF0945" w14:textId="77777777" w:rsidR="004B1A77" w:rsidRPr="00777AF3" w:rsidRDefault="004B1A77" w:rsidP="00795948">
            <w:pPr>
              <w:pStyle w:val="Tabelltekst"/>
              <w:jc w:val="center"/>
              <w:rPr>
                <w:sz w:val="20"/>
              </w:rPr>
            </w:pPr>
            <w:r w:rsidRPr="00777AF3">
              <w:rPr>
                <w:sz w:val="20"/>
              </w:rPr>
              <w:t>4,8</w:t>
            </w:r>
          </w:p>
        </w:tc>
        <w:tc>
          <w:tcPr>
            <w:tcW w:w="442" w:type="pct"/>
            <w:vAlign w:val="bottom"/>
          </w:tcPr>
          <w:p w14:paraId="39D3571C" w14:textId="77777777" w:rsidR="004B1A77" w:rsidRPr="00777AF3" w:rsidRDefault="004B1A77" w:rsidP="00795948">
            <w:pPr>
              <w:pStyle w:val="Tabelltekst"/>
              <w:jc w:val="center"/>
              <w:rPr>
                <w:sz w:val="20"/>
              </w:rPr>
            </w:pPr>
            <w:r w:rsidRPr="00777AF3">
              <w:rPr>
                <w:sz w:val="20"/>
              </w:rPr>
              <w:t>3,6</w:t>
            </w:r>
          </w:p>
        </w:tc>
        <w:tc>
          <w:tcPr>
            <w:tcW w:w="327" w:type="pct"/>
            <w:gridSpan w:val="2"/>
          </w:tcPr>
          <w:p w14:paraId="7BC1AC1A" w14:textId="77777777" w:rsidR="004B1A77" w:rsidRPr="00777AF3" w:rsidRDefault="004B1A77" w:rsidP="00795948">
            <w:pPr>
              <w:pStyle w:val="Tabelltekst"/>
              <w:jc w:val="center"/>
              <w:rPr>
                <w:sz w:val="20"/>
              </w:rPr>
            </w:pPr>
            <w:r>
              <w:rPr>
                <w:sz w:val="20"/>
              </w:rPr>
              <w:t>5,3</w:t>
            </w:r>
          </w:p>
        </w:tc>
        <w:tc>
          <w:tcPr>
            <w:tcW w:w="155" w:type="pct"/>
          </w:tcPr>
          <w:p w14:paraId="4FF466F8" w14:textId="77777777" w:rsidR="004B1A77" w:rsidRPr="00777AF3" w:rsidRDefault="004B1A77" w:rsidP="00795948">
            <w:pPr>
              <w:pStyle w:val="Tabelltekst"/>
              <w:jc w:val="center"/>
              <w:rPr>
                <w:sz w:val="20"/>
              </w:rPr>
            </w:pPr>
          </w:p>
        </w:tc>
        <w:tc>
          <w:tcPr>
            <w:tcW w:w="373" w:type="pct"/>
            <w:vAlign w:val="bottom"/>
          </w:tcPr>
          <w:p w14:paraId="6E1F05F1" w14:textId="77777777" w:rsidR="004B1A77" w:rsidRPr="00777AF3" w:rsidRDefault="004B1A77" w:rsidP="00795948">
            <w:pPr>
              <w:pStyle w:val="Tabelltekst"/>
              <w:jc w:val="center"/>
              <w:rPr>
                <w:sz w:val="20"/>
              </w:rPr>
            </w:pPr>
            <w:r w:rsidRPr="00777AF3">
              <w:rPr>
                <w:sz w:val="20"/>
              </w:rPr>
              <w:t>4,9</w:t>
            </w:r>
          </w:p>
        </w:tc>
        <w:tc>
          <w:tcPr>
            <w:tcW w:w="292" w:type="pct"/>
            <w:gridSpan w:val="2"/>
            <w:vAlign w:val="bottom"/>
          </w:tcPr>
          <w:p w14:paraId="3733E430" w14:textId="77777777" w:rsidR="004B1A77" w:rsidRPr="00777AF3" w:rsidRDefault="004B1A77" w:rsidP="00795948">
            <w:pPr>
              <w:pStyle w:val="Tabelltekst"/>
              <w:jc w:val="center"/>
              <w:rPr>
                <w:sz w:val="20"/>
              </w:rPr>
            </w:pPr>
            <w:r w:rsidRPr="00777AF3">
              <w:rPr>
                <w:sz w:val="20"/>
              </w:rPr>
              <w:t>5,3</w:t>
            </w:r>
          </w:p>
        </w:tc>
      </w:tr>
      <w:tr w:rsidR="00253A7B" w:rsidRPr="00777AF3" w14:paraId="07ED618E" w14:textId="77777777" w:rsidTr="00266CEC">
        <w:trPr>
          <w:cantSplit/>
          <w:trHeight w:val="244"/>
          <w:jc w:val="right"/>
        </w:trPr>
        <w:tc>
          <w:tcPr>
            <w:tcW w:w="407" w:type="pct"/>
            <w:vAlign w:val="bottom"/>
          </w:tcPr>
          <w:p w14:paraId="2F1BEC91" w14:textId="77777777" w:rsidR="004B1A77" w:rsidRPr="00777AF3" w:rsidRDefault="004B1A77" w:rsidP="00795948">
            <w:pPr>
              <w:pStyle w:val="Tabelltekst"/>
              <w:rPr>
                <w:sz w:val="20"/>
              </w:rPr>
            </w:pPr>
            <w:r w:rsidRPr="00777AF3">
              <w:rPr>
                <w:sz w:val="20"/>
              </w:rPr>
              <w:t>2008</w:t>
            </w:r>
          </w:p>
        </w:tc>
        <w:tc>
          <w:tcPr>
            <w:tcW w:w="324" w:type="pct"/>
            <w:vAlign w:val="bottom"/>
          </w:tcPr>
          <w:p w14:paraId="5D4F548F" w14:textId="77777777" w:rsidR="004B1A77" w:rsidRPr="00777AF3" w:rsidRDefault="004B1A77" w:rsidP="00795948">
            <w:pPr>
              <w:pStyle w:val="Tabelltekst"/>
              <w:jc w:val="center"/>
              <w:rPr>
                <w:snapToGrid w:val="0"/>
                <w:sz w:val="20"/>
              </w:rPr>
            </w:pPr>
            <w:r w:rsidRPr="00777AF3">
              <w:rPr>
                <w:snapToGrid w:val="0"/>
                <w:sz w:val="20"/>
              </w:rPr>
              <w:t>6,1</w:t>
            </w:r>
          </w:p>
        </w:tc>
        <w:tc>
          <w:tcPr>
            <w:tcW w:w="287" w:type="pct"/>
            <w:shd w:val="solid" w:color="FFFFFF" w:fill="auto"/>
            <w:vAlign w:val="bottom"/>
          </w:tcPr>
          <w:p w14:paraId="476BE2A4" w14:textId="77777777" w:rsidR="004B1A77" w:rsidRPr="00777AF3" w:rsidRDefault="004B1A77" w:rsidP="00795948">
            <w:pPr>
              <w:pStyle w:val="Tabelltekst"/>
              <w:jc w:val="center"/>
              <w:rPr>
                <w:snapToGrid w:val="0"/>
                <w:sz w:val="20"/>
              </w:rPr>
            </w:pPr>
            <w:r w:rsidRPr="00777AF3">
              <w:rPr>
                <w:snapToGrid w:val="0"/>
                <w:sz w:val="20"/>
              </w:rPr>
              <w:t xml:space="preserve">5,7 </w:t>
            </w:r>
          </w:p>
        </w:tc>
        <w:tc>
          <w:tcPr>
            <w:tcW w:w="404" w:type="pct"/>
            <w:vAlign w:val="bottom"/>
          </w:tcPr>
          <w:p w14:paraId="10E28E9D" w14:textId="77777777" w:rsidR="004B1A77" w:rsidRPr="00777AF3" w:rsidRDefault="004B1A77" w:rsidP="00795948">
            <w:pPr>
              <w:pStyle w:val="Tabelltekst"/>
              <w:jc w:val="center"/>
              <w:rPr>
                <w:sz w:val="20"/>
              </w:rPr>
            </w:pPr>
            <w:r w:rsidRPr="00777AF3">
              <w:rPr>
                <w:sz w:val="20"/>
              </w:rPr>
              <w:t xml:space="preserve">6,3 </w:t>
            </w:r>
          </w:p>
        </w:tc>
        <w:tc>
          <w:tcPr>
            <w:tcW w:w="368" w:type="pct"/>
            <w:vAlign w:val="bottom"/>
          </w:tcPr>
          <w:p w14:paraId="5E85D920" w14:textId="77777777" w:rsidR="004B1A77" w:rsidRPr="00777AF3" w:rsidRDefault="004B1A77" w:rsidP="00795948">
            <w:pPr>
              <w:pStyle w:val="Tabelltekst"/>
              <w:jc w:val="center"/>
              <w:rPr>
                <w:sz w:val="20"/>
              </w:rPr>
            </w:pPr>
            <w:r w:rsidRPr="00777AF3">
              <w:rPr>
                <w:sz w:val="20"/>
              </w:rPr>
              <w:t>4,4</w:t>
            </w:r>
          </w:p>
        </w:tc>
        <w:tc>
          <w:tcPr>
            <w:tcW w:w="304" w:type="pct"/>
            <w:gridSpan w:val="2"/>
            <w:vAlign w:val="bottom"/>
          </w:tcPr>
          <w:p w14:paraId="4FE79463" w14:textId="77777777" w:rsidR="004B1A77" w:rsidRPr="00777AF3" w:rsidRDefault="004B1A77" w:rsidP="00795948">
            <w:pPr>
              <w:pStyle w:val="Tabelltekst"/>
              <w:jc w:val="center"/>
              <w:rPr>
                <w:sz w:val="20"/>
              </w:rPr>
            </w:pPr>
            <w:r w:rsidRPr="00777AF3">
              <w:rPr>
                <w:sz w:val="20"/>
              </w:rPr>
              <w:t>9,2</w:t>
            </w:r>
          </w:p>
        </w:tc>
        <w:tc>
          <w:tcPr>
            <w:tcW w:w="346" w:type="pct"/>
          </w:tcPr>
          <w:p w14:paraId="02348C29" w14:textId="77777777" w:rsidR="004B1A77" w:rsidRPr="00777AF3" w:rsidRDefault="004B1A77" w:rsidP="00795948">
            <w:pPr>
              <w:pStyle w:val="Tabelltekst"/>
              <w:jc w:val="center"/>
              <w:rPr>
                <w:sz w:val="20"/>
              </w:rPr>
            </w:pPr>
            <w:r>
              <w:rPr>
                <w:sz w:val="20"/>
              </w:rPr>
              <w:t>6,7</w:t>
            </w:r>
          </w:p>
        </w:tc>
        <w:tc>
          <w:tcPr>
            <w:tcW w:w="475" w:type="pct"/>
            <w:vAlign w:val="bottom"/>
          </w:tcPr>
          <w:p w14:paraId="34F1AD7A" w14:textId="77777777" w:rsidR="004B1A77" w:rsidRPr="00777AF3" w:rsidRDefault="004B1A77" w:rsidP="00795948">
            <w:pPr>
              <w:pStyle w:val="Tabelltekst"/>
              <w:jc w:val="center"/>
              <w:rPr>
                <w:sz w:val="20"/>
              </w:rPr>
            </w:pPr>
            <w:r w:rsidRPr="00777AF3">
              <w:rPr>
                <w:sz w:val="20"/>
              </w:rPr>
              <w:t>6,7</w:t>
            </w:r>
          </w:p>
        </w:tc>
        <w:tc>
          <w:tcPr>
            <w:tcW w:w="498" w:type="pct"/>
            <w:vAlign w:val="bottom"/>
          </w:tcPr>
          <w:p w14:paraId="3698FE16" w14:textId="77777777" w:rsidR="004B1A77" w:rsidRPr="00777AF3" w:rsidRDefault="004B1A77" w:rsidP="00795948">
            <w:pPr>
              <w:pStyle w:val="Tabelltekst"/>
              <w:jc w:val="center"/>
              <w:rPr>
                <w:sz w:val="20"/>
              </w:rPr>
            </w:pPr>
            <w:r w:rsidRPr="00777AF3">
              <w:rPr>
                <w:sz w:val="20"/>
              </w:rPr>
              <w:t xml:space="preserve">6,7 </w:t>
            </w:r>
          </w:p>
        </w:tc>
        <w:tc>
          <w:tcPr>
            <w:tcW w:w="442" w:type="pct"/>
            <w:vAlign w:val="bottom"/>
          </w:tcPr>
          <w:p w14:paraId="26585787" w14:textId="77777777" w:rsidR="004B1A77" w:rsidRPr="00777AF3" w:rsidRDefault="004B1A77" w:rsidP="00795948">
            <w:pPr>
              <w:pStyle w:val="Tabelltekst"/>
              <w:jc w:val="center"/>
              <w:rPr>
                <w:sz w:val="20"/>
              </w:rPr>
            </w:pPr>
            <w:r w:rsidRPr="00777AF3">
              <w:rPr>
                <w:sz w:val="20"/>
              </w:rPr>
              <w:t xml:space="preserve">5,7 </w:t>
            </w:r>
          </w:p>
        </w:tc>
        <w:tc>
          <w:tcPr>
            <w:tcW w:w="327" w:type="pct"/>
            <w:gridSpan w:val="2"/>
          </w:tcPr>
          <w:p w14:paraId="26229F1A" w14:textId="77777777" w:rsidR="004B1A77" w:rsidRPr="00777AF3" w:rsidRDefault="004B1A77" w:rsidP="00795948">
            <w:pPr>
              <w:pStyle w:val="Tabelltekst"/>
              <w:jc w:val="center"/>
              <w:rPr>
                <w:sz w:val="20"/>
              </w:rPr>
            </w:pPr>
            <w:r>
              <w:rPr>
                <w:sz w:val="20"/>
              </w:rPr>
              <w:t>7,1</w:t>
            </w:r>
          </w:p>
        </w:tc>
        <w:tc>
          <w:tcPr>
            <w:tcW w:w="155" w:type="pct"/>
          </w:tcPr>
          <w:p w14:paraId="193E5FBF" w14:textId="77777777" w:rsidR="004B1A77" w:rsidRPr="00777AF3" w:rsidRDefault="004B1A77" w:rsidP="00795948">
            <w:pPr>
              <w:pStyle w:val="Tabelltekst"/>
              <w:jc w:val="center"/>
              <w:rPr>
                <w:sz w:val="20"/>
              </w:rPr>
            </w:pPr>
          </w:p>
        </w:tc>
        <w:tc>
          <w:tcPr>
            <w:tcW w:w="373" w:type="pct"/>
            <w:vAlign w:val="bottom"/>
          </w:tcPr>
          <w:p w14:paraId="08EBD7D0" w14:textId="77777777" w:rsidR="004B1A77" w:rsidRPr="00777AF3" w:rsidRDefault="004B1A77" w:rsidP="00795948">
            <w:pPr>
              <w:pStyle w:val="Tabelltekst"/>
              <w:jc w:val="center"/>
              <w:rPr>
                <w:sz w:val="20"/>
              </w:rPr>
            </w:pPr>
            <w:r w:rsidRPr="00777AF3">
              <w:rPr>
                <w:sz w:val="20"/>
              </w:rPr>
              <w:t>6,5</w:t>
            </w:r>
          </w:p>
        </w:tc>
        <w:tc>
          <w:tcPr>
            <w:tcW w:w="292" w:type="pct"/>
            <w:gridSpan w:val="2"/>
            <w:vAlign w:val="bottom"/>
          </w:tcPr>
          <w:p w14:paraId="5AC30D98" w14:textId="77777777" w:rsidR="004B1A77" w:rsidRPr="00777AF3" w:rsidRDefault="004B1A77" w:rsidP="00795948">
            <w:pPr>
              <w:pStyle w:val="Tabelltekst"/>
              <w:jc w:val="center"/>
              <w:rPr>
                <w:sz w:val="20"/>
              </w:rPr>
            </w:pPr>
            <w:r w:rsidRPr="00777AF3">
              <w:rPr>
                <w:sz w:val="20"/>
              </w:rPr>
              <w:t xml:space="preserve">6,2 </w:t>
            </w:r>
          </w:p>
        </w:tc>
      </w:tr>
      <w:tr w:rsidR="00253A7B" w:rsidRPr="00777AF3" w14:paraId="5B90495E" w14:textId="77777777" w:rsidTr="00266CEC">
        <w:trPr>
          <w:cantSplit/>
          <w:trHeight w:val="244"/>
          <w:jc w:val="right"/>
        </w:trPr>
        <w:tc>
          <w:tcPr>
            <w:tcW w:w="407" w:type="pct"/>
            <w:vAlign w:val="bottom"/>
          </w:tcPr>
          <w:p w14:paraId="38C43630" w14:textId="77777777" w:rsidR="004B1A77" w:rsidRPr="00777AF3" w:rsidRDefault="004B1A77" w:rsidP="00795948">
            <w:pPr>
              <w:pStyle w:val="Tabelltekst"/>
              <w:rPr>
                <w:sz w:val="20"/>
              </w:rPr>
            </w:pPr>
            <w:r w:rsidRPr="00777AF3">
              <w:rPr>
                <w:sz w:val="20"/>
              </w:rPr>
              <w:t>2009</w:t>
            </w:r>
          </w:p>
        </w:tc>
        <w:tc>
          <w:tcPr>
            <w:tcW w:w="324" w:type="pct"/>
            <w:vAlign w:val="bottom"/>
          </w:tcPr>
          <w:p w14:paraId="5A5FB2B7" w14:textId="77777777" w:rsidR="004B1A77" w:rsidRPr="00777AF3" w:rsidRDefault="004B1A77" w:rsidP="00795948">
            <w:pPr>
              <w:pStyle w:val="Tabelltekst"/>
              <w:jc w:val="center"/>
              <w:rPr>
                <w:snapToGrid w:val="0"/>
                <w:sz w:val="20"/>
                <w:vertAlign w:val="superscript"/>
              </w:rPr>
            </w:pPr>
            <w:r w:rsidRPr="00777AF3">
              <w:rPr>
                <w:snapToGrid w:val="0"/>
                <w:sz w:val="20"/>
              </w:rPr>
              <w:t>4,2</w:t>
            </w:r>
            <w:r>
              <w:rPr>
                <w:snapToGrid w:val="0"/>
                <w:sz w:val="20"/>
                <w:vertAlign w:val="superscript"/>
              </w:rPr>
              <w:t>9</w:t>
            </w:r>
          </w:p>
        </w:tc>
        <w:tc>
          <w:tcPr>
            <w:tcW w:w="287" w:type="pct"/>
            <w:shd w:val="solid" w:color="FFFFFF" w:fill="auto"/>
            <w:vAlign w:val="bottom"/>
          </w:tcPr>
          <w:p w14:paraId="24580A2C" w14:textId="77777777" w:rsidR="004B1A77" w:rsidRPr="00777AF3" w:rsidRDefault="004B1A77" w:rsidP="00795948">
            <w:pPr>
              <w:pStyle w:val="Tabelltekst"/>
              <w:jc w:val="center"/>
              <w:rPr>
                <w:snapToGrid w:val="0"/>
                <w:sz w:val="20"/>
              </w:rPr>
            </w:pPr>
            <w:r w:rsidRPr="00777AF3">
              <w:rPr>
                <w:snapToGrid w:val="0"/>
                <w:sz w:val="20"/>
              </w:rPr>
              <w:t>3,9</w:t>
            </w:r>
            <w:r>
              <w:rPr>
                <w:snapToGrid w:val="0"/>
                <w:sz w:val="20"/>
                <w:vertAlign w:val="superscript"/>
              </w:rPr>
              <w:t>9</w:t>
            </w:r>
          </w:p>
        </w:tc>
        <w:tc>
          <w:tcPr>
            <w:tcW w:w="404" w:type="pct"/>
            <w:vAlign w:val="bottom"/>
          </w:tcPr>
          <w:p w14:paraId="608AFED8" w14:textId="77777777" w:rsidR="004B1A77" w:rsidRPr="00777AF3" w:rsidRDefault="004B1A77" w:rsidP="00795948">
            <w:pPr>
              <w:pStyle w:val="Tabelltekst"/>
              <w:jc w:val="center"/>
              <w:rPr>
                <w:sz w:val="20"/>
              </w:rPr>
            </w:pPr>
            <w:r w:rsidRPr="00777AF3">
              <w:rPr>
                <w:snapToGrid w:val="0"/>
                <w:sz w:val="20"/>
              </w:rPr>
              <w:t>4,5</w:t>
            </w:r>
            <w:r>
              <w:rPr>
                <w:snapToGrid w:val="0"/>
                <w:sz w:val="20"/>
                <w:vertAlign w:val="superscript"/>
              </w:rPr>
              <w:t>9</w:t>
            </w:r>
          </w:p>
        </w:tc>
        <w:tc>
          <w:tcPr>
            <w:tcW w:w="368" w:type="pct"/>
            <w:vAlign w:val="bottom"/>
          </w:tcPr>
          <w:p w14:paraId="4F5F7B89" w14:textId="77777777" w:rsidR="004B1A77" w:rsidRPr="00777AF3" w:rsidRDefault="004B1A77" w:rsidP="00795948">
            <w:pPr>
              <w:pStyle w:val="Tabelltekst"/>
              <w:jc w:val="center"/>
              <w:rPr>
                <w:sz w:val="20"/>
              </w:rPr>
            </w:pPr>
            <w:r w:rsidRPr="00777AF3">
              <w:rPr>
                <w:snapToGrid w:val="0"/>
                <w:sz w:val="20"/>
              </w:rPr>
              <w:t>1,8</w:t>
            </w:r>
            <w:r>
              <w:rPr>
                <w:snapToGrid w:val="0"/>
                <w:sz w:val="20"/>
                <w:vertAlign w:val="superscript"/>
              </w:rPr>
              <w:t>9</w:t>
            </w:r>
          </w:p>
        </w:tc>
        <w:tc>
          <w:tcPr>
            <w:tcW w:w="304" w:type="pct"/>
            <w:gridSpan w:val="2"/>
            <w:vAlign w:val="bottom"/>
          </w:tcPr>
          <w:p w14:paraId="1D131329" w14:textId="77777777" w:rsidR="004B1A77" w:rsidRPr="00777AF3" w:rsidRDefault="004B1A77" w:rsidP="00795948">
            <w:pPr>
              <w:pStyle w:val="Tabelltekst"/>
              <w:jc w:val="center"/>
              <w:rPr>
                <w:sz w:val="20"/>
              </w:rPr>
            </w:pPr>
            <w:r w:rsidRPr="00777AF3">
              <w:rPr>
                <w:sz w:val="20"/>
              </w:rPr>
              <w:t>0,4</w:t>
            </w:r>
            <w:r>
              <w:rPr>
                <w:snapToGrid w:val="0"/>
                <w:sz w:val="20"/>
                <w:vertAlign w:val="superscript"/>
              </w:rPr>
              <w:t>9</w:t>
            </w:r>
          </w:p>
        </w:tc>
        <w:tc>
          <w:tcPr>
            <w:tcW w:w="346" w:type="pct"/>
          </w:tcPr>
          <w:p w14:paraId="7FD2BDF1" w14:textId="77777777" w:rsidR="004B1A77" w:rsidRPr="00777AF3" w:rsidRDefault="004B1A77" w:rsidP="00795948">
            <w:pPr>
              <w:pStyle w:val="Tabelltekst"/>
              <w:jc w:val="center"/>
              <w:rPr>
                <w:sz w:val="20"/>
              </w:rPr>
            </w:pPr>
            <w:r>
              <w:rPr>
                <w:sz w:val="20"/>
              </w:rPr>
              <w:t>4,6</w:t>
            </w:r>
          </w:p>
        </w:tc>
        <w:tc>
          <w:tcPr>
            <w:tcW w:w="475" w:type="pct"/>
            <w:vAlign w:val="bottom"/>
          </w:tcPr>
          <w:p w14:paraId="52CDD3A4" w14:textId="77777777" w:rsidR="004B1A77" w:rsidRPr="00777AF3" w:rsidRDefault="004B1A77" w:rsidP="00795948">
            <w:pPr>
              <w:pStyle w:val="Tabelltekst"/>
              <w:jc w:val="center"/>
              <w:rPr>
                <w:sz w:val="20"/>
              </w:rPr>
            </w:pPr>
            <w:r w:rsidRPr="00777AF3">
              <w:rPr>
                <w:sz w:val="20"/>
              </w:rPr>
              <w:t xml:space="preserve">4,4 </w:t>
            </w:r>
          </w:p>
        </w:tc>
        <w:tc>
          <w:tcPr>
            <w:tcW w:w="498" w:type="pct"/>
            <w:vAlign w:val="bottom"/>
          </w:tcPr>
          <w:p w14:paraId="3D3D159E" w14:textId="77777777" w:rsidR="004B1A77" w:rsidRPr="00777AF3" w:rsidRDefault="004B1A77" w:rsidP="00795948">
            <w:pPr>
              <w:pStyle w:val="Tabelltekst"/>
              <w:jc w:val="center"/>
              <w:rPr>
                <w:sz w:val="20"/>
              </w:rPr>
            </w:pPr>
            <w:r w:rsidRPr="00777AF3">
              <w:rPr>
                <w:sz w:val="20"/>
              </w:rPr>
              <w:t xml:space="preserve">4,6 </w:t>
            </w:r>
          </w:p>
        </w:tc>
        <w:tc>
          <w:tcPr>
            <w:tcW w:w="442" w:type="pct"/>
            <w:vAlign w:val="bottom"/>
          </w:tcPr>
          <w:p w14:paraId="6B731C79" w14:textId="77777777" w:rsidR="004B1A77" w:rsidRPr="00777AF3" w:rsidRDefault="004B1A77" w:rsidP="00795948">
            <w:pPr>
              <w:pStyle w:val="Tabelltekst"/>
              <w:jc w:val="center"/>
              <w:rPr>
                <w:sz w:val="20"/>
              </w:rPr>
            </w:pPr>
            <w:r w:rsidRPr="00777AF3">
              <w:rPr>
                <w:sz w:val="20"/>
              </w:rPr>
              <w:t>4,4</w:t>
            </w:r>
          </w:p>
        </w:tc>
        <w:tc>
          <w:tcPr>
            <w:tcW w:w="327" w:type="pct"/>
            <w:gridSpan w:val="2"/>
          </w:tcPr>
          <w:p w14:paraId="3A183223" w14:textId="77777777" w:rsidR="004B1A77" w:rsidRPr="00777AF3" w:rsidRDefault="004B1A77" w:rsidP="00795948">
            <w:pPr>
              <w:pStyle w:val="Tabelltekst"/>
              <w:jc w:val="center"/>
              <w:rPr>
                <w:sz w:val="20"/>
              </w:rPr>
            </w:pPr>
            <w:r>
              <w:rPr>
                <w:sz w:val="20"/>
              </w:rPr>
              <w:t>4,7</w:t>
            </w:r>
          </w:p>
        </w:tc>
        <w:tc>
          <w:tcPr>
            <w:tcW w:w="155" w:type="pct"/>
          </w:tcPr>
          <w:p w14:paraId="4D483D02" w14:textId="77777777" w:rsidR="004B1A77" w:rsidRPr="00777AF3" w:rsidRDefault="004B1A77" w:rsidP="00795948">
            <w:pPr>
              <w:pStyle w:val="Tabelltekst"/>
              <w:jc w:val="center"/>
              <w:rPr>
                <w:sz w:val="20"/>
              </w:rPr>
            </w:pPr>
          </w:p>
        </w:tc>
        <w:tc>
          <w:tcPr>
            <w:tcW w:w="373" w:type="pct"/>
            <w:vAlign w:val="bottom"/>
          </w:tcPr>
          <w:p w14:paraId="67595CD3" w14:textId="77777777" w:rsidR="004B1A77" w:rsidRPr="00777AF3" w:rsidRDefault="004B1A77" w:rsidP="00795948">
            <w:pPr>
              <w:pStyle w:val="Tabelltekst"/>
              <w:jc w:val="center"/>
              <w:rPr>
                <w:sz w:val="20"/>
              </w:rPr>
            </w:pPr>
            <w:r w:rsidRPr="00777AF3">
              <w:rPr>
                <w:sz w:val="20"/>
              </w:rPr>
              <w:t>5,1</w:t>
            </w:r>
          </w:p>
        </w:tc>
        <w:tc>
          <w:tcPr>
            <w:tcW w:w="292" w:type="pct"/>
            <w:gridSpan w:val="2"/>
            <w:vAlign w:val="bottom"/>
          </w:tcPr>
          <w:p w14:paraId="6A4B0874" w14:textId="77777777" w:rsidR="004B1A77" w:rsidRPr="00777AF3" w:rsidRDefault="004B1A77" w:rsidP="00795948">
            <w:pPr>
              <w:pStyle w:val="Tabelltekst"/>
              <w:jc w:val="center"/>
              <w:rPr>
                <w:sz w:val="20"/>
              </w:rPr>
            </w:pPr>
            <w:r w:rsidRPr="00777AF3">
              <w:rPr>
                <w:sz w:val="20"/>
              </w:rPr>
              <w:t>4,0</w:t>
            </w:r>
          </w:p>
        </w:tc>
      </w:tr>
      <w:tr w:rsidR="00253A7B" w:rsidRPr="00777AF3" w14:paraId="2585B088" w14:textId="77777777" w:rsidTr="00266CEC">
        <w:trPr>
          <w:cantSplit/>
          <w:trHeight w:val="244"/>
          <w:jc w:val="right"/>
        </w:trPr>
        <w:tc>
          <w:tcPr>
            <w:tcW w:w="407" w:type="pct"/>
            <w:vAlign w:val="bottom"/>
          </w:tcPr>
          <w:p w14:paraId="495B8552" w14:textId="77777777" w:rsidR="004B1A77" w:rsidRPr="00777AF3" w:rsidRDefault="004B1A77" w:rsidP="00795948">
            <w:pPr>
              <w:pStyle w:val="Tabelltekst"/>
              <w:rPr>
                <w:sz w:val="20"/>
              </w:rPr>
            </w:pPr>
            <w:r w:rsidRPr="00777AF3">
              <w:rPr>
                <w:sz w:val="20"/>
              </w:rPr>
              <w:t>2010</w:t>
            </w:r>
          </w:p>
        </w:tc>
        <w:tc>
          <w:tcPr>
            <w:tcW w:w="324" w:type="pct"/>
            <w:vAlign w:val="bottom"/>
          </w:tcPr>
          <w:p w14:paraId="57168363" w14:textId="77777777" w:rsidR="004B1A77" w:rsidRPr="00777AF3" w:rsidRDefault="004B1A77" w:rsidP="00795948">
            <w:pPr>
              <w:pStyle w:val="Tabelltekst"/>
              <w:jc w:val="center"/>
              <w:rPr>
                <w:snapToGrid w:val="0"/>
                <w:sz w:val="20"/>
              </w:rPr>
            </w:pPr>
            <w:r w:rsidRPr="00777AF3">
              <w:rPr>
                <w:snapToGrid w:val="0"/>
                <w:sz w:val="20"/>
              </w:rPr>
              <w:t>4,1</w:t>
            </w:r>
          </w:p>
        </w:tc>
        <w:tc>
          <w:tcPr>
            <w:tcW w:w="287" w:type="pct"/>
            <w:shd w:val="solid" w:color="FFFFFF" w:fill="auto"/>
            <w:vAlign w:val="bottom"/>
          </w:tcPr>
          <w:p w14:paraId="15BB5CB0" w14:textId="77777777" w:rsidR="004B1A77" w:rsidRPr="00777AF3" w:rsidRDefault="004B1A77" w:rsidP="00795948">
            <w:pPr>
              <w:pStyle w:val="Tabelltekst"/>
              <w:jc w:val="center"/>
              <w:rPr>
                <w:snapToGrid w:val="0"/>
                <w:sz w:val="20"/>
              </w:rPr>
            </w:pPr>
            <w:r w:rsidRPr="00777AF3">
              <w:rPr>
                <w:snapToGrid w:val="0"/>
                <w:sz w:val="20"/>
              </w:rPr>
              <w:t xml:space="preserve">3,6 </w:t>
            </w:r>
          </w:p>
        </w:tc>
        <w:tc>
          <w:tcPr>
            <w:tcW w:w="404" w:type="pct"/>
            <w:vAlign w:val="bottom"/>
          </w:tcPr>
          <w:p w14:paraId="4FDF78BE" w14:textId="77777777" w:rsidR="004B1A77" w:rsidRPr="00777AF3" w:rsidRDefault="004B1A77" w:rsidP="00795948">
            <w:pPr>
              <w:pStyle w:val="Tabelltekst"/>
              <w:jc w:val="center"/>
              <w:rPr>
                <w:snapToGrid w:val="0"/>
                <w:sz w:val="20"/>
              </w:rPr>
            </w:pPr>
            <w:r w:rsidRPr="00777AF3">
              <w:rPr>
                <w:snapToGrid w:val="0"/>
                <w:sz w:val="20"/>
              </w:rPr>
              <w:t xml:space="preserve">4,3 </w:t>
            </w:r>
          </w:p>
        </w:tc>
        <w:tc>
          <w:tcPr>
            <w:tcW w:w="368" w:type="pct"/>
            <w:vAlign w:val="bottom"/>
          </w:tcPr>
          <w:p w14:paraId="4B2802B0" w14:textId="77777777" w:rsidR="004B1A77" w:rsidRPr="00777AF3" w:rsidRDefault="004B1A77" w:rsidP="00795948">
            <w:pPr>
              <w:pStyle w:val="Tabelltekst"/>
              <w:jc w:val="center"/>
              <w:rPr>
                <w:snapToGrid w:val="0"/>
                <w:sz w:val="20"/>
              </w:rPr>
            </w:pPr>
            <w:r w:rsidRPr="00777AF3">
              <w:rPr>
                <w:snapToGrid w:val="0"/>
                <w:sz w:val="20"/>
              </w:rPr>
              <w:t>3,6</w:t>
            </w:r>
          </w:p>
        </w:tc>
        <w:tc>
          <w:tcPr>
            <w:tcW w:w="304" w:type="pct"/>
            <w:gridSpan w:val="2"/>
            <w:vAlign w:val="bottom"/>
          </w:tcPr>
          <w:p w14:paraId="58FC08D5" w14:textId="77777777" w:rsidR="004B1A77" w:rsidRPr="00777AF3" w:rsidRDefault="004B1A77" w:rsidP="00795948">
            <w:pPr>
              <w:pStyle w:val="Tabelltekst"/>
              <w:jc w:val="center"/>
              <w:rPr>
                <w:sz w:val="20"/>
              </w:rPr>
            </w:pPr>
            <w:r w:rsidRPr="00777AF3">
              <w:rPr>
                <w:sz w:val="20"/>
              </w:rPr>
              <w:t>5,9</w:t>
            </w:r>
          </w:p>
        </w:tc>
        <w:tc>
          <w:tcPr>
            <w:tcW w:w="346" w:type="pct"/>
          </w:tcPr>
          <w:p w14:paraId="57EBA6A0" w14:textId="77777777" w:rsidR="004B1A77" w:rsidRPr="00777AF3" w:rsidRDefault="004B1A77" w:rsidP="00795948">
            <w:pPr>
              <w:pStyle w:val="Tabelltekst"/>
              <w:jc w:val="center"/>
              <w:rPr>
                <w:sz w:val="20"/>
              </w:rPr>
            </w:pPr>
            <w:r>
              <w:rPr>
                <w:sz w:val="20"/>
              </w:rPr>
              <w:t>3,7</w:t>
            </w:r>
          </w:p>
        </w:tc>
        <w:tc>
          <w:tcPr>
            <w:tcW w:w="475" w:type="pct"/>
            <w:vAlign w:val="bottom"/>
          </w:tcPr>
          <w:p w14:paraId="06641A66" w14:textId="77777777" w:rsidR="004B1A77" w:rsidRPr="00777AF3" w:rsidRDefault="004B1A77" w:rsidP="00795948">
            <w:pPr>
              <w:pStyle w:val="Tabelltekst"/>
              <w:jc w:val="center"/>
              <w:rPr>
                <w:sz w:val="20"/>
              </w:rPr>
            </w:pPr>
            <w:r w:rsidRPr="00777AF3">
              <w:rPr>
                <w:sz w:val="20"/>
              </w:rPr>
              <w:t>4,5</w:t>
            </w:r>
          </w:p>
        </w:tc>
        <w:tc>
          <w:tcPr>
            <w:tcW w:w="498" w:type="pct"/>
            <w:vAlign w:val="bottom"/>
          </w:tcPr>
          <w:p w14:paraId="49557F77" w14:textId="77777777" w:rsidR="004B1A77" w:rsidRPr="00777AF3" w:rsidRDefault="004B1A77" w:rsidP="00795948">
            <w:pPr>
              <w:pStyle w:val="Tabelltekst"/>
              <w:jc w:val="center"/>
              <w:rPr>
                <w:sz w:val="20"/>
              </w:rPr>
            </w:pPr>
            <w:r w:rsidRPr="00777AF3">
              <w:rPr>
                <w:sz w:val="20"/>
              </w:rPr>
              <w:t xml:space="preserve">3,7 </w:t>
            </w:r>
          </w:p>
        </w:tc>
        <w:tc>
          <w:tcPr>
            <w:tcW w:w="442" w:type="pct"/>
            <w:vAlign w:val="bottom"/>
          </w:tcPr>
          <w:p w14:paraId="7007CBD9" w14:textId="77777777" w:rsidR="004B1A77" w:rsidRPr="00777AF3" w:rsidRDefault="004B1A77" w:rsidP="00795948">
            <w:pPr>
              <w:pStyle w:val="Tabelltekst"/>
              <w:jc w:val="center"/>
              <w:rPr>
                <w:sz w:val="20"/>
              </w:rPr>
            </w:pPr>
            <w:r w:rsidRPr="00777AF3">
              <w:rPr>
                <w:sz w:val="20"/>
              </w:rPr>
              <w:t xml:space="preserve">3,6 </w:t>
            </w:r>
          </w:p>
        </w:tc>
        <w:tc>
          <w:tcPr>
            <w:tcW w:w="327" w:type="pct"/>
            <w:gridSpan w:val="2"/>
            <w:shd w:val="solid" w:color="FFFFFF" w:fill="auto"/>
          </w:tcPr>
          <w:p w14:paraId="762438F1" w14:textId="77777777" w:rsidR="004B1A77" w:rsidRPr="00777AF3" w:rsidRDefault="004B1A77" w:rsidP="00795948">
            <w:pPr>
              <w:pStyle w:val="Tabelltekst"/>
              <w:jc w:val="center"/>
              <w:rPr>
                <w:sz w:val="20"/>
              </w:rPr>
            </w:pPr>
            <w:r>
              <w:rPr>
                <w:sz w:val="20"/>
              </w:rPr>
              <w:t>3,7</w:t>
            </w:r>
          </w:p>
        </w:tc>
        <w:tc>
          <w:tcPr>
            <w:tcW w:w="155" w:type="pct"/>
            <w:shd w:val="solid" w:color="FFFFFF" w:fill="auto"/>
          </w:tcPr>
          <w:p w14:paraId="66A97228" w14:textId="77777777" w:rsidR="004B1A77" w:rsidRPr="00777AF3" w:rsidRDefault="004B1A77" w:rsidP="00795948">
            <w:pPr>
              <w:pStyle w:val="Tabelltekst"/>
              <w:jc w:val="center"/>
              <w:rPr>
                <w:sz w:val="20"/>
              </w:rPr>
            </w:pPr>
          </w:p>
        </w:tc>
        <w:tc>
          <w:tcPr>
            <w:tcW w:w="373" w:type="pct"/>
            <w:shd w:val="solid" w:color="FFFFFF" w:fill="auto"/>
            <w:vAlign w:val="bottom"/>
          </w:tcPr>
          <w:p w14:paraId="0D8D4512" w14:textId="77777777" w:rsidR="004B1A77" w:rsidRPr="00777AF3" w:rsidRDefault="004B1A77" w:rsidP="00795948">
            <w:pPr>
              <w:pStyle w:val="Tabelltekst"/>
              <w:jc w:val="center"/>
              <w:rPr>
                <w:sz w:val="20"/>
              </w:rPr>
            </w:pPr>
            <w:r w:rsidRPr="00777AF3">
              <w:rPr>
                <w:sz w:val="20"/>
              </w:rPr>
              <w:t>3,</w:t>
            </w:r>
            <w:r>
              <w:rPr>
                <w:sz w:val="20"/>
              </w:rPr>
              <w:t>5</w:t>
            </w:r>
          </w:p>
        </w:tc>
        <w:tc>
          <w:tcPr>
            <w:tcW w:w="292" w:type="pct"/>
            <w:gridSpan w:val="2"/>
            <w:shd w:val="solid" w:color="FFFFFF" w:fill="auto"/>
            <w:vAlign w:val="bottom"/>
          </w:tcPr>
          <w:p w14:paraId="7F9F8386" w14:textId="77777777" w:rsidR="004B1A77" w:rsidRPr="00777AF3" w:rsidRDefault="004B1A77" w:rsidP="00795948">
            <w:pPr>
              <w:pStyle w:val="Tabelltekst"/>
              <w:jc w:val="center"/>
              <w:rPr>
                <w:sz w:val="20"/>
              </w:rPr>
            </w:pPr>
            <w:r w:rsidRPr="00777AF3">
              <w:rPr>
                <w:sz w:val="20"/>
              </w:rPr>
              <w:t xml:space="preserve">3,5 </w:t>
            </w:r>
          </w:p>
        </w:tc>
      </w:tr>
      <w:tr w:rsidR="00253A7B" w:rsidRPr="00777AF3" w14:paraId="1C491948" w14:textId="77777777" w:rsidTr="00266CEC">
        <w:trPr>
          <w:cantSplit/>
          <w:trHeight w:val="244"/>
          <w:jc w:val="right"/>
        </w:trPr>
        <w:tc>
          <w:tcPr>
            <w:tcW w:w="407" w:type="pct"/>
            <w:vAlign w:val="bottom"/>
          </w:tcPr>
          <w:p w14:paraId="14D206D5" w14:textId="77777777" w:rsidR="004B1A77" w:rsidRPr="00777AF3" w:rsidRDefault="004B1A77" w:rsidP="00795948">
            <w:pPr>
              <w:pStyle w:val="Tabelltekst"/>
              <w:rPr>
                <w:sz w:val="20"/>
              </w:rPr>
            </w:pPr>
            <w:r w:rsidRPr="00777AF3">
              <w:rPr>
                <w:sz w:val="20"/>
              </w:rPr>
              <w:t>2011</w:t>
            </w:r>
          </w:p>
        </w:tc>
        <w:tc>
          <w:tcPr>
            <w:tcW w:w="324" w:type="pct"/>
            <w:vAlign w:val="bottom"/>
          </w:tcPr>
          <w:p w14:paraId="585CE069" w14:textId="77777777" w:rsidR="004B1A77" w:rsidRPr="00777AF3" w:rsidRDefault="004B1A77" w:rsidP="00795948">
            <w:pPr>
              <w:pStyle w:val="Tabelltekst"/>
              <w:jc w:val="center"/>
              <w:rPr>
                <w:snapToGrid w:val="0"/>
                <w:sz w:val="20"/>
              </w:rPr>
            </w:pPr>
            <w:r>
              <w:rPr>
                <w:snapToGrid w:val="0"/>
                <w:sz w:val="20"/>
              </w:rPr>
              <w:t xml:space="preserve">4,6 </w:t>
            </w:r>
          </w:p>
        </w:tc>
        <w:tc>
          <w:tcPr>
            <w:tcW w:w="287" w:type="pct"/>
            <w:shd w:val="solid" w:color="FFFFFF" w:fill="auto"/>
            <w:vAlign w:val="bottom"/>
          </w:tcPr>
          <w:p w14:paraId="7E19FD79" w14:textId="77777777" w:rsidR="004B1A77" w:rsidRPr="00777AF3" w:rsidRDefault="004B1A77" w:rsidP="00795948">
            <w:pPr>
              <w:pStyle w:val="Tabelltekst"/>
              <w:jc w:val="center"/>
              <w:rPr>
                <w:snapToGrid w:val="0"/>
                <w:sz w:val="20"/>
              </w:rPr>
            </w:pPr>
            <w:r>
              <w:rPr>
                <w:snapToGrid w:val="0"/>
                <w:sz w:val="20"/>
              </w:rPr>
              <w:t xml:space="preserve">4,4 </w:t>
            </w:r>
          </w:p>
        </w:tc>
        <w:tc>
          <w:tcPr>
            <w:tcW w:w="404" w:type="pct"/>
            <w:vAlign w:val="bottom"/>
          </w:tcPr>
          <w:p w14:paraId="461E0949" w14:textId="77777777" w:rsidR="004B1A77" w:rsidRPr="00777AF3" w:rsidRDefault="004B1A77" w:rsidP="00795948">
            <w:pPr>
              <w:pStyle w:val="Tabelltekst"/>
              <w:jc w:val="center"/>
              <w:rPr>
                <w:snapToGrid w:val="0"/>
                <w:sz w:val="20"/>
              </w:rPr>
            </w:pPr>
            <w:r>
              <w:rPr>
                <w:snapToGrid w:val="0"/>
                <w:sz w:val="20"/>
              </w:rPr>
              <w:t xml:space="preserve">4,7 </w:t>
            </w:r>
          </w:p>
        </w:tc>
        <w:tc>
          <w:tcPr>
            <w:tcW w:w="368" w:type="pct"/>
            <w:vAlign w:val="bottom"/>
          </w:tcPr>
          <w:p w14:paraId="095718F4" w14:textId="77777777" w:rsidR="004B1A77" w:rsidRPr="00777AF3" w:rsidRDefault="004B1A77" w:rsidP="00795948">
            <w:pPr>
              <w:pStyle w:val="Tabelltekst"/>
              <w:jc w:val="center"/>
              <w:rPr>
                <w:snapToGrid w:val="0"/>
                <w:sz w:val="20"/>
              </w:rPr>
            </w:pPr>
            <w:r>
              <w:rPr>
                <w:snapToGrid w:val="0"/>
                <w:sz w:val="20"/>
              </w:rPr>
              <w:t>3,6</w:t>
            </w:r>
          </w:p>
        </w:tc>
        <w:tc>
          <w:tcPr>
            <w:tcW w:w="304" w:type="pct"/>
            <w:gridSpan w:val="2"/>
            <w:vAlign w:val="bottom"/>
          </w:tcPr>
          <w:p w14:paraId="6D64FD8A" w14:textId="77777777" w:rsidR="004B1A77" w:rsidRPr="00777AF3" w:rsidRDefault="004B1A77" w:rsidP="00795948">
            <w:pPr>
              <w:pStyle w:val="Tabelltekst"/>
              <w:jc w:val="center"/>
              <w:rPr>
                <w:sz w:val="20"/>
              </w:rPr>
            </w:pPr>
            <w:r>
              <w:rPr>
                <w:sz w:val="20"/>
              </w:rPr>
              <w:t>4,9</w:t>
            </w:r>
          </w:p>
        </w:tc>
        <w:tc>
          <w:tcPr>
            <w:tcW w:w="346" w:type="pct"/>
          </w:tcPr>
          <w:p w14:paraId="565F7A1D" w14:textId="77777777" w:rsidR="004B1A77" w:rsidRDefault="004B1A77" w:rsidP="00795948">
            <w:pPr>
              <w:pStyle w:val="Tabelltekst"/>
              <w:jc w:val="center"/>
              <w:rPr>
                <w:sz w:val="20"/>
              </w:rPr>
            </w:pPr>
            <w:r>
              <w:rPr>
                <w:sz w:val="20"/>
              </w:rPr>
              <w:t>4,2</w:t>
            </w:r>
          </w:p>
        </w:tc>
        <w:tc>
          <w:tcPr>
            <w:tcW w:w="475" w:type="pct"/>
            <w:vAlign w:val="bottom"/>
          </w:tcPr>
          <w:p w14:paraId="27DC826E" w14:textId="77777777" w:rsidR="004B1A77" w:rsidRPr="00777AF3" w:rsidRDefault="004B1A77" w:rsidP="00795948">
            <w:pPr>
              <w:pStyle w:val="Tabelltekst"/>
              <w:jc w:val="center"/>
              <w:rPr>
                <w:sz w:val="20"/>
              </w:rPr>
            </w:pPr>
            <w:r>
              <w:rPr>
                <w:sz w:val="20"/>
              </w:rPr>
              <w:t>4,2</w:t>
            </w:r>
          </w:p>
        </w:tc>
        <w:tc>
          <w:tcPr>
            <w:tcW w:w="498" w:type="pct"/>
            <w:vAlign w:val="bottom"/>
          </w:tcPr>
          <w:p w14:paraId="51846BE9" w14:textId="77777777" w:rsidR="004B1A77" w:rsidRPr="00777AF3" w:rsidRDefault="004B1A77" w:rsidP="00795948">
            <w:pPr>
              <w:pStyle w:val="Tabelltekst"/>
              <w:jc w:val="center"/>
              <w:rPr>
                <w:sz w:val="20"/>
              </w:rPr>
            </w:pPr>
            <w:r>
              <w:rPr>
                <w:sz w:val="20"/>
              </w:rPr>
              <w:t>4,3</w:t>
            </w:r>
          </w:p>
        </w:tc>
        <w:tc>
          <w:tcPr>
            <w:tcW w:w="442" w:type="pct"/>
            <w:vAlign w:val="bottom"/>
          </w:tcPr>
          <w:p w14:paraId="602C9B17" w14:textId="77777777" w:rsidR="004B1A77" w:rsidRPr="00777AF3" w:rsidRDefault="004B1A77" w:rsidP="00795948">
            <w:pPr>
              <w:pStyle w:val="Tabelltekst"/>
              <w:jc w:val="center"/>
              <w:rPr>
                <w:sz w:val="20"/>
              </w:rPr>
            </w:pPr>
            <w:r>
              <w:rPr>
                <w:sz w:val="20"/>
              </w:rPr>
              <w:t xml:space="preserve">4,3 </w:t>
            </w:r>
          </w:p>
        </w:tc>
        <w:tc>
          <w:tcPr>
            <w:tcW w:w="327" w:type="pct"/>
            <w:gridSpan w:val="2"/>
            <w:shd w:val="solid" w:color="FFFFFF" w:fill="auto"/>
          </w:tcPr>
          <w:p w14:paraId="2A46AC34" w14:textId="77777777" w:rsidR="004B1A77" w:rsidRDefault="004B1A77" w:rsidP="00795948">
            <w:pPr>
              <w:pStyle w:val="Tabelltekst"/>
              <w:jc w:val="center"/>
              <w:rPr>
                <w:sz w:val="20"/>
              </w:rPr>
            </w:pPr>
            <w:r>
              <w:rPr>
                <w:sz w:val="20"/>
              </w:rPr>
              <w:t>4,3</w:t>
            </w:r>
          </w:p>
        </w:tc>
        <w:tc>
          <w:tcPr>
            <w:tcW w:w="155" w:type="pct"/>
            <w:shd w:val="solid" w:color="FFFFFF" w:fill="auto"/>
          </w:tcPr>
          <w:p w14:paraId="7449217A" w14:textId="77777777" w:rsidR="004B1A77" w:rsidRDefault="004B1A77" w:rsidP="00795948">
            <w:pPr>
              <w:pStyle w:val="Tabelltekst"/>
              <w:jc w:val="center"/>
              <w:rPr>
                <w:sz w:val="20"/>
              </w:rPr>
            </w:pPr>
          </w:p>
        </w:tc>
        <w:tc>
          <w:tcPr>
            <w:tcW w:w="373" w:type="pct"/>
            <w:shd w:val="solid" w:color="FFFFFF" w:fill="auto"/>
            <w:vAlign w:val="bottom"/>
          </w:tcPr>
          <w:p w14:paraId="34963650" w14:textId="77777777" w:rsidR="004B1A77" w:rsidRPr="00777AF3" w:rsidRDefault="004B1A77" w:rsidP="00795948">
            <w:pPr>
              <w:pStyle w:val="Tabelltekst"/>
              <w:jc w:val="center"/>
              <w:rPr>
                <w:sz w:val="20"/>
              </w:rPr>
            </w:pPr>
            <w:r>
              <w:rPr>
                <w:sz w:val="20"/>
              </w:rPr>
              <w:t>4,0</w:t>
            </w:r>
          </w:p>
        </w:tc>
        <w:tc>
          <w:tcPr>
            <w:tcW w:w="292" w:type="pct"/>
            <w:gridSpan w:val="2"/>
            <w:shd w:val="solid" w:color="FFFFFF" w:fill="auto"/>
            <w:vAlign w:val="bottom"/>
          </w:tcPr>
          <w:p w14:paraId="01AE719C" w14:textId="77777777" w:rsidR="004B1A77" w:rsidRPr="00777AF3" w:rsidRDefault="004B1A77" w:rsidP="00795948">
            <w:pPr>
              <w:pStyle w:val="Tabelltekst"/>
              <w:jc w:val="center"/>
              <w:rPr>
                <w:sz w:val="20"/>
              </w:rPr>
            </w:pPr>
            <w:r>
              <w:rPr>
                <w:sz w:val="20"/>
              </w:rPr>
              <w:t>4,1</w:t>
            </w:r>
          </w:p>
        </w:tc>
      </w:tr>
      <w:tr w:rsidR="00253A7B" w:rsidRPr="00777AF3" w14:paraId="0533CB1C" w14:textId="77777777" w:rsidTr="00266CEC">
        <w:trPr>
          <w:cantSplit/>
          <w:trHeight w:val="244"/>
          <w:jc w:val="right"/>
        </w:trPr>
        <w:tc>
          <w:tcPr>
            <w:tcW w:w="407" w:type="pct"/>
            <w:vAlign w:val="bottom"/>
          </w:tcPr>
          <w:p w14:paraId="3B5BAE0F" w14:textId="77777777" w:rsidR="004B1A77" w:rsidRPr="00777AF3" w:rsidRDefault="004B1A77" w:rsidP="00795948">
            <w:pPr>
              <w:pStyle w:val="Tabelltekst"/>
              <w:rPr>
                <w:sz w:val="20"/>
              </w:rPr>
            </w:pPr>
            <w:r>
              <w:rPr>
                <w:sz w:val="20"/>
              </w:rPr>
              <w:t>2012</w:t>
            </w:r>
          </w:p>
        </w:tc>
        <w:tc>
          <w:tcPr>
            <w:tcW w:w="324" w:type="pct"/>
            <w:vAlign w:val="bottom"/>
          </w:tcPr>
          <w:p w14:paraId="47314A31" w14:textId="77777777" w:rsidR="004B1A77" w:rsidRDefault="004B1A77" w:rsidP="00795948">
            <w:pPr>
              <w:pStyle w:val="Tabelltekst"/>
              <w:jc w:val="center"/>
              <w:rPr>
                <w:snapToGrid w:val="0"/>
                <w:sz w:val="20"/>
              </w:rPr>
            </w:pPr>
            <w:r>
              <w:rPr>
                <w:snapToGrid w:val="0"/>
                <w:sz w:val="20"/>
              </w:rPr>
              <w:t>4,2</w:t>
            </w:r>
          </w:p>
        </w:tc>
        <w:tc>
          <w:tcPr>
            <w:tcW w:w="287" w:type="pct"/>
            <w:shd w:val="solid" w:color="FFFFFF" w:fill="auto"/>
            <w:vAlign w:val="bottom"/>
          </w:tcPr>
          <w:p w14:paraId="48F82459" w14:textId="77777777" w:rsidR="004B1A77" w:rsidRDefault="004B1A77" w:rsidP="00795948">
            <w:pPr>
              <w:pStyle w:val="Tabelltekst"/>
              <w:jc w:val="center"/>
              <w:rPr>
                <w:snapToGrid w:val="0"/>
                <w:sz w:val="20"/>
              </w:rPr>
            </w:pPr>
            <w:r>
              <w:rPr>
                <w:snapToGrid w:val="0"/>
                <w:sz w:val="20"/>
              </w:rPr>
              <w:t>4,1</w:t>
            </w:r>
          </w:p>
        </w:tc>
        <w:tc>
          <w:tcPr>
            <w:tcW w:w="404" w:type="pct"/>
            <w:vAlign w:val="bottom"/>
          </w:tcPr>
          <w:p w14:paraId="72974F68" w14:textId="77777777" w:rsidR="004B1A77" w:rsidRDefault="004B1A77" w:rsidP="00795948">
            <w:pPr>
              <w:pStyle w:val="Tabelltekst"/>
              <w:jc w:val="center"/>
              <w:rPr>
                <w:snapToGrid w:val="0"/>
                <w:sz w:val="20"/>
              </w:rPr>
            </w:pPr>
            <w:r>
              <w:rPr>
                <w:snapToGrid w:val="0"/>
                <w:sz w:val="20"/>
              </w:rPr>
              <w:t>4,1</w:t>
            </w:r>
          </w:p>
        </w:tc>
        <w:tc>
          <w:tcPr>
            <w:tcW w:w="368" w:type="pct"/>
            <w:vAlign w:val="bottom"/>
          </w:tcPr>
          <w:p w14:paraId="31CE4A42" w14:textId="77777777" w:rsidR="004B1A77" w:rsidRDefault="004B1A77" w:rsidP="00795948">
            <w:pPr>
              <w:pStyle w:val="Tabelltekst"/>
              <w:jc w:val="center"/>
              <w:rPr>
                <w:snapToGrid w:val="0"/>
                <w:sz w:val="20"/>
              </w:rPr>
            </w:pPr>
            <w:r>
              <w:rPr>
                <w:snapToGrid w:val="0"/>
                <w:sz w:val="20"/>
              </w:rPr>
              <w:t>3,3</w:t>
            </w:r>
          </w:p>
        </w:tc>
        <w:tc>
          <w:tcPr>
            <w:tcW w:w="304" w:type="pct"/>
            <w:gridSpan w:val="2"/>
            <w:vAlign w:val="bottom"/>
          </w:tcPr>
          <w:p w14:paraId="52039B05" w14:textId="77777777" w:rsidR="004B1A77" w:rsidRDefault="004B1A77" w:rsidP="00795948">
            <w:pPr>
              <w:pStyle w:val="Tabelltekst"/>
              <w:jc w:val="center"/>
              <w:rPr>
                <w:sz w:val="20"/>
              </w:rPr>
            </w:pPr>
            <w:r>
              <w:rPr>
                <w:sz w:val="20"/>
              </w:rPr>
              <w:t>3,0</w:t>
            </w:r>
          </w:p>
        </w:tc>
        <w:tc>
          <w:tcPr>
            <w:tcW w:w="346" w:type="pct"/>
          </w:tcPr>
          <w:p w14:paraId="6F5EEEDF" w14:textId="77777777" w:rsidR="004B1A77" w:rsidRDefault="004B1A77" w:rsidP="00795948">
            <w:pPr>
              <w:pStyle w:val="Tabelltekst"/>
              <w:jc w:val="center"/>
              <w:rPr>
                <w:sz w:val="20"/>
              </w:rPr>
            </w:pPr>
            <w:r>
              <w:rPr>
                <w:sz w:val="20"/>
              </w:rPr>
              <w:t>4,0</w:t>
            </w:r>
          </w:p>
        </w:tc>
        <w:tc>
          <w:tcPr>
            <w:tcW w:w="475" w:type="pct"/>
            <w:vAlign w:val="bottom"/>
          </w:tcPr>
          <w:p w14:paraId="27FEDBF9" w14:textId="77777777" w:rsidR="004B1A77" w:rsidRDefault="004B1A77" w:rsidP="00795948">
            <w:pPr>
              <w:pStyle w:val="Tabelltekst"/>
              <w:jc w:val="center"/>
              <w:rPr>
                <w:sz w:val="20"/>
              </w:rPr>
            </w:pPr>
            <w:r>
              <w:rPr>
                <w:sz w:val="20"/>
              </w:rPr>
              <w:t>4,1</w:t>
            </w:r>
          </w:p>
        </w:tc>
        <w:tc>
          <w:tcPr>
            <w:tcW w:w="498" w:type="pct"/>
            <w:vAlign w:val="bottom"/>
          </w:tcPr>
          <w:p w14:paraId="774995C7" w14:textId="77777777" w:rsidR="004B1A77" w:rsidRDefault="004B1A77" w:rsidP="00795948">
            <w:pPr>
              <w:pStyle w:val="Tabelltekst"/>
              <w:jc w:val="center"/>
              <w:rPr>
                <w:sz w:val="20"/>
              </w:rPr>
            </w:pPr>
            <w:r>
              <w:rPr>
                <w:sz w:val="20"/>
              </w:rPr>
              <w:t>4,1</w:t>
            </w:r>
          </w:p>
        </w:tc>
        <w:tc>
          <w:tcPr>
            <w:tcW w:w="442" w:type="pct"/>
            <w:vAlign w:val="bottom"/>
          </w:tcPr>
          <w:p w14:paraId="5D03E795" w14:textId="77777777" w:rsidR="004B1A77" w:rsidRDefault="004B1A77" w:rsidP="00795948">
            <w:pPr>
              <w:pStyle w:val="Tabelltekst"/>
              <w:jc w:val="center"/>
              <w:rPr>
                <w:sz w:val="20"/>
              </w:rPr>
            </w:pPr>
            <w:r>
              <w:rPr>
                <w:sz w:val="20"/>
              </w:rPr>
              <w:t>4,0</w:t>
            </w:r>
          </w:p>
        </w:tc>
        <w:tc>
          <w:tcPr>
            <w:tcW w:w="327" w:type="pct"/>
            <w:gridSpan w:val="2"/>
            <w:shd w:val="solid" w:color="FFFFFF" w:fill="auto"/>
          </w:tcPr>
          <w:p w14:paraId="79D8155E" w14:textId="77777777" w:rsidR="004B1A77" w:rsidRDefault="004B1A77" w:rsidP="00795948">
            <w:pPr>
              <w:pStyle w:val="Tabelltekst"/>
              <w:jc w:val="center"/>
              <w:rPr>
                <w:sz w:val="20"/>
              </w:rPr>
            </w:pPr>
            <w:r>
              <w:rPr>
                <w:sz w:val="20"/>
              </w:rPr>
              <w:t>4,1</w:t>
            </w:r>
          </w:p>
        </w:tc>
        <w:tc>
          <w:tcPr>
            <w:tcW w:w="155" w:type="pct"/>
            <w:shd w:val="solid" w:color="FFFFFF" w:fill="auto"/>
          </w:tcPr>
          <w:p w14:paraId="71B8B9F8" w14:textId="77777777" w:rsidR="004B1A77" w:rsidRDefault="004B1A77" w:rsidP="00795948">
            <w:pPr>
              <w:pStyle w:val="Tabelltekst"/>
              <w:jc w:val="center"/>
              <w:rPr>
                <w:sz w:val="20"/>
              </w:rPr>
            </w:pPr>
          </w:p>
        </w:tc>
        <w:tc>
          <w:tcPr>
            <w:tcW w:w="373" w:type="pct"/>
            <w:shd w:val="solid" w:color="FFFFFF" w:fill="auto"/>
            <w:vAlign w:val="bottom"/>
          </w:tcPr>
          <w:p w14:paraId="56C364FD" w14:textId="77777777" w:rsidR="004B1A77" w:rsidRDefault="004B1A77" w:rsidP="00795948">
            <w:pPr>
              <w:pStyle w:val="Tabelltekst"/>
              <w:jc w:val="center"/>
              <w:rPr>
                <w:sz w:val="20"/>
              </w:rPr>
            </w:pPr>
            <w:r>
              <w:rPr>
                <w:sz w:val="20"/>
              </w:rPr>
              <w:t xml:space="preserve">3,7 </w:t>
            </w:r>
          </w:p>
        </w:tc>
        <w:tc>
          <w:tcPr>
            <w:tcW w:w="292" w:type="pct"/>
            <w:gridSpan w:val="2"/>
            <w:shd w:val="solid" w:color="FFFFFF" w:fill="auto"/>
            <w:vAlign w:val="bottom"/>
          </w:tcPr>
          <w:p w14:paraId="21062E88" w14:textId="77777777" w:rsidR="004B1A77" w:rsidRDefault="004B1A77" w:rsidP="00795948">
            <w:pPr>
              <w:pStyle w:val="Tabelltekst"/>
              <w:jc w:val="center"/>
              <w:rPr>
                <w:sz w:val="20"/>
              </w:rPr>
            </w:pPr>
            <w:r>
              <w:rPr>
                <w:sz w:val="20"/>
              </w:rPr>
              <w:t>4,2</w:t>
            </w:r>
          </w:p>
        </w:tc>
      </w:tr>
      <w:tr w:rsidR="00253A7B" w:rsidRPr="00777AF3" w14:paraId="18E52BAC" w14:textId="77777777" w:rsidTr="00266CEC">
        <w:trPr>
          <w:cantSplit/>
          <w:trHeight w:val="244"/>
          <w:jc w:val="right"/>
        </w:trPr>
        <w:tc>
          <w:tcPr>
            <w:tcW w:w="407" w:type="pct"/>
            <w:vAlign w:val="bottom"/>
          </w:tcPr>
          <w:p w14:paraId="2F03B163" w14:textId="77777777" w:rsidR="004B1A77" w:rsidRDefault="004B1A77" w:rsidP="00795948">
            <w:pPr>
              <w:pStyle w:val="Tabelltekst"/>
              <w:rPr>
                <w:sz w:val="20"/>
              </w:rPr>
            </w:pPr>
            <w:r>
              <w:rPr>
                <w:sz w:val="20"/>
              </w:rPr>
              <w:t>2013</w:t>
            </w:r>
          </w:p>
        </w:tc>
        <w:tc>
          <w:tcPr>
            <w:tcW w:w="324" w:type="pct"/>
            <w:vAlign w:val="bottom"/>
          </w:tcPr>
          <w:p w14:paraId="3BB8EFFE" w14:textId="77777777" w:rsidR="004B1A77" w:rsidRDefault="004B1A77" w:rsidP="00795948">
            <w:pPr>
              <w:pStyle w:val="Tabelltekst"/>
              <w:jc w:val="center"/>
              <w:rPr>
                <w:snapToGrid w:val="0"/>
                <w:sz w:val="20"/>
              </w:rPr>
            </w:pPr>
            <w:r>
              <w:rPr>
                <w:snapToGrid w:val="0"/>
                <w:sz w:val="20"/>
              </w:rPr>
              <w:t>3,9</w:t>
            </w:r>
          </w:p>
        </w:tc>
        <w:tc>
          <w:tcPr>
            <w:tcW w:w="287" w:type="pct"/>
            <w:shd w:val="solid" w:color="FFFFFF" w:fill="auto"/>
            <w:vAlign w:val="bottom"/>
          </w:tcPr>
          <w:p w14:paraId="40DBB29F" w14:textId="77777777" w:rsidR="004B1A77" w:rsidRDefault="004B1A77" w:rsidP="00795948">
            <w:pPr>
              <w:pStyle w:val="Tabelltekst"/>
              <w:jc w:val="center"/>
              <w:rPr>
                <w:snapToGrid w:val="0"/>
                <w:sz w:val="20"/>
              </w:rPr>
            </w:pPr>
            <w:r>
              <w:rPr>
                <w:snapToGrid w:val="0"/>
                <w:sz w:val="20"/>
              </w:rPr>
              <w:t xml:space="preserve">3,5 </w:t>
            </w:r>
          </w:p>
        </w:tc>
        <w:tc>
          <w:tcPr>
            <w:tcW w:w="404" w:type="pct"/>
            <w:vAlign w:val="bottom"/>
          </w:tcPr>
          <w:p w14:paraId="47606550" w14:textId="77777777" w:rsidR="004B1A77" w:rsidRDefault="004B1A77" w:rsidP="00795948">
            <w:pPr>
              <w:pStyle w:val="Tabelltekst"/>
              <w:jc w:val="center"/>
              <w:rPr>
                <w:snapToGrid w:val="0"/>
                <w:sz w:val="20"/>
              </w:rPr>
            </w:pPr>
            <w:r>
              <w:rPr>
                <w:snapToGrid w:val="0"/>
                <w:sz w:val="20"/>
              </w:rPr>
              <w:t xml:space="preserve">4,3 </w:t>
            </w:r>
          </w:p>
        </w:tc>
        <w:tc>
          <w:tcPr>
            <w:tcW w:w="368" w:type="pct"/>
            <w:vAlign w:val="bottom"/>
          </w:tcPr>
          <w:p w14:paraId="581B88F3" w14:textId="77777777" w:rsidR="004B1A77" w:rsidRDefault="004B1A77" w:rsidP="00795948">
            <w:pPr>
              <w:pStyle w:val="Tabelltekst"/>
              <w:jc w:val="center"/>
              <w:rPr>
                <w:snapToGrid w:val="0"/>
                <w:sz w:val="20"/>
              </w:rPr>
            </w:pPr>
            <w:r>
              <w:rPr>
                <w:snapToGrid w:val="0"/>
                <w:sz w:val="20"/>
              </w:rPr>
              <w:t>4,0</w:t>
            </w:r>
          </w:p>
        </w:tc>
        <w:tc>
          <w:tcPr>
            <w:tcW w:w="304" w:type="pct"/>
            <w:gridSpan w:val="2"/>
            <w:vAlign w:val="bottom"/>
          </w:tcPr>
          <w:p w14:paraId="3361B8C8" w14:textId="77777777" w:rsidR="004B1A77" w:rsidRDefault="004B1A77" w:rsidP="00795948">
            <w:pPr>
              <w:pStyle w:val="Tabelltekst"/>
              <w:jc w:val="center"/>
              <w:rPr>
                <w:sz w:val="20"/>
              </w:rPr>
            </w:pPr>
            <w:r>
              <w:rPr>
                <w:sz w:val="20"/>
              </w:rPr>
              <w:t>6,7</w:t>
            </w:r>
          </w:p>
        </w:tc>
        <w:tc>
          <w:tcPr>
            <w:tcW w:w="346" w:type="pct"/>
          </w:tcPr>
          <w:p w14:paraId="46FA96B7" w14:textId="77777777" w:rsidR="004B1A77" w:rsidRDefault="004B1A77" w:rsidP="00795948">
            <w:pPr>
              <w:pStyle w:val="Tabelltekst"/>
              <w:jc w:val="center"/>
              <w:rPr>
                <w:sz w:val="20"/>
              </w:rPr>
            </w:pPr>
            <w:r>
              <w:rPr>
                <w:sz w:val="20"/>
              </w:rPr>
              <w:t>3,7</w:t>
            </w:r>
          </w:p>
        </w:tc>
        <w:tc>
          <w:tcPr>
            <w:tcW w:w="475" w:type="pct"/>
            <w:vAlign w:val="bottom"/>
          </w:tcPr>
          <w:p w14:paraId="1674BDF4" w14:textId="77777777" w:rsidR="004B1A77" w:rsidRDefault="004B1A77" w:rsidP="00795948">
            <w:pPr>
              <w:pStyle w:val="Tabelltekst"/>
              <w:jc w:val="center"/>
              <w:rPr>
                <w:sz w:val="20"/>
              </w:rPr>
            </w:pPr>
            <w:r>
              <w:rPr>
                <w:sz w:val="20"/>
              </w:rPr>
              <w:t>3,5</w:t>
            </w:r>
          </w:p>
        </w:tc>
        <w:tc>
          <w:tcPr>
            <w:tcW w:w="498" w:type="pct"/>
            <w:vAlign w:val="bottom"/>
          </w:tcPr>
          <w:p w14:paraId="17A7FA75" w14:textId="77777777" w:rsidR="004B1A77" w:rsidRDefault="004B1A77" w:rsidP="00795948">
            <w:pPr>
              <w:pStyle w:val="Tabelltekst"/>
              <w:jc w:val="center"/>
              <w:rPr>
                <w:sz w:val="20"/>
              </w:rPr>
            </w:pPr>
            <w:r>
              <w:rPr>
                <w:sz w:val="20"/>
              </w:rPr>
              <w:t xml:space="preserve">3,7 </w:t>
            </w:r>
          </w:p>
        </w:tc>
        <w:tc>
          <w:tcPr>
            <w:tcW w:w="442" w:type="pct"/>
            <w:vAlign w:val="bottom"/>
          </w:tcPr>
          <w:p w14:paraId="2240128D" w14:textId="77777777" w:rsidR="004B1A77" w:rsidRDefault="004B1A77" w:rsidP="00795948">
            <w:pPr>
              <w:pStyle w:val="Tabelltekst"/>
              <w:jc w:val="center"/>
              <w:rPr>
                <w:sz w:val="20"/>
              </w:rPr>
            </w:pPr>
            <w:r>
              <w:rPr>
                <w:sz w:val="20"/>
              </w:rPr>
              <w:t xml:space="preserve">3,2 </w:t>
            </w:r>
          </w:p>
        </w:tc>
        <w:tc>
          <w:tcPr>
            <w:tcW w:w="327" w:type="pct"/>
            <w:gridSpan w:val="2"/>
            <w:shd w:val="solid" w:color="FFFFFF" w:fill="auto"/>
          </w:tcPr>
          <w:p w14:paraId="0F147FF8" w14:textId="77777777" w:rsidR="004B1A77" w:rsidRDefault="004B1A77" w:rsidP="00795948">
            <w:pPr>
              <w:pStyle w:val="Tabelltekst"/>
              <w:jc w:val="center"/>
              <w:rPr>
                <w:sz w:val="20"/>
              </w:rPr>
            </w:pPr>
            <w:r>
              <w:rPr>
                <w:sz w:val="20"/>
              </w:rPr>
              <w:t xml:space="preserve">3,9 </w:t>
            </w:r>
          </w:p>
        </w:tc>
        <w:tc>
          <w:tcPr>
            <w:tcW w:w="155" w:type="pct"/>
            <w:shd w:val="solid" w:color="FFFFFF" w:fill="auto"/>
          </w:tcPr>
          <w:p w14:paraId="207E1148" w14:textId="77777777" w:rsidR="004B1A77" w:rsidRDefault="004B1A77" w:rsidP="00795948">
            <w:pPr>
              <w:pStyle w:val="Tabelltekst"/>
              <w:jc w:val="center"/>
              <w:rPr>
                <w:sz w:val="20"/>
              </w:rPr>
            </w:pPr>
          </w:p>
        </w:tc>
        <w:tc>
          <w:tcPr>
            <w:tcW w:w="373" w:type="pct"/>
            <w:shd w:val="solid" w:color="FFFFFF" w:fill="auto"/>
            <w:vAlign w:val="bottom"/>
          </w:tcPr>
          <w:p w14:paraId="1F69B5E0" w14:textId="77777777" w:rsidR="004B1A77" w:rsidRDefault="004B1A77" w:rsidP="00795948">
            <w:pPr>
              <w:pStyle w:val="Tabelltekst"/>
              <w:jc w:val="center"/>
              <w:rPr>
                <w:sz w:val="20"/>
              </w:rPr>
            </w:pPr>
            <w:r>
              <w:rPr>
                <w:sz w:val="20"/>
              </w:rPr>
              <w:t>3,8</w:t>
            </w:r>
          </w:p>
        </w:tc>
        <w:tc>
          <w:tcPr>
            <w:tcW w:w="292" w:type="pct"/>
            <w:gridSpan w:val="2"/>
            <w:shd w:val="solid" w:color="FFFFFF" w:fill="auto"/>
            <w:vAlign w:val="bottom"/>
          </w:tcPr>
          <w:p w14:paraId="35730720" w14:textId="77777777" w:rsidR="004B1A77" w:rsidRDefault="004B1A77" w:rsidP="00795948">
            <w:pPr>
              <w:pStyle w:val="Tabelltekst"/>
              <w:jc w:val="center"/>
              <w:rPr>
                <w:sz w:val="20"/>
              </w:rPr>
            </w:pPr>
            <w:r>
              <w:rPr>
                <w:sz w:val="20"/>
              </w:rPr>
              <w:t xml:space="preserve">3,6 </w:t>
            </w:r>
          </w:p>
        </w:tc>
      </w:tr>
      <w:tr w:rsidR="00253A7B" w:rsidRPr="00777AF3" w14:paraId="424E566A" w14:textId="77777777" w:rsidTr="00266CEC">
        <w:trPr>
          <w:cantSplit/>
          <w:trHeight w:val="244"/>
          <w:jc w:val="right"/>
        </w:trPr>
        <w:tc>
          <w:tcPr>
            <w:tcW w:w="407" w:type="pct"/>
            <w:tcBorders>
              <w:bottom w:val="single" w:sz="4" w:space="0" w:color="auto"/>
            </w:tcBorders>
            <w:vAlign w:val="bottom"/>
          </w:tcPr>
          <w:p w14:paraId="2AC91F2E" w14:textId="77777777" w:rsidR="004B1A77" w:rsidRDefault="004B1A77" w:rsidP="00795948">
            <w:pPr>
              <w:pStyle w:val="Tabelltekst"/>
              <w:rPr>
                <w:sz w:val="20"/>
              </w:rPr>
            </w:pPr>
            <w:r>
              <w:rPr>
                <w:sz w:val="20"/>
              </w:rPr>
              <w:t>2014</w:t>
            </w:r>
          </w:p>
        </w:tc>
        <w:tc>
          <w:tcPr>
            <w:tcW w:w="324" w:type="pct"/>
            <w:tcBorders>
              <w:bottom w:val="single" w:sz="4" w:space="0" w:color="auto"/>
            </w:tcBorders>
            <w:vAlign w:val="bottom"/>
          </w:tcPr>
          <w:p w14:paraId="00BDFC4F" w14:textId="77777777" w:rsidR="004B1A77" w:rsidRDefault="004B1A77" w:rsidP="00216BDC">
            <w:pPr>
              <w:pStyle w:val="Tabelltekst"/>
              <w:jc w:val="center"/>
              <w:rPr>
                <w:snapToGrid w:val="0"/>
                <w:sz w:val="20"/>
              </w:rPr>
            </w:pPr>
            <w:r>
              <w:rPr>
                <w:snapToGrid w:val="0"/>
                <w:sz w:val="20"/>
              </w:rPr>
              <w:t>3</w:t>
            </w:r>
            <w:r w:rsidR="00216BDC">
              <w:rPr>
                <w:snapToGrid w:val="0"/>
                <w:sz w:val="20"/>
              </w:rPr>
              <w:t>,3</w:t>
            </w:r>
            <w:r>
              <w:rPr>
                <w:snapToGrid w:val="0"/>
                <w:sz w:val="20"/>
              </w:rPr>
              <w:t xml:space="preserve"> </w:t>
            </w:r>
          </w:p>
        </w:tc>
        <w:tc>
          <w:tcPr>
            <w:tcW w:w="287" w:type="pct"/>
            <w:tcBorders>
              <w:bottom w:val="single" w:sz="4" w:space="0" w:color="auto"/>
            </w:tcBorders>
            <w:shd w:val="solid" w:color="FFFFFF" w:fill="auto"/>
            <w:vAlign w:val="bottom"/>
          </w:tcPr>
          <w:p w14:paraId="138518F3" w14:textId="77777777" w:rsidR="004B1A77" w:rsidRDefault="004B1A77" w:rsidP="00795948">
            <w:pPr>
              <w:pStyle w:val="Tabelltekst"/>
              <w:jc w:val="center"/>
              <w:rPr>
                <w:snapToGrid w:val="0"/>
                <w:sz w:val="20"/>
              </w:rPr>
            </w:pPr>
            <w:r>
              <w:rPr>
                <w:snapToGrid w:val="0"/>
                <w:sz w:val="20"/>
              </w:rPr>
              <w:t>3</w:t>
            </w:r>
            <w:r w:rsidR="00216BDC">
              <w:rPr>
                <w:snapToGrid w:val="0"/>
                <w:sz w:val="20"/>
              </w:rPr>
              <w:t>,0</w:t>
            </w:r>
          </w:p>
        </w:tc>
        <w:tc>
          <w:tcPr>
            <w:tcW w:w="404" w:type="pct"/>
            <w:tcBorders>
              <w:bottom w:val="single" w:sz="4" w:space="0" w:color="auto"/>
            </w:tcBorders>
            <w:vAlign w:val="bottom"/>
          </w:tcPr>
          <w:p w14:paraId="741AE93C" w14:textId="77777777" w:rsidR="004B1A77" w:rsidRDefault="004B1A77" w:rsidP="00216BDC">
            <w:pPr>
              <w:pStyle w:val="Tabelltekst"/>
              <w:jc w:val="center"/>
              <w:rPr>
                <w:snapToGrid w:val="0"/>
                <w:sz w:val="20"/>
              </w:rPr>
            </w:pPr>
            <w:r>
              <w:rPr>
                <w:snapToGrid w:val="0"/>
                <w:sz w:val="20"/>
              </w:rPr>
              <w:t>3</w:t>
            </w:r>
            <w:r w:rsidR="00216BDC">
              <w:rPr>
                <w:snapToGrid w:val="0"/>
                <w:sz w:val="20"/>
              </w:rPr>
              <w:t>,2</w:t>
            </w:r>
            <w:r>
              <w:rPr>
                <w:snapToGrid w:val="0"/>
                <w:sz w:val="20"/>
              </w:rPr>
              <w:t xml:space="preserve"> </w:t>
            </w:r>
          </w:p>
        </w:tc>
        <w:tc>
          <w:tcPr>
            <w:tcW w:w="368" w:type="pct"/>
            <w:tcBorders>
              <w:bottom w:val="single" w:sz="4" w:space="0" w:color="auto"/>
            </w:tcBorders>
            <w:vAlign w:val="bottom"/>
          </w:tcPr>
          <w:p w14:paraId="477288A9" w14:textId="77777777" w:rsidR="004B1A77" w:rsidRDefault="004B1A77" w:rsidP="00795948">
            <w:pPr>
              <w:pStyle w:val="Tabelltekst"/>
              <w:jc w:val="center"/>
              <w:rPr>
                <w:snapToGrid w:val="0"/>
                <w:sz w:val="20"/>
              </w:rPr>
            </w:pPr>
            <w:r>
              <w:rPr>
                <w:snapToGrid w:val="0"/>
                <w:sz w:val="20"/>
              </w:rPr>
              <w:t>3,5</w:t>
            </w:r>
          </w:p>
        </w:tc>
        <w:tc>
          <w:tcPr>
            <w:tcW w:w="304" w:type="pct"/>
            <w:gridSpan w:val="2"/>
            <w:tcBorders>
              <w:bottom w:val="single" w:sz="4" w:space="0" w:color="auto"/>
            </w:tcBorders>
            <w:vAlign w:val="bottom"/>
          </w:tcPr>
          <w:p w14:paraId="0FF1A62C" w14:textId="77777777" w:rsidR="004B1A77" w:rsidRDefault="004B1A77" w:rsidP="00795948">
            <w:pPr>
              <w:pStyle w:val="Tabelltekst"/>
              <w:jc w:val="center"/>
              <w:rPr>
                <w:sz w:val="20"/>
              </w:rPr>
            </w:pPr>
            <w:r>
              <w:rPr>
                <w:sz w:val="20"/>
              </w:rPr>
              <w:t>2,9</w:t>
            </w:r>
          </w:p>
        </w:tc>
        <w:tc>
          <w:tcPr>
            <w:tcW w:w="346" w:type="pct"/>
            <w:tcBorders>
              <w:bottom w:val="single" w:sz="4" w:space="0" w:color="auto"/>
            </w:tcBorders>
          </w:tcPr>
          <w:p w14:paraId="4480933E" w14:textId="77777777" w:rsidR="004B1A77" w:rsidRDefault="004B1A77" w:rsidP="00BD7489">
            <w:pPr>
              <w:pStyle w:val="Tabelltekst"/>
              <w:jc w:val="center"/>
              <w:rPr>
                <w:sz w:val="20"/>
              </w:rPr>
            </w:pPr>
            <w:r>
              <w:rPr>
                <w:sz w:val="20"/>
              </w:rPr>
              <w:t>3,</w:t>
            </w:r>
            <w:r w:rsidR="00BD7489">
              <w:rPr>
                <w:sz w:val="20"/>
              </w:rPr>
              <w:t>3</w:t>
            </w:r>
          </w:p>
        </w:tc>
        <w:tc>
          <w:tcPr>
            <w:tcW w:w="475" w:type="pct"/>
            <w:tcBorders>
              <w:bottom w:val="single" w:sz="4" w:space="0" w:color="auto"/>
            </w:tcBorders>
            <w:vAlign w:val="bottom"/>
          </w:tcPr>
          <w:p w14:paraId="139D8047" w14:textId="77777777" w:rsidR="004B1A77" w:rsidRDefault="004B1A77" w:rsidP="00216BDC">
            <w:pPr>
              <w:pStyle w:val="Tabelltekst"/>
              <w:jc w:val="center"/>
              <w:rPr>
                <w:sz w:val="20"/>
              </w:rPr>
            </w:pPr>
            <w:r>
              <w:rPr>
                <w:sz w:val="20"/>
              </w:rPr>
              <w:t>3</w:t>
            </w:r>
            <w:r w:rsidR="00216BDC">
              <w:rPr>
                <w:sz w:val="20"/>
              </w:rPr>
              <w:t>,4</w:t>
            </w:r>
            <w:r>
              <w:rPr>
                <w:sz w:val="20"/>
              </w:rPr>
              <w:t xml:space="preserve"> </w:t>
            </w:r>
          </w:p>
        </w:tc>
        <w:tc>
          <w:tcPr>
            <w:tcW w:w="498" w:type="pct"/>
            <w:tcBorders>
              <w:bottom w:val="single" w:sz="4" w:space="0" w:color="auto"/>
            </w:tcBorders>
            <w:vAlign w:val="bottom"/>
          </w:tcPr>
          <w:p w14:paraId="1C4ED39A" w14:textId="77777777" w:rsidR="004B1A77" w:rsidRDefault="004B1A77" w:rsidP="00795948">
            <w:pPr>
              <w:pStyle w:val="Tabelltekst"/>
              <w:jc w:val="center"/>
              <w:rPr>
                <w:sz w:val="20"/>
              </w:rPr>
            </w:pPr>
            <w:r>
              <w:rPr>
                <w:sz w:val="20"/>
              </w:rPr>
              <w:t>3</w:t>
            </w:r>
            <w:r w:rsidR="00216BDC">
              <w:rPr>
                <w:sz w:val="20"/>
              </w:rPr>
              <w:t>,2</w:t>
            </w:r>
            <w:r>
              <w:rPr>
                <w:sz w:val="20"/>
                <w:vertAlign w:val="superscript"/>
              </w:rPr>
              <w:t>7</w:t>
            </w:r>
          </w:p>
        </w:tc>
        <w:tc>
          <w:tcPr>
            <w:tcW w:w="442" w:type="pct"/>
            <w:tcBorders>
              <w:bottom w:val="single" w:sz="4" w:space="0" w:color="auto"/>
            </w:tcBorders>
            <w:vAlign w:val="bottom"/>
          </w:tcPr>
          <w:p w14:paraId="17186A14" w14:textId="77777777" w:rsidR="004B1A77" w:rsidRDefault="004B1A77" w:rsidP="00216BDC">
            <w:pPr>
              <w:pStyle w:val="Tabelltekst"/>
              <w:jc w:val="center"/>
              <w:rPr>
                <w:sz w:val="20"/>
              </w:rPr>
            </w:pPr>
            <w:r>
              <w:rPr>
                <w:sz w:val="20"/>
              </w:rPr>
              <w:t>2</w:t>
            </w:r>
            <w:r w:rsidR="00216BDC">
              <w:rPr>
                <w:sz w:val="20"/>
              </w:rPr>
              <w:t>,3</w:t>
            </w:r>
            <w:r>
              <w:rPr>
                <w:sz w:val="20"/>
                <w:vertAlign w:val="superscript"/>
              </w:rPr>
              <w:t>7</w:t>
            </w:r>
            <w:r>
              <w:rPr>
                <w:sz w:val="20"/>
              </w:rPr>
              <w:t xml:space="preserve"> </w:t>
            </w:r>
          </w:p>
        </w:tc>
        <w:tc>
          <w:tcPr>
            <w:tcW w:w="327" w:type="pct"/>
            <w:gridSpan w:val="2"/>
            <w:tcBorders>
              <w:bottom w:val="single" w:sz="4" w:space="0" w:color="auto"/>
            </w:tcBorders>
            <w:shd w:val="solid" w:color="FFFFFF" w:fill="auto"/>
          </w:tcPr>
          <w:p w14:paraId="1EAA3E69" w14:textId="77777777" w:rsidR="004B1A77" w:rsidRDefault="004B1A77" w:rsidP="00216BDC">
            <w:pPr>
              <w:pStyle w:val="Tabelltekst"/>
              <w:jc w:val="center"/>
              <w:rPr>
                <w:sz w:val="20"/>
              </w:rPr>
            </w:pPr>
            <w:r>
              <w:rPr>
                <w:sz w:val="20"/>
              </w:rPr>
              <w:t>3</w:t>
            </w:r>
            <w:r w:rsidR="00216BDC">
              <w:rPr>
                <w:sz w:val="20"/>
              </w:rPr>
              <w:t>,7</w:t>
            </w:r>
            <w:r>
              <w:rPr>
                <w:sz w:val="20"/>
                <w:vertAlign w:val="superscript"/>
              </w:rPr>
              <w:t>7</w:t>
            </w:r>
            <w:r>
              <w:rPr>
                <w:sz w:val="20"/>
              </w:rPr>
              <w:t xml:space="preserve"> </w:t>
            </w:r>
          </w:p>
        </w:tc>
        <w:tc>
          <w:tcPr>
            <w:tcW w:w="155" w:type="pct"/>
            <w:tcBorders>
              <w:bottom w:val="single" w:sz="4" w:space="0" w:color="auto"/>
            </w:tcBorders>
            <w:shd w:val="solid" w:color="FFFFFF" w:fill="auto"/>
          </w:tcPr>
          <w:p w14:paraId="0428FE04" w14:textId="77777777" w:rsidR="004B1A77" w:rsidRDefault="004B1A77" w:rsidP="00795948">
            <w:pPr>
              <w:pStyle w:val="Tabelltekst"/>
              <w:jc w:val="center"/>
              <w:rPr>
                <w:sz w:val="20"/>
              </w:rPr>
            </w:pPr>
          </w:p>
        </w:tc>
        <w:tc>
          <w:tcPr>
            <w:tcW w:w="373" w:type="pct"/>
            <w:tcBorders>
              <w:bottom w:val="single" w:sz="4" w:space="0" w:color="auto"/>
            </w:tcBorders>
            <w:shd w:val="solid" w:color="FFFFFF" w:fill="auto"/>
            <w:vAlign w:val="bottom"/>
          </w:tcPr>
          <w:p w14:paraId="33A597F3" w14:textId="77777777" w:rsidR="004B1A77" w:rsidRDefault="004B1A77" w:rsidP="00795948">
            <w:pPr>
              <w:pStyle w:val="Tabelltekst"/>
              <w:jc w:val="center"/>
              <w:rPr>
                <w:sz w:val="20"/>
              </w:rPr>
            </w:pPr>
            <w:r>
              <w:rPr>
                <w:sz w:val="20"/>
              </w:rPr>
              <w:t>3,4</w:t>
            </w:r>
          </w:p>
        </w:tc>
        <w:tc>
          <w:tcPr>
            <w:tcW w:w="292" w:type="pct"/>
            <w:gridSpan w:val="2"/>
            <w:tcBorders>
              <w:bottom w:val="single" w:sz="4" w:space="0" w:color="auto"/>
            </w:tcBorders>
            <w:shd w:val="solid" w:color="FFFFFF" w:fill="auto"/>
            <w:vAlign w:val="bottom"/>
          </w:tcPr>
          <w:p w14:paraId="72C31D77" w14:textId="77777777" w:rsidR="004B1A77" w:rsidRDefault="004B1A77" w:rsidP="00216BDC">
            <w:pPr>
              <w:pStyle w:val="Tabelltekst"/>
              <w:jc w:val="center"/>
              <w:rPr>
                <w:sz w:val="20"/>
              </w:rPr>
            </w:pPr>
            <w:r>
              <w:rPr>
                <w:sz w:val="20"/>
              </w:rPr>
              <w:t>3</w:t>
            </w:r>
            <w:r w:rsidR="00216BDC">
              <w:rPr>
                <w:sz w:val="20"/>
              </w:rPr>
              <w:t>,3</w:t>
            </w:r>
            <w:r>
              <w:rPr>
                <w:sz w:val="20"/>
              </w:rPr>
              <w:t xml:space="preserve"> </w:t>
            </w:r>
          </w:p>
        </w:tc>
      </w:tr>
      <w:tr w:rsidR="00253A7B" w:rsidRPr="00777AF3" w14:paraId="35397F0B" w14:textId="77777777" w:rsidTr="00266CEC">
        <w:trPr>
          <w:cantSplit/>
          <w:trHeight w:val="244"/>
          <w:jc w:val="right"/>
        </w:trPr>
        <w:tc>
          <w:tcPr>
            <w:tcW w:w="407" w:type="pct"/>
            <w:tcBorders>
              <w:top w:val="single" w:sz="4" w:space="0" w:color="auto"/>
            </w:tcBorders>
            <w:vAlign w:val="bottom"/>
          </w:tcPr>
          <w:p w14:paraId="525607D5" w14:textId="77777777" w:rsidR="004B1A77" w:rsidRPr="00777AF3" w:rsidRDefault="004B1A77" w:rsidP="00795948">
            <w:pPr>
              <w:pStyle w:val="Tabelltekst"/>
              <w:rPr>
                <w:sz w:val="20"/>
              </w:rPr>
            </w:pPr>
            <w:r w:rsidRPr="00777AF3">
              <w:rPr>
                <w:sz w:val="20"/>
              </w:rPr>
              <w:t>200</w:t>
            </w:r>
            <w:r>
              <w:rPr>
                <w:sz w:val="20"/>
              </w:rPr>
              <w:t>4</w:t>
            </w:r>
            <w:r w:rsidRPr="00777AF3">
              <w:rPr>
                <w:sz w:val="20"/>
              </w:rPr>
              <w:t>-200</w:t>
            </w:r>
            <w:r>
              <w:rPr>
                <w:sz w:val="20"/>
              </w:rPr>
              <w:t>9</w:t>
            </w:r>
          </w:p>
        </w:tc>
        <w:tc>
          <w:tcPr>
            <w:tcW w:w="324" w:type="pct"/>
            <w:tcBorders>
              <w:top w:val="single" w:sz="4" w:space="0" w:color="auto"/>
            </w:tcBorders>
            <w:vAlign w:val="bottom"/>
          </w:tcPr>
          <w:p w14:paraId="497762BA" w14:textId="77777777" w:rsidR="004B1A77" w:rsidRPr="006E1B5A" w:rsidRDefault="004B1A77" w:rsidP="00795948">
            <w:pPr>
              <w:pStyle w:val="Tabelltekst"/>
              <w:jc w:val="center"/>
              <w:rPr>
                <w:snapToGrid w:val="0"/>
                <w:sz w:val="20"/>
              </w:rPr>
            </w:pPr>
            <w:r w:rsidRPr="006E1B5A">
              <w:rPr>
                <w:sz w:val="20"/>
              </w:rPr>
              <w:t>26,3</w:t>
            </w:r>
          </w:p>
        </w:tc>
        <w:tc>
          <w:tcPr>
            <w:tcW w:w="287" w:type="pct"/>
            <w:tcBorders>
              <w:top w:val="single" w:sz="4" w:space="0" w:color="auto"/>
            </w:tcBorders>
            <w:shd w:val="solid" w:color="FFFFFF" w:fill="auto"/>
            <w:vAlign w:val="bottom"/>
          </w:tcPr>
          <w:p w14:paraId="04134613" w14:textId="77777777" w:rsidR="004B1A77" w:rsidRPr="006E1B5A" w:rsidRDefault="004B1A77" w:rsidP="00795948">
            <w:pPr>
              <w:pStyle w:val="Tabelltekst"/>
              <w:jc w:val="center"/>
              <w:rPr>
                <w:snapToGrid w:val="0"/>
                <w:sz w:val="20"/>
              </w:rPr>
            </w:pPr>
            <w:r w:rsidRPr="006E1B5A">
              <w:rPr>
                <w:sz w:val="20"/>
              </w:rPr>
              <w:t>24,1</w:t>
            </w:r>
          </w:p>
        </w:tc>
        <w:tc>
          <w:tcPr>
            <w:tcW w:w="404" w:type="pct"/>
            <w:tcBorders>
              <w:top w:val="single" w:sz="4" w:space="0" w:color="auto"/>
            </w:tcBorders>
            <w:shd w:val="solid" w:color="FFFFFF" w:fill="auto"/>
            <w:vAlign w:val="bottom"/>
          </w:tcPr>
          <w:p w14:paraId="72740BD5" w14:textId="77777777" w:rsidR="004B1A77" w:rsidRPr="006E1B5A" w:rsidRDefault="004B1A77" w:rsidP="00795948">
            <w:pPr>
              <w:pStyle w:val="Tabelltekst"/>
              <w:jc w:val="center"/>
              <w:rPr>
                <w:snapToGrid w:val="0"/>
                <w:sz w:val="20"/>
              </w:rPr>
            </w:pPr>
            <w:r w:rsidRPr="006E1B5A">
              <w:rPr>
                <w:sz w:val="20"/>
              </w:rPr>
              <w:t>28,1</w:t>
            </w:r>
          </w:p>
        </w:tc>
        <w:tc>
          <w:tcPr>
            <w:tcW w:w="368" w:type="pct"/>
            <w:tcBorders>
              <w:top w:val="single" w:sz="4" w:space="0" w:color="auto"/>
            </w:tcBorders>
            <w:shd w:val="solid" w:color="FFFFFF" w:fill="auto"/>
            <w:vAlign w:val="bottom"/>
          </w:tcPr>
          <w:p w14:paraId="68F6EEC6" w14:textId="77777777" w:rsidR="004B1A77" w:rsidRPr="006E1B5A" w:rsidRDefault="004B1A77" w:rsidP="00795948">
            <w:pPr>
              <w:pStyle w:val="Tabelltekst"/>
              <w:jc w:val="center"/>
              <w:rPr>
                <w:snapToGrid w:val="0"/>
                <w:sz w:val="20"/>
              </w:rPr>
            </w:pPr>
            <w:r w:rsidRPr="006E1B5A">
              <w:rPr>
                <w:sz w:val="20"/>
              </w:rPr>
              <w:t>20,8</w:t>
            </w:r>
          </w:p>
        </w:tc>
        <w:tc>
          <w:tcPr>
            <w:tcW w:w="304" w:type="pct"/>
            <w:gridSpan w:val="2"/>
            <w:tcBorders>
              <w:top w:val="single" w:sz="4" w:space="0" w:color="auto"/>
            </w:tcBorders>
            <w:shd w:val="solid" w:color="FFFFFF" w:fill="auto"/>
            <w:vAlign w:val="bottom"/>
          </w:tcPr>
          <w:p w14:paraId="643320A2" w14:textId="77777777" w:rsidR="004B1A77" w:rsidRPr="006E1B5A" w:rsidRDefault="004B1A77" w:rsidP="00795948">
            <w:pPr>
              <w:pStyle w:val="Tabelltekst"/>
              <w:jc w:val="center"/>
              <w:rPr>
                <w:snapToGrid w:val="0"/>
                <w:sz w:val="20"/>
              </w:rPr>
            </w:pPr>
            <w:r w:rsidRPr="006E1B5A">
              <w:rPr>
                <w:sz w:val="20"/>
              </w:rPr>
              <w:t>31,2</w:t>
            </w:r>
          </w:p>
        </w:tc>
        <w:tc>
          <w:tcPr>
            <w:tcW w:w="346" w:type="pct"/>
            <w:tcBorders>
              <w:top w:val="single" w:sz="4" w:space="0" w:color="auto"/>
            </w:tcBorders>
            <w:shd w:val="solid" w:color="FFFFFF" w:fill="auto"/>
            <w:vAlign w:val="bottom"/>
          </w:tcPr>
          <w:p w14:paraId="1877C69D" w14:textId="77777777" w:rsidR="004B1A77" w:rsidRPr="006E1B5A" w:rsidRDefault="004B1A77" w:rsidP="00795948">
            <w:pPr>
              <w:pStyle w:val="Tabelltekst"/>
              <w:jc w:val="center"/>
              <w:rPr>
                <w:snapToGrid w:val="0"/>
                <w:sz w:val="20"/>
              </w:rPr>
            </w:pPr>
            <w:r w:rsidRPr="006E1B5A">
              <w:rPr>
                <w:sz w:val="20"/>
              </w:rPr>
              <w:t>25,9</w:t>
            </w:r>
          </w:p>
        </w:tc>
        <w:tc>
          <w:tcPr>
            <w:tcW w:w="475" w:type="pct"/>
            <w:tcBorders>
              <w:top w:val="single" w:sz="4" w:space="0" w:color="auto"/>
            </w:tcBorders>
            <w:shd w:val="solid" w:color="FFFFFF" w:fill="auto"/>
            <w:vAlign w:val="bottom"/>
          </w:tcPr>
          <w:p w14:paraId="460B2DC1" w14:textId="77777777" w:rsidR="004B1A77" w:rsidRPr="006E1B5A" w:rsidRDefault="004B1A77" w:rsidP="00795948">
            <w:pPr>
              <w:pStyle w:val="Tabelltekst"/>
              <w:jc w:val="center"/>
              <w:rPr>
                <w:snapToGrid w:val="0"/>
                <w:sz w:val="20"/>
              </w:rPr>
            </w:pPr>
            <w:r w:rsidRPr="006E1B5A">
              <w:rPr>
                <w:sz w:val="20"/>
              </w:rPr>
              <w:t>26,5</w:t>
            </w:r>
          </w:p>
        </w:tc>
        <w:tc>
          <w:tcPr>
            <w:tcW w:w="498" w:type="pct"/>
            <w:tcBorders>
              <w:top w:val="single" w:sz="4" w:space="0" w:color="auto"/>
            </w:tcBorders>
            <w:shd w:val="solid" w:color="FFFFFF" w:fill="auto"/>
            <w:vAlign w:val="bottom"/>
          </w:tcPr>
          <w:p w14:paraId="35E73236" w14:textId="77777777" w:rsidR="004B1A77" w:rsidRPr="006E1B5A" w:rsidRDefault="004B1A77" w:rsidP="00795948">
            <w:pPr>
              <w:pStyle w:val="Tabelltekst"/>
              <w:jc w:val="center"/>
              <w:rPr>
                <w:snapToGrid w:val="0"/>
                <w:sz w:val="20"/>
              </w:rPr>
            </w:pPr>
            <w:r w:rsidRPr="006E1B5A">
              <w:rPr>
                <w:sz w:val="20"/>
              </w:rPr>
              <w:t>25,7</w:t>
            </w:r>
          </w:p>
        </w:tc>
        <w:tc>
          <w:tcPr>
            <w:tcW w:w="442" w:type="pct"/>
            <w:tcBorders>
              <w:top w:val="single" w:sz="4" w:space="0" w:color="auto"/>
            </w:tcBorders>
            <w:shd w:val="solid" w:color="FFFFFF" w:fill="auto"/>
            <w:vAlign w:val="bottom"/>
          </w:tcPr>
          <w:p w14:paraId="017E0714" w14:textId="77777777" w:rsidR="004B1A77" w:rsidRPr="006E1B5A" w:rsidRDefault="004B1A77" w:rsidP="00795948">
            <w:pPr>
              <w:pStyle w:val="Tabelltekst"/>
              <w:jc w:val="center"/>
              <w:rPr>
                <w:snapToGrid w:val="0"/>
                <w:sz w:val="20"/>
              </w:rPr>
            </w:pPr>
            <w:r w:rsidRPr="006E1B5A">
              <w:rPr>
                <w:sz w:val="20"/>
              </w:rPr>
              <w:t>20,8</w:t>
            </w:r>
          </w:p>
        </w:tc>
        <w:tc>
          <w:tcPr>
            <w:tcW w:w="327" w:type="pct"/>
            <w:gridSpan w:val="2"/>
            <w:tcBorders>
              <w:top w:val="single" w:sz="4" w:space="0" w:color="auto"/>
            </w:tcBorders>
            <w:vAlign w:val="bottom"/>
          </w:tcPr>
          <w:p w14:paraId="5AE24C5A" w14:textId="77777777" w:rsidR="004B1A77" w:rsidRPr="006E1B5A" w:rsidRDefault="004B1A77" w:rsidP="00795948">
            <w:pPr>
              <w:pStyle w:val="Tabelltekst"/>
              <w:jc w:val="center"/>
              <w:rPr>
                <w:snapToGrid w:val="0"/>
                <w:sz w:val="20"/>
              </w:rPr>
            </w:pPr>
            <w:r w:rsidRPr="006E1B5A">
              <w:rPr>
                <w:sz w:val="20"/>
              </w:rPr>
              <w:t>27,8</w:t>
            </w:r>
          </w:p>
        </w:tc>
        <w:tc>
          <w:tcPr>
            <w:tcW w:w="155" w:type="pct"/>
            <w:tcBorders>
              <w:top w:val="single" w:sz="4" w:space="0" w:color="auto"/>
            </w:tcBorders>
            <w:vAlign w:val="bottom"/>
          </w:tcPr>
          <w:p w14:paraId="3697FA7B" w14:textId="77777777" w:rsidR="004B1A77" w:rsidRPr="006E1B5A" w:rsidRDefault="004B1A77" w:rsidP="00795948">
            <w:pPr>
              <w:pStyle w:val="Tabelltekst"/>
              <w:jc w:val="center"/>
              <w:rPr>
                <w:snapToGrid w:val="0"/>
                <w:sz w:val="20"/>
              </w:rPr>
            </w:pPr>
          </w:p>
        </w:tc>
        <w:tc>
          <w:tcPr>
            <w:tcW w:w="373" w:type="pct"/>
            <w:tcBorders>
              <w:top w:val="single" w:sz="4" w:space="0" w:color="auto"/>
            </w:tcBorders>
            <w:vAlign w:val="bottom"/>
          </w:tcPr>
          <w:p w14:paraId="7F710131" w14:textId="77777777" w:rsidR="004B1A77" w:rsidRPr="006E1B5A" w:rsidRDefault="004B1A77" w:rsidP="00795948">
            <w:pPr>
              <w:pStyle w:val="Tabelltekst"/>
              <w:jc w:val="center"/>
              <w:rPr>
                <w:snapToGrid w:val="0"/>
                <w:sz w:val="20"/>
              </w:rPr>
            </w:pPr>
            <w:r w:rsidRPr="006E1B5A">
              <w:rPr>
                <w:sz w:val="20"/>
              </w:rPr>
              <w:t>25,8</w:t>
            </w:r>
          </w:p>
        </w:tc>
        <w:tc>
          <w:tcPr>
            <w:tcW w:w="292" w:type="pct"/>
            <w:gridSpan w:val="2"/>
            <w:tcBorders>
              <w:top w:val="single" w:sz="4" w:space="0" w:color="auto"/>
            </w:tcBorders>
            <w:vAlign w:val="bottom"/>
          </w:tcPr>
          <w:p w14:paraId="2D47C411" w14:textId="77777777" w:rsidR="004B1A77" w:rsidRPr="006E1B5A" w:rsidRDefault="004B1A77" w:rsidP="00795948">
            <w:pPr>
              <w:pStyle w:val="Tabelltekst"/>
              <w:jc w:val="center"/>
              <w:rPr>
                <w:snapToGrid w:val="0"/>
                <w:sz w:val="20"/>
              </w:rPr>
            </w:pPr>
            <w:r w:rsidRPr="006E1B5A">
              <w:rPr>
                <w:sz w:val="20"/>
              </w:rPr>
              <w:t>26,3</w:t>
            </w:r>
          </w:p>
        </w:tc>
      </w:tr>
      <w:tr w:rsidR="00253A7B" w:rsidRPr="00777AF3" w14:paraId="2AC3A345" w14:textId="77777777" w:rsidTr="00266CEC">
        <w:trPr>
          <w:cantSplit/>
          <w:trHeight w:val="245"/>
          <w:jc w:val="right"/>
        </w:trPr>
        <w:tc>
          <w:tcPr>
            <w:tcW w:w="407" w:type="pct"/>
            <w:vAlign w:val="bottom"/>
          </w:tcPr>
          <w:p w14:paraId="79CB8BAE" w14:textId="77777777" w:rsidR="004B1A77" w:rsidRPr="00777AF3" w:rsidRDefault="004B1A77" w:rsidP="00795948">
            <w:pPr>
              <w:pStyle w:val="Tabelltekst"/>
              <w:rPr>
                <w:sz w:val="20"/>
              </w:rPr>
            </w:pPr>
            <w:r w:rsidRPr="00777AF3">
              <w:rPr>
                <w:sz w:val="20"/>
              </w:rPr>
              <w:t>Gj. sn. per år</w:t>
            </w:r>
          </w:p>
        </w:tc>
        <w:tc>
          <w:tcPr>
            <w:tcW w:w="324" w:type="pct"/>
            <w:vAlign w:val="bottom"/>
          </w:tcPr>
          <w:p w14:paraId="10BA8561" w14:textId="77777777" w:rsidR="004B1A77" w:rsidRPr="006E1B5A" w:rsidRDefault="004B1A77" w:rsidP="00795948">
            <w:pPr>
              <w:pStyle w:val="Tabelltekst"/>
              <w:jc w:val="center"/>
              <w:rPr>
                <w:snapToGrid w:val="0"/>
                <w:sz w:val="20"/>
              </w:rPr>
            </w:pPr>
            <w:r w:rsidRPr="006E1B5A">
              <w:rPr>
                <w:sz w:val="20"/>
              </w:rPr>
              <w:t>4,8</w:t>
            </w:r>
          </w:p>
        </w:tc>
        <w:tc>
          <w:tcPr>
            <w:tcW w:w="287" w:type="pct"/>
            <w:vAlign w:val="bottom"/>
          </w:tcPr>
          <w:p w14:paraId="5E9B94C1" w14:textId="77777777" w:rsidR="004B1A77" w:rsidRPr="006E1B5A" w:rsidRDefault="004B1A77" w:rsidP="00795948">
            <w:pPr>
              <w:pStyle w:val="Tabelltekst"/>
              <w:jc w:val="center"/>
              <w:rPr>
                <w:snapToGrid w:val="0"/>
                <w:sz w:val="20"/>
              </w:rPr>
            </w:pPr>
            <w:r w:rsidRPr="006E1B5A">
              <w:rPr>
                <w:sz w:val="20"/>
              </w:rPr>
              <w:t>4,4</w:t>
            </w:r>
          </w:p>
        </w:tc>
        <w:tc>
          <w:tcPr>
            <w:tcW w:w="404" w:type="pct"/>
            <w:vAlign w:val="bottom"/>
          </w:tcPr>
          <w:p w14:paraId="11A6AB00" w14:textId="77777777" w:rsidR="004B1A77" w:rsidRPr="006E1B5A" w:rsidRDefault="004B1A77" w:rsidP="00795948">
            <w:pPr>
              <w:pStyle w:val="Tabelltekst"/>
              <w:jc w:val="center"/>
              <w:rPr>
                <w:snapToGrid w:val="0"/>
                <w:sz w:val="20"/>
              </w:rPr>
            </w:pPr>
            <w:r w:rsidRPr="006E1B5A">
              <w:rPr>
                <w:sz w:val="20"/>
              </w:rPr>
              <w:t>5,1</w:t>
            </w:r>
          </w:p>
        </w:tc>
        <w:tc>
          <w:tcPr>
            <w:tcW w:w="368" w:type="pct"/>
            <w:vAlign w:val="bottom"/>
          </w:tcPr>
          <w:p w14:paraId="41FACE48" w14:textId="77777777" w:rsidR="004B1A77" w:rsidRPr="006E1B5A" w:rsidRDefault="004B1A77" w:rsidP="00795948">
            <w:pPr>
              <w:pStyle w:val="Tabelltekst"/>
              <w:jc w:val="center"/>
              <w:rPr>
                <w:snapToGrid w:val="0"/>
                <w:sz w:val="20"/>
              </w:rPr>
            </w:pPr>
            <w:r w:rsidRPr="006E1B5A">
              <w:rPr>
                <w:sz w:val="20"/>
              </w:rPr>
              <w:t>3,9</w:t>
            </w:r>
          </w:p>
        </w:tc>
        <w:tc>
          <w:tcPr>
            <w:tcW w:w="304" w:type="pct"/>
            <w:gridSpan w:val="2"/>
            <w:vAlign w:val="bottom"/>
          </w:tcPr>
          <w:p w14:paraId="4DC86B3C" w14:textId="77777777" w:rsidR="004B1A77" w:rsidRPr="006E1B5A" w:rsidRDefault="004B1A77" w:rsidP="00795948">
            <w:pPr>
              <w:pStyle w:val="Tabelltekst"/>
              <w:jc w:val="center"/>
              <w:rPr>
                <w:snapToGrid w:val="0"/>
                <w:sz w:val="20"/>
              </w:rPr>
            </w:pPr>
            <w:r w:rsidRPr="006E1B5A">
              <w:rPr>
                <w:sz w:val="20"/>
              </w:rPr>
              <w:t>5,6</w:t>
            </w:r>
          </w:p>
        </w:tc>
        <w:tc>
          <w:tcPr>
            <w:tcW w:w="346" w:type="pct"/>
            <w:vAlign w:val="bottom"/>
          </w:tcPr>
          <w:p w14:paraId="1CC6B6CA" w14:textId="77777777" w:rsidR="004B1A77" w:rsidRPr="006E1B5A" w:rsidRDefault="004B1A77" w:rsidP="00795948">
            <w:pPr>
              <w:pStyle w:val="Tabelltekst"/>
              <w:jc w:val="center"/>
              <w:rPr>
                <w:snapToGrid w:val="0"/>
                <w:sz w:val="20"/>
              </w:rPr>
            </w:pPr>
            <w:r w:rsidRPr="006E1B5A">
              <w:rPr>
                <w:sz w:val="20"/>
              </w:rPr>
              <w:t>4,7</w:t>
            </w:r>
          </w:p>
        </w:tc>
        <w:tc>
          <w:tcPr>
            <w:tcW w:w="475" w:type="pct"/>
            <w:vAlign w:val="bottom"/>
          </w:tcPr>
          <w:p w14:paraId="0E5F1CA2" w14:textId="77777777" w:rsidR="004B1A77" w:rsidRPr="006E1B5A" w:rsidRDefault="004B1A77" w:rsidP="00795948">
            <w:pPr>
              <w:pStyle w:val="Tabelltekst"/>
              <w:jc w:val="center"/>
              <w:rPr>
                <w:snapToGrid w:val="0"/>
                <w:sz w:val="20"/>
              </w:rPr>
            </w:pPr>
            <w:r w:rsidRPr="006E1B5A">
              <w:rPr>
                <w:sz w:val="20"/>
              </w:rPr>
              <w:t>4,8</w:t>
            </w:r>
          </w:p>
        </w:tc>
        <w:tc>
          <w:tcPr>
            <w:tcW w:w="498" w:type="pct"/>
            <w:vAlign w:val="bottom"/>
          </w:tcPr>
          <w:p w14:paraId="71DA1DA2" w14:textId="77777777" w:rsidR="004B1A77" w:rsidRPr="006E1B5A" w:rsidRDefault="004B1A77" w:rsidP="00795948">
            <w:pPr>
              <w:pStyle w:val="Tabelltekst"/>
              <w:jc w:val="center"/>
              <w:rPr>
                <w:snapToGrid w:val="0"/>
                <w:sz w:val="20"/>
              </w:rPr>
            </w:pPr>
            <w:r w:rsidRPr="006E1B5A">
              <w:rPr>
                <w:sz w:val="20"/>
              </w:rPr>
              <w:t>4,7</w:t>
            </w:r>
          </w:p>
        </w:tc>
        <w:tc>
          <w:tcPr>
            <w:tcW w:w="442" w:type="pct"/>
            <w:vAlign w:val="bottom"/>
          </w:tcPr>
          <w:p w14:paraId="57AFC530" w14:textId="77777777" w:rsidR="004B1A77" w:rsidRPr="006E1B5A" w:rsidRDefault="004B1A77" w:rsidP="00795948">
            <w:pPr>
              <w:pStyle w:val="Tabelltekst"/>
              <w:jc w:val="center"/>
              <w:rPr>
                <w:snapToGrid w:val="0"/>
                <w:sz w:val="20"/>
              </w:rPr>
            </w:pPr>
            <w:r w:rsidRPr="006E1B5A">
              <w:rPr>
                <w:sz w:val="20"/>
              </w:rPr>
              <w:t>3,9</w:t>
            </w:r>
          </w:p>
        </w:tc>
        <w:tc>
          <w:tcPr>
            <w:tcW w:w="327" w:type="pct"/>
            <w:gridSpan w:val="2"/>
            <w:shd w:val="solid" w:color="FFFFFF" w:fill="auto"/>
            <w:vAlign w:val="bottom"/>
          </w:tcPr>
          <w:p w14:paraId="0D2CADAA" w14:textId="77777777" w:rsidR="004B1A77" w:rsidRPr="006E1B5A" w:rsidRDefault="004B1A77" w:rsidP="00795948">
            <w:pPr>
              <w:pStyle w:val="Tabelltekst"/>
              <w:jc w:val="center"/>
              <w:rPr>
                <w:snapToGrid w:val="0"/>
                <w:sz w:val="20"/>
              </w:rPr>
            </w:pPr>
            <w:r w:rsidRPr="006E1B5A">
              <w:rPr>
                <w:sz w:val="20"/>
              </w:rPr>
              <w:t>5,0</w:t>
            </w:r>
          </w:p>
        </w:tc>
        <w:tc>
          <w:tcPr>
            <w:tcW w:w="155" w:type="pct"/>
            <w:shd w:val="solid" w:color="FFFFFF" w:fill="auto"/>
            <w:vAlign w:val="bottom"/>
          </w:tcPr>
          <w:p w14:paraId="060F0377" w14:textId="77777777" w:rsidR="004B1A77" w:rsidRPr="006E1B5A" w:rsidRDefault="004B1A77" w:rsidP="00795948">
            <w:pPr>
              <w:pStyle w:val="Tabelltekst"/>
              <w:jc w:val="center"/>
              <w:rPr>
                <w:snapToGrid w:val="0"/>
                <w:sz w:val="20"/>
              </w:rPr>
            </w:pPr>
          </w:p>
        </w:tc>
        <w:tc>
          <w:tcPr>
            <w:tcW w:w="373" w:type="pct"/>
            <w:shd w:val="solid" w:color="FFFFFF" w:fill="auto"/>
            <w:vAlign w:val="bottom"/>
          </w:tcPr>
          <w:p w14:paraId="0904A242" w14:textId="77777777" w:rsidR="004B1A77" w:rsidRPr="006E1B5A" w:rsidRDefault="004B1A77" w:rsidP="00795948">
            <w:pPr>
              <w:pStyle w:val="Tabelltekst"/>
              <w:jc w:val="center"/>
              <w:rPr>
                <w:snapToGrid w:val="0"/>
                <w:sz w:val="20"/>
              </w:rPr>
            </w:pPr>
            <w:r w:rsidRPr="006E1B5A">
              <w:rPr>
                <w:sz w:val="20"/>
              </w:rPr>
              <w:t>4,7</w:t>
            </w:r>
          </w:p>
        </w:tc>
        <w:tc>
          <w:tcPr>
            <w:tcW w:w="292" w:type="pct"/>
            <w:gridSpan w:val="2"/>
            <w:shd w:val="solid" w:color="FFFFFF" w:fill="auto"/>
            <w:vAlign w:val="bottom"/>
          </w:tcPr>
          <w:p w14:paraId="11D17008" w14:textId="77777777" w:rsidR="004B1A77" w:rsidRPr="006E1B5A" w:rsidRDefault="004B1A77" w:rsidP="00795948">
            <w:pPr>
              <w:pStyle w:val="Tabelltekst"/>
              <w:jc w:val="center"/>
              <w:rPr>
                <w:snapToGrid w:val="0"/>
                <w:sz w:val="20"/>
              </w:rPr>
            </w:pPr>
            <w:r w:rsidRPr="006E1B5A">
              <w:rPr>
                <w:sz w:val="20"/>
              </w:rPr>
              <w:t>4,8</w:t>
            </w:r>
          </w:p>
        </w:tc>
      </w:tr>
      <w:tr w:rsidR="00253A7B" w:rsidRPr="00777AF3" w14:paraId="47CB0713" w14:textId="77777777" w:rsidTr="00266CEC">
        <w:trPr>
          <w:cantSplit/>
          <w:trHeight w:val="245"/>
          <w:jc w:val="right"/>
        </w:trPr>
        <w:tc>
          <w:tcPr>
            <w:tcW w:w="407" w:type="pct"/>
            <w:vAlign w:val="bottom"/>
          </w:tcPr>
          <w:p w14:paraId="2E5B6908" w14:textId="77777777" w:rsidR="004B1A77" w:rsidRPr="00777AF3" w:rsidRDefault="004B1A77" w:rsidP="00795948">
            <w:pPr>
              <w:pStyle w:val="Tabelltekst"/>
              <w:rPr>
                <w:sz w:val="20"/>
              </w:rPr>
            </w:pPr>
            <w:r w:rsidRPr="00777AF3">
              <w:rPr>
                <w:sz w:val="20"/>
              </w:rPr>
              <w:t>200</w:t>
            </w:r>
            <w:r>
              <w:rPr>
                <w:sz w:val="20"/>
              </w:rPr>
              <w:t>9</w:t>
            </w:r>
            <w:r w:rsidRPr="00777AF3">
              <w:rPr>
                <w:sz w:val="20"/>
              </w:rPr>
              <w:t>-201</w:t>
            </w:r>
            <w:r>
              <w:rPr>
                <w:sz w:val="20"/>
              </w:rPr>
              <w:t>4</w:t>
            </w:r>
          </w:p>
        </w:tc>
        <w:tc>
          <w:tcPr>
            <w:tcW w:w="324" w:type="pct"/>
            <w:vAlign w:val="bottom"/>
          </w:tcPr>
          <w:p w14:paraId="03D91F04" w14:textId="77777777" w:rsidR="004B1A77" w:rsidRPr="006E1B5A" w:rsidRDefault="004B1A77" w:rsidP="006B1D50">
            <w:pPr>
              <w:pStyle w:val="Tabelltekst"/>
              <w:jc w:val="center"/>
              <w:rPr>
                <w:snapToGrid w:val="0"/>
                <w:sz w:val="20"/>
              </w:rPr>
            </w:pPr>
            <w:r>
              <w:rPr>
                <w:sz w:val="18"/>
                <w:szCs w:val="18"/>
              </w:rPr>
              <w:t>21,</w:t>
            </w:r>
            <w:r w:rsidR="006B1D50">
              <w:rPr>
                <w:sz w:val="18"/>
                <w:szCs w:val="18"/>
              </w:rPr>
              <w:t>8</w:t>
            </w:r>
          </w:p>
        </w:tc>
        <w:tc>
          <w:tcPr>
            <w:tcW w:w="287" w:type="pct"/>
            <w:vAlign w:val="bottom"/>
          </w:tcPr>
          <w:p w14:paraId="3B879E64" w14:textId="77777777" w:rsidR="004B1A77" w:rsidRPr="006E1B5A" w:rsidRDefault="004B1A77" w:rsidP="00795948">
            <w:pPr>
              <w:pStyle w:val="Tabelltekst"/>
              <w:jc w:val="center"/>
              <w:rPr>
                <w:snapToGrid w:val="0"/>
                <w:sz w:val="20"/>
              </w:rPr>
            </w:pPr>
            <w:r>
              <w:rPr>
                <w:sz w:val="18"/>
                <w:szCs w:val="18"/>
              </w:rPr>
              <w:t>20,0</w:t>
            </w:r>
          </w:p>
        </w:tc>
        <w:tc>
          <w:tcPr>
            <w:tcW w:w="404" w:type="pct"/>
            <w:vAlign w:val="bottom"/>
          </w:tcPr>
          <w:p w14:paraId="5CD4362C" w14:textId="77777777" w:rsidR="004B1A77" w:rsidRPr="006E1B5A" w:rsidRDefault="004B1A77" w:rsidP="00795948">
            <w:pPr>
              <w:pStyle w:val="Tabelltekst"/>
              <w:jc w:val="center"/>
              <w:rPr>
                <w:snapToGrid w:val="0"/>
                <w:sz w:val="20"/>
              </w:rPr>
            </w:pPr>
            <w:r>
              <w:rPr>
                <w:sz w:val="18"/>
                <w:szCs w:val="18"/>
              </w:rPr>
              <w:t>22,4</w:t>
            </w:r>
          </w:p>
        </w:tc>
        <w:tc>
          <w:tcPr>
            <w:tcW w:w="368" w:type="pct"/>
            <w:vAlign w:val="bottom"/>
          </w:tcPr>
          <w:p w14:paraId="542F19A3" w14:textId="77777777" w:rsidR="004B1A77" w:rsidRPr="006E1B5A" w:rsidRDefault="004B1A77" w:rsidP="00795948">
            <w:pPr>
              <w:pStyle w:val="Tabelltekst"/>
              <w:jc w:val="center"/>
              <w:rPr>
                <w:snapToGrid w:val="0"/>
                <w:sz w:val="20"/>
              </w:rPr>
            </w:pPr>
            <w:r>
              <w:rPr>
                <w:sz w:val="18"/>
                <w:szCs w:val="18"/>
              </w:rPr>
              <w:t>19,3</w:t>
            </w:r>
          </w:p>
        </w:tc>
        <w:tc>
          <w:tcPr>
            <w:tcW w:w="304" w:type="pct"/>
            <w:gridSpan w:val="2"/>
            <w:vAlign w:val="bottom"/>
          </w:tcPr>
          <w:p w14:paraId="2DF77262" w14:textId="77777777" w:rsidR="004B1A77" w:rsidRPr="006E1B5A" w:rsidRDefault="004B1A77" w:rsidP="00795948">
            <w:pPr>
              <w:pStyle w:val="Tabelltekst"/>
              <w:jc w:val="center"/>
              <w:rPr>
                <w:snapToGrid w:val="0"/>
                <w:sz w:val="20"/>
              </w:rPr>
            </w:pPr>
            <w:r>
              <w:rPr>
                <w:sz w:val="18"/>
                <w:szCs w:val="18"/>
              </w:rPr>
              <w:t>25,6</w:t>
            </w:r>
          </w:p>
        </w:tc>
        <w:tc>
          <w:tcPr>
            <w:tcW w:w="346" w:type="pct"/>
            <w:vAlign w:val="bottom"/>
          </w:tcPr>
          <w:p w14:paraId="08EBF039" w14:textId="77777777" w:rsidR="004B1A77" w:rsidRPr="006E1B5A" w:rsidRDefault="004B1A77" w:rsidP="006B1D50">
            <w:pPr>
              <w:pStyle w:val="Tabelltekst"/>
              <w:jc w:val="center"/>
              <w:rPr>
                <w:snapToGrid w:val="0"/>
                <w:sz w:val="20"/>
              </w:rPr>
            </w:pPr>
            <w:r>
              <w:rPr>
                <w:sz w:val="18"/>
                <w:szCs w:val="18"/>
              </w:rPr>
              <w:t>20,</w:t>
            </w:r>
            <w:r w:rsidR="006B1D50">
              <w:rPr>
                <w:sz w:val="18"/>
                <w:szCs w:val="18"/>
              </w:rPr>
              <w:t>4</w:t>
            </w:r>
          </w:p>
        </w:tc>
        <w:tc>
          <w:tcPr>
            <w:tcW w:w="475" w:type="pct"/>
            <w:vAlign w:val="bottom"/>
          </w:tcPr>
          <w:p w14:paraId="5E6B6D48" w14:textId="77777777" w:rsidR="004B1A77" w:rsidRPr="006E1B5A" w:rsidRDefault="004B1A77" w:rsidP="006B1D50">
            <w:pPr>
              <w:pStyle w:val="Tabelltekst"/>
              <w:jc w:val="center"/>
              <w:rPr>
                <w:snapToGrid w:val="0"/>
                <w:sz w:val="20"/>
              </w:rPr>
            </w:pPr>
            <w:r>
              <w:rPr>
                <w:sz w:val="18"/>
                <w:szCs w:val="18"/>
              </w:rPr>
              <w:t>21,</w:t>
            </w:r>
            <w:r w:rsidR="006B1D50">
              <w:rPr>
                <w:sz w:val="18"/>
                <w:szCs w:val="18"/>
              </w:rPr>
              <w:t>3</w:t>
            </w:r>
          </w:p>
        </w:tc>
        <w:tc>
          <w:tcPr>
            <w:tcW w:w="498" w:type="pct"/>
            <w:vAlign w:val="bottom"/>
          </w:tcPr>
          <w:p w14:paraId="5A4C544C" w14:textId="77777777" w:rsidR="004B1A77" w:rsidRPr="006E1B5A" w:rsidRDefault="004B1A77" w:rsidP="006B1D50">
            <w:pPr>
              <w:pStyle w:val="Tabelltekst"/>
              <w:jc w:val="center"/>
              <w:rPr>
                <w:snapToGrid w:val="0"/>
                <w:sz w:val="20"/>
              </w:rPr>
            </w:pPr>
            <w:r>
              <w:rPr>
                <w:sz w:val="18"/>
                <w:szCs w:val="18"/>
              </w:rPr>
              <w:t>20,</w:t>
            </w:r>
            <w:r w:rsidR="006B1D50">
              <w:rPr>
                <w:sz w:val="18"/>
                <w:szCs w:val="18"/>
              </w:rPr>
              <w:t>5</w:t>
            </w:r>
          </w:p>
        </w:tc>
        <w:tc>
          <w:tcPr>
            <w:tcW w:w="442" w:type="pct"/>
            <w:vAlign w:val="bottom"/>
          </w:tcPr>
          <w:p w14:paraId="3D4ACC17" w14:textId="77777777" w:rsidR="004B1A77" w:rsidRPr="006E1B5A" w:rsidRDefault="004B1A77" w:rsidP="006B1D50">
            <w:pPr>
              <w:pStyle w:val="Tabelltekst"/>
              <w:jc w:val="center"/>
              <w:rPr>
                <w:snapToGrid w:val="0"/>
                <w:sz w:val="20"/>
              </w:rPr>
            </w:pPr>
            <w:r>
              <w:rPr>
                <w:sz w:val="18"/>
                <w:szCs w:val="18"/>
              </w:rPr>
              <w:t>18,</w:t>
            </w:r>
            <w:r w:rsidR="006B1D50">
              <w:rPr>
                <w:sz w:val="18"/>
                <w:szCs w:val="18"/>
              </w:rPr>
              <w:t>6</w:t>
            </w:r>
          </w:p>
        </w:tc>
        <w:tc>
          <w:tcPr>
            <w:tcW w:w="327" w:type="pct"/>
            <w:gridSpan w:val="2"/>
            <w:shd w:val="solid" w:color="FFFFFF" w:fill="auto"/>
            <w:vAlign w:val="bottom"/>
          </w:tcPr>
          <w:p w14:paraId="79845815" w14:textId="77777777" w:rsidR="004B1A77" w:rsidRPr="006E1B5A" w:rsidRDefault="006B1D50" w:rsidP="00795948">
            <w:pPr>
              <w:pStyle w:val="Tabelltekst"/>
              <w:jc w:val="center"/>
              <w:rPr>
                <w:snapToGrid w:val="0"/>
                <w:sz w:val="20"/>
              </w:rPr>
            </w:pPr>
            <w:r>
              <w:rPr>
                <w:sz w:val="18"/>
                <w:szCs w:val="18"/>
              </w:rPr>
              <w:t>21,3</w:t>
            </w:r>
          </w:p>
        </w:tc>
        <w:tc>
          <w:tcPr>
            <w:tcW w:w="155" w:type="pct"/>
            <w:shd w:val="solid" w:color="FFFFFF" w:fill="auto"/>
            <w:vAlign w:val="bottom"/>
          </w:tcPr>
          <w:p w14:paraId="653413A4" w14:textId="77777777" w:rsidR="004B1A77" w:rsidRPr="006E1B5A" w:rsidRDefault="004B1A77" w:rsidP="00795948">
            <w:pPr>
              <w:pStyle w:val="Tabelltekst"/>
              <w:jc w:val="center"/>
              <w:rPr>
                <w:snapToGrid w:val="0"/>
                <w:sz w:val="20"/>
              </w:rPr>
            </w:pPr>
          </w:p>
        </w:tc>
        <w:tc>
          <w:tcPr>
            <w:tcW w:w="373" w:type="pct"/>
            <w:shd w:val="solid" w:color="FFFFFF" w:fill="auto"/>
            <w:vAlign w:val="bottom"/>
          </w:tcPr>
          <w:p w14:paraId="19E257B7" w14:textId="77777777" w:rsidR="004B1A77" w:rsidRPr="006E1B5A" w:rsidRDefault="004B1A77" w:rsidP="00795948">
            <w:pPr>
              <w:pStyle w:val="Tabelltekst"/>
              <w:jc w:val="center"/>
              <w:rPr>
                <w:snapToGrid w:val="0"/>
                <w:sz w:val="20"/>
              </w:rPr>
            </w:pPr>
            <w:r>
              <w:rPr>
                <w:sz w:val="18"/>
                <w:szCs w:val="18"/>
              </w:rPr>
              <w:t>19,8</w:t>
            </w:r>
          </w:p>
        </w:tc>
        <w:tc>
          <w:tcPr>
            <w:tcW w:w="292" w:type="pct"/>
            <w:gridSpan w:val="2"/>
            <w:shd w:val="solid" w:color="FFFFFF" w:fill="auto"/>
            <w:vAlign w:val="bottom"/>
          </w:tcPr>
          <w:p w14:paraId="1B4BD8DB" w14:textId="77777777" w:rsidR="004B1A77" w:rsidRPr="006E1B5A" w:rsidRDefault="004B1A77" w:rsidP="00795948">
            <w:pPr>
              <w:pStyle w:val="Tabelltekst"/>
              <w:jc w:val="center"/>
              <w:rPr>
                <w:snapToGrid w:val="0"/>
                <w:sz w:val="20"/>
              </w:rPr>
            </w:pPr>
            <w:r>
              <w:rPr>
                <w:sz w:val="18"/>
                <w:szCs w:val="18"/>
              </w:rPr>
              <w:t>20,1</w:t>
            </w:r>
          </w:p>
        </w:tc>
      </w:tr>
      <w:tr w:rsidR="00253A7B" w:rsidRPr="00777AF3" w14:paraId="2A44A22F" w14:textId="77777777" w:rsidTr="00266CEC">
        <w:trPr>
          <w:cantSplit/>
          <w:trHeight w:val="245"/>
          <w:jc w:val="right"/>
        </w:trPr>
        <w:tc>
          <w:tcPr>
            <w:tcW w:w="407" w:type="pct"/>
            <w:vAlign w:val="bottom"/>
          </w:tcPr>
          <w:p w14:paraId="52DB429C" w14:textId="77777777" w:rsidR="004B1A77" w:rsidRPr="00777AF3" w:rsidRDefault="004B1A77" w:rsidP="00795948">
            <w:pPr>
              <w:pStyle w:val="Tabelltekst"/>
              <w:rPr>
                <w:sz w:val="20"/>
              </w:rPr>
            </w:pPr>
            <w:r w:rsidRPr="00777AF3">
              <w:rPr>
                <w:sz w:val="20"/>
              </w:rPr>
              <w:t>Gj. sn. per år</w:t>
            </w:r>
          </w:p>
        </w:tc>
        <w:tc>
          <w:tcPr>
            <w:tcW w:w="324" w:type="pct"/>
            <w:vAlign w:val="bottom"/>
          </w:tcPr>
          <w:p w14:paraId="40974B4A" w14:textId="77777777" w:rsidR="004B1A77" w:rsidRPr="006E1B5A" w:rsidRDefault="004B1A77" w:rsidP="00795948">
            <w:pPr>
              <w:pStyle w:val="Tabelltekst"/>
              <w:jc w:val="center"/>
              <w:rPr>
                <w:snapToGrid w:val="0"/>
                <w:sz w:val="20"/>
              </w:rPr>
            </w:pPr>
            <w:r>
              <w:rPr>
                <w:sz w:val="18"/>
                <w:szCs w:val="18"/>
              </w:rPr>
              <w:t>4,0</w:t>
            </w:r>
          </w:p>
        </w:tc>
        <w:tc>
          <w:tcPr>
            <w:tcW w:w="287" w:type="pct"/>
            <w:vAlign w:val="bottom"/>
          </w:tcPr>
          <w:p w14:paraId="07302FF3" w14:textId="77777777" w:rsidR="004B1A77" w:rsidRPr="006E1B5A" w:rsidRDefault="004B1A77" w:rsidP="00795948">
            <w:pPr>
              <w:pStyle w:val="Tabelltekst"/>
              <w:jc w:val="center"/>
              <w:rPr>
                <w:snapToGrid w:val="0"/>
                <w:sz w:val="20"/>
              </w:rPr>
            </w:pPr>
            <w:r>
              <w:rPr>
                <w:sz w:val="18"/>
                <w:szCs w:val="18"/>
              </w:rPr>
              <w:t>3,7</w:t>
            </w:r>
          </w:p>
        </w:tc>
        <w:tc>
          <w:tcPr>
            <w:tcW w:w="404" w:type="pct"/>
            <w:vAlign w:val="bottom"/>
          </w:tcPr>
          <w:p w14:paraId="5EAC3D7D" w14:textId="77777777" w:rsidR="004B1A77" w:rsidRPr="006E1B5A" w:rsidRDefault="004B1A77" w:rsidP="00795948">
            <w:pPr>
              <w:pStyle w:val="Tabelltekst"/>
              <w:jc w:val="center"/>
              <w:rPr>
                <w:snapToGrid w:val="0"/>
                <w:sz w:val="20"/>
              </w:rPr>
            </w:pPr>
            <w:r>
              <w:rPr>
                <w:sz w:val="18"/>
                <w:szCs w:val="18"/>
              </w:rPr>
              <w:t>4,1</w:t>
            </w:r>
          </w:p>
        </w:tc>
        <w:tc>
          <w:tcPr>
            <w:tcW w:w="368" w:type="pct"/>
            <w:vAlign w:val="bottom"/>
          </w:tcPr>
          <w:p w14:paraId="10BFD7CE" w14:textId="77777777" w:rsidR="004B1A77" w:rsidRPr="006E1B5A" w:rsidRDefault="004B1A77" w:rsidP="00795948">
            <w:pPr>
              <w:pStyle w:val="Tabelltekst"/>
              <w:jc w:val="center"/>
              <w:rPr>
                <w:snapToGrid w:val="0"/>
                <w:sz w:val="20"/>
              </w:rPr>
            </w:pPr>
            <w:r>
              <w:rPr>
                <w:sz w:val="18"/>
                <w:szCs w:val="18"/>
              </w:rPr>
              <w:t>3,6</w:t>
            </w:r>
          </w:p>
        </w:tc>
        <w:tc>
          <w:tcPr>
            <w:tcW w:w="304" w:type="pct"/>
            <w:gridSpan w:val="2"/>
            <w:vAlign w:val="bottom"/>
          </w:tcPr>
          <w:p w14:paraId="2AC6A2D3" w14:textId="77777777" w:rsidR="004B1A77" w:rsidRPr="006E1B5A" w:rsidRDefault="004B1A77" w:rsidP="00795948">
            <w:pPr>
              <w:pStyle w:val="Tabelltekst"/>
              <w:jc w:val="center"/>
              <w:rPr>
                <w:snapToGrid w:val="0"/>
                <w:sz w:val="20"/>
              </w:rPr>
            </w:pPr>
            <w:r>
              <w:rPr>
                <w:sz w:val="18"/>
                <w:szCs w:val="18"/>
              </w:rPr>
              <w:t>4,7</w:t>
            </w:r>
          </w:p>
        </w:tc>
        <w:tc>
          <w:tcPr>
            <w:tcW w:w="346" w:type="pct"/>
            <w:vAlign w:val="bottom"/>
          </w:tcPr>
          <w:p w14:paraId="216139D8" w14:textId="77777777" w:rsidR="004B1A77" w:rsidRPr="006E1B5A" w:rsidRDefault="004B1A77" w:rsidP="006B1D50">
            <w:pPr>
              <w:pStyle w:val="Tabelltekst"/>
              <w:jc w:val="center"/>
              <w:rPr>
                <w:snapToGrid w:val="0"/>
                <w:sz w:val="20"/>
              </w:rPr>
            </w:pPr>
            <w:r>
              <w:rPr>
                <w:sz w:val="18"/>
                <w:szCs w:val="18"/>
              </w:rPr>
              <w:t>3,</w:t>
            </w:r>
            <w:r w:rsidR="006B1D50">
              <w:rPr>
                <w:sz w:val="18"/>
                <w:szCs w:val="18"/>
              </w:rPr>
              <w:t>8</w:t>
            </w:r>
          </w:p>
        </w:tc>
        <w:tc>
          <w:tcPr>
            <w:tcW w:w="475" w:type="pct"/>
            <w:vAlign w:val="bottom"/>
          </w:tcPr>
          <w:p w14:paraId="29F4C7FF" w14:textId="77777777" w:rsidR="004B1A77" w:rsidRPr="006E1B5A" w:rsidRDefault="004B1A77" w:rsidP="00795948">
            <w:pPr>
              <w:pStyle w:val="Tabelltekst"/>
              <w:jc w:val="center"/>
              <w:rPr>
                <w:snapToGrid w:val="0"/>
                <w:sz w:val="20"/>
              </w:rPr>
            </w:pPr>
            <w:r>
              <w:rPr>
                <w:sz w:val="18"/>
                <w:szCs w:val="18"/>
              </w:rPr>
              <w:t>3,9</w:t>
            </w:r>
          </w:p>
        </w:tc>
        <w:tc>
          <w:tcPr>
            <w:tcW w:w="498" w:type="pct"/>
            <w:vAlign w:val="bottom"/>
          </w:tcPr>
          <w:p w14:paraId="2EA941C7" w14:textId="77777777" w:rsidR="004B1A77" w:rsidRPr="006E1B5A" w:rsidRDefault="004B1A77" w:rsidP="00795948">
            <w:pPr>
              <w:pStyle w:val="Tabelltekst"/>
              <w:jc w:val="center"/>
              <w:rPr>
                <w:snapToGrid w:val="0"/>
                <w:sz w:val="20"/>
              </w:rPr>
            </w:pPr>
            <w:r>
              <w:rPr>
                <w:sz w:val="18"/>
                <w:szCs w:val="18"/>
              </w:rPr>
              <w:t>3,8</w:t>
            </w:r>
          </w:p>
        </w:tc>
        <w:tc>
          <w:tcPr>
            <w:tcW w:w="442" w:type="pct"/>
            <w:vAlign w:val="bottom"/>
          </w:tcPr>
          <w:p w14:paraId="2E4D355A" w14:textId="77777777" w:rsidR="004B1A77" w:rsidRPr="006E1B5A" w:rsidRDefault="004B1A77" w:rsidP="00795948">
            <w:pPr>
              <w:pStyle w:val="Tabelltekst"/>
              <w:jc w:val="center"/>
              <w:rPr>
                <w:snapToGrid w:val="0"/>
                <w:sz w:val="20"/>
              </w:rPr>
            </w:pPr>
            <w:r>
              <w:rPr>
                <w:sz w:val="18"/>
                <w:szCs w:val="18"/>
              </w:rPr>
              <w:t>3,5</w:t>
            </w:r>
          </w:p>
        </w:tc>
        <w:tc>
          <w:tcPr>
            <w:tcW w:w="327" w:type="pct"/>
            <w:gridSpan w:val="2"/>
            <w:shd w:val="solid" w:color="FFFFFF" w:fill="auto"/>
            <w:vAlign w:val="bottom"/>
          </w:tcPr>
          <w:p w14:paraId="6304912A" w14:textId="77777777" w:rsidR="004B1A77" w:rsidRPr="006E1B5A" w:rsidRDefault="004B1A77" w:rsidP="006B1D50">
            <w:pPr>
              <w:pStyle w:val="Tabelltekst"/>
              <w:jc w:val="center"/>
              <w:rPr>
                <w:snapToGrid w:val="0"/>
                <w:sz w:val="20"/>
              </w:rPr>
            </w:pPr>
            <w:r>
              <w:rPr>
                <w:sz w:val="18"/>
                <w:szCs w:val="18"/>
              </w:rPr>
              <w:t>3,</w:t>
            </w:r>
            <w:r w:rsidR="006B1D50">
              <w:rPr>
                <w:sz w:val="18"/>
                <w:szCs w:val="18"/>
              </w:rPr>
              <w:t>9</w:t>
            </w:r>
          </w:p>
        </w:tc>
        <w:tc>
          <w:tcPr>
            <w:tcW w:w="155" w:type="pct"/>
            <w:shd w:val="solid" w:color="FFFFFF" w:fill="auto"/>
            <w:vAlign w:val="bottom"/>
          </w:tcPr>
          <w:p w14:paraId="4141DF6F" w14:textId="77777777" w:rsidR="004B1A77" w:rsidRPr="006E1B5A" w:rsidRDefault="004B1A77" w:rsidP="00795948">
            <w:pPr>
              <w:pStyle w:val="Tabelltekst"/>
              <w:jc w:val="center"/>
              <w:rPr>
                <w:snapToGrid w:val="0"/>
                <w:sz w:val="20"/>
              </w:rPr>
            </w:pPr>
          </w:p>
        </w:tc>
        <w:tc>
          <w:tcPr>
            <w:tcW w:w="373" w:type="pct"/>
            <w:shd w:val="solid" w:color="FFFFFF" w:fill="auto"/>
            <w:vAlign w:val="bottom"/>
          </w:tcPr>
          <w:p w14:paraId="172583BD" w14:textId="77777777" w:rsidR="004B1A77" w:rsidRPr="006E1B5A" w:rsidRDefault="004B1A77" w:rsidP="00795948">
            <w:pPr>
              <w:pStyle w:val="Tabelltekst"/>
              <w:jc w:val="center"/>
              <w:rPr>
                <w:snapToGrid w:val="0"/>
                <w:sz w:val="20"/>
              </w:rPr>
            </w:pPr>
            <w:r>
              <w:rPr>
                <w:sz w:val="18"/>
                <w:szCs w:val="18"/>
              </w:rPr>
              <w:t>3,7</w:t>
            </w:r>
          </w:p>
        </w:tc>
        <w:tc>
          <w:tcPr>
            <w:tcW w:w="292" w:type="pct"/>
            <w:gridSpan w:val="2"/>
            <w:shd w:val="solid" w:color="FFFFFF" w:fill="auto"/>
            <w:vAlign w:val="bottom"/>
          </w:tcPr>
          <w:p w14:paraId="153B980B" w14:textId="77777777" w:rsidR="004B1A77" w:rsidRPr="006E1B5A" w:rsidRDefault="004B1A77" w:rsidP="00795948">
            <w:pPr>
              <w:pStyle w:val="Tabelltekst"/>
              <w:jc w:val="center"/>
              <w:rPr>
                <w:snapToGrid w:val="0"/>
                <w:sz w:val="20"/>
              </w:rPr>
            </w:pPr>
            <w:r>
              <w:rPr>
                <w:sz w:val="18"/>
                <w:szCs w:val="18"/>
              </w:rPr>
              <w:t>3,7</w:t>
            </w:r>
          </w:p>
        </w:tc>
      </w:tr>
      <w:tr w:rsidR="00253A7B" w:rsidRPr="00B8208E" w14:paraId="43AE9A5F" w14:textId="77777777" w:rsidTr="00266CEC">
        <w:trPr>
          <w:cantSplit/>
          <w:trHeight w:val="454"/>
          <w:jc w:val="right"/>
        </w:trPr>
        <w:tc>
          <w:tcPr>
            <w:tcW w:w="407" w:type="pct"/>
            <w:tcBorders>
              <w:top w:val="single" w:sz="4" w:space="0" w:color="auto"/>
            </w:tcBorders>
            <w:vAlign w:val="bottom"/>
          </w:tcPr>
          <w:p w14:paraId="260EA3CB" w14:textId="77777777" w:rsidR="004B1A77" w:rsidRPr="004B1A77" w:rsidRDefault="004B1A77" w:rsidP="00E34106">
            <w:pPr>
              <w:pStyle w:val="Tabelltekst"/>
              <w:rPr>
                <w:sz w:val="18"/>
                <w:szCs w:val="18"/>
              </w:rPr>
            </w:pPr>
            <w:r w:rsidRPr="004B1A77">
              <w:rPr>
                <w:sz w:val="18"/>
                <w:szCs w:val="18"/>
              </w:rPr>
              <w:t xml:space="preserve">Årslønn </w:t>
            </w:r>
            <w:r w:rsidR="00E34106" w:rsidRPr="004B1A77">
              <w:rPr>
                <w:sz w:val="18"/>
                <w:szCs w:val="18"/>
              </w:rPr>
              <w:t>201</w:t>
            </w:r>
            <w:r w:rsidR="00E34106">
              <w:rPr>
                <w:sz w:val="18"/>
                <w:szCs w:val="18"/>
              </w:rPr>
              <w:t>4</w:t>
            </w:r>
            <w:r w:rsidRPr="004B1A77">
              <w:rPr>
                <w:sz w:val="18"/>
                <w:szCs w:val="18"/>
              </w:rPr>
              <w:t>, per årsverk</w:t>
            </w:r>
          </w:p>
        </w:tc>
        <w:tc>
          <w:tcPr>
            <w:tcW w:w="324" w:type="pct"/>
            <w:tcBorders>
              <w:top w:val="single" w:sz="4" w:space="0" w:color="auto"/>
            </w:tcBorders>
            <w:vAlign w:val="bottom"/>
          </w:tcPr>
          <w:p w14:paraId="1AAE5780" w14:textId="64B0AE63" w:rsidR="004B1A77" w:rsidRPr="00B8208E" w:rsidRDefault="00743BAE" w:rsidP="00843884">
            <w:pPr>
              <w:pStyle w:val="Tabelltekst"/>
              <w:jc w:val="center"/>
              <w:rPr>
                <w:sz w:val="20"/>
              </w:rPr>
            </w:pPr>
            <w:r>
              <w:rPr>
                <w:sz w:val="20"/>
              </w:rPr>
              <w:t>538 700</w:t>
            </w:r>
          </w:p>
        </w:tc>
        <w:tc>
          <w:tcPr>
            <w:tcW w:w="287" w:type="pct"/>
            <w:tcBorders>
              <w:top w:val="single" w:sz="4" w:space="0" w:color="auto"/>
            </w:tcBorders>
            <w:vAlign w:val="bottom"/>
          </w:tcPr>
          <w:p w14:paraId="2D5F782F" w14:textId="77777777" w:rsidR="004B1A77" w:rsidRDefault="00BC63ED" w:rsidP="00795948">
            <w:pPr>
              <w:pStyle w:val="Tabelltekst"/>
              <w:jc w:val="center"/>
              <w:rPr>
                <w:color w:val="auto"/>
                <w:sz w:val="20"/>
              </w:rPr>
            </w:pPr>
            <w:r>
              <w:rPr>
                <w:color w:val="auto"/>
                <w:sz w:val="20"/>
              </w:rPr>
              <w:t>431 100</w:t>
            </w:r>
          </w:p>
        </w:tc>
        <w:tc>
          <w:tcPr>
            <w:tcW w:w="404" w:type="pct"/>
            <w:tcBorders>
              <w:top w:val="single" w:sz="4" w:space="0" w:color="auto"/>
            </w:tcBorders>
            <w:vAlign w:val="bottom"/>
          </w:tcPr>
          <w:p w14:paraId="42925CC5" w14:textId="77777777" w:rsidR="004B1A77" w:rsidRDefault="005314CC" w:rsidP="00795948">
            <w:pPr>
              <w:pStyle w:val="Tabelltekst"/>
              <w:jc w:val="center"/>
              <w:rPr>
                <w:color w:val="auto"/>
                <w:sz w:val="20"/>
              </w:rPr>
            </w:pPr>
            <w:r>
              <w:rPr>
                <w:color w:val="auto"/>
                <w:sz w:val="20"/>
              </w:rPr>
              <w:t>669 500</w:t>
            </w:r>
          </w:p>
        </w:tc>
        <w:tc>
          <w:tcPr>
            <w:tcW w:w="370" w:type="pct"/>
            <w:gridSpan w:val="2"/>
            <w:tcBorders>
              <w:top w:val="single" w:sz="4" w:space="0" w:color="auto"/>
            </w:tcBorders>
            <w:vAlign w:val="bottom"/>
          </w:tcPr>
          <w:p w14:paraId="03FDC62A" w14:textId="77777777" w:rsidR="004B1A77" w:rsidRDefault="004B1A77" w:rsidP="00795948">
            <w:pPr>
              <w:pStyle w:val="Tabelltekst"/>
              <w:jc w:val="center"/>
              <w:rPr>
                <w:color w:val="auto"/>
                <w:sz w:val="20"/>
              </w:rPr>
            </w:pPr>
            <w:r w:rsidRPr="00D37B55">
              <w:rPr>
                <w:color w:val="auto"/>
                <w:sz w:val="20"/>
              </w:rPr>
              <w:t>-</w:t>
            </w:r>
          </w:p>
        </w:tc>
        <w:tc>
          <w:tcPr>
            <w:tcW w:w="302" w:type="pct"/>
            <w:tcBorders>
              <w:top w:val="single" w:sz="4" w:space="0" w:color="auto"/>
            </w:tcBorders>
            <w:vAlign w:val="bottom"/>
          </w:tcPr>
          <w:p w14:paraId="39A7EF82" w14:textId="77777777" w:rsidR="004B1A77" w:rsidRDefault="004B1A77" w:rsidP="00795948">
            <w:pPr>
              <w:pStyle w:val="Tabelltekst"/>
              <w:jc w:val="center"/>
              <w:rPr>
                <w:color w:val="auto"/>
                <w:sz w:val="20"/>
              </w:rPr>
            </w:pPr>
            <w:r w:rsidRPr="00D37B55">
              <w:rPr>
                <w:color w:val="auto"/>
                <w:sz w:val="20"/>
              </w:rPr>
              <w:t>-</w:t>
            </w:r>
          </w:p>
        </w:tc>
        <w:tc>
          <w:tcPr>
            <w:tcW w:w="346" w:type="pct"/>
            <w:tcBorders>
              <w:top w:val="single" w:sz="4" w:space="0" w:color="auto"/>
            </w:tcBorders>
            <w:vAlign w:val="bottom"/>
          </w:tcPr>
          <w:p w14:paraId="7A9C152E" w14:textId="77777777" w:rsidR="004B1A77" w:rsidRDefault="008B3F81" w:rsidP="00D91A77">
            <w:pPr>
              <w:pStyle w:val="Tabelltekst"/>
              <w:jc w:val="center"/>
              <w:rPr>
                <w:color w:val="auto"/>
                <w:sz w:val="20"/>
              </w:rPr>
            </w:pPr>
            <w:r>
              <w:rPr>
                <w:color w:val="auto"/>
                <w:sz w:val="20"/>
              </w:rPr>
              <w:t xml:space="preserve">486 </w:t>
            </w:r>
            <w:r w:rsidR="00D91A77">
              <w:rPr>
                <w:color w:val="auto"/>
                <w:sz w:val="20"/>
              </w:rPr>
              <w:t>4</w:t>
            </w:r>
            <w:r>
              <w:rPr>
                <w:color w:val="auto"/>
                <w:sz w:val="20"/>
              </w:rPr>
              <w:t>00</w:t>
            </w:r>
          </w:p>
        </w:tc>
        <w:tc>
          <w:tcPr>
            <w:tcW w:w="475" w:type="pct"/>
            <w:tcBorders>
              <w:top w:val="single" w:sz="4" w:space="0" w:color="auto"/>
            </w:tcBorders>
            <w:vAlign w:val="bottom"/>
          </w:tcPr>
          <w:p w14:paraId="50E58670" w14:textId="77777777" w:rsidR="004B1A77" w:rsidRDefault="00BD7489" w:rsidP="00AB572D">
            <w:pPr>
              <w:pStyle w:val="Tabelltekst"/>
              <w:jc w:val="center"/>
              <w:rPr>
                <w:color w:val="auto"/>
                <w:sz w:val="20"/>
              </w:rPr>
            </w:pPr>
            <w:r>
              <w:rPr>
                <w:color w:val="auto"/>
                <w:sz w:val="20"/>
              </w:rPr>
              <w:t xml:space="preserve">524 </w:t>
            </w:r>
            <w:r w:rsidR="00AB572D">
              <w:rPr>
                <w:color w:val="auto"/>
                <w:sz w:val="20"/>
              </w:rPr>
              <w:t>3</w:t>
            </w:r>
            <w:r>
              <w:rPr>
                <w:color w:val="auto"/>
                <w:sz w:val="20"/>
              </w:rPr>
              <w:t>00</w:t>
            </w:r>
          </w:p>
        </w:tc>
        <w:tc>
          <w:tcPr>
            <w:tcW w:w="498" w:type="pct"/>
            <w:tcBorders>
              <w:top w:val="single" w:sz="4" w:space="0" w:color="auto"/>
            </w:tcBorders>
            <w:vAlign w:val="bottom"/>
          </w:tcPr>
          <w:p w14:paraId="106352ED" w14:textId="77777777" w:rsidR="004B1A77" w:rsidRDefault="00BD7489" w:rsidP="00795948">
            <w:pPr>
              <w:pStyle w:val="Tabelltekst"/>
              <w:jc w:val="center"/>
              <w:rPr>
                <w:color w:val="auto"/>
                <w:sz w:val="20"/>
              </w:rPr>
            </w:pPr>
            <w:r>
              <w:rPr>
                <w:color w:val="auto"/>
                <w:sz w:val="20"/>
              </w:rPr>
              <w:t>462 000</w:t>
            </w:r>
          </w:p>
        </w:tc>
        <w:tc>
          <w:tcPr>
            <w:tcW w:w="445" w:type="pct"/>
            <w:gridSpan w:val="2"/>
            <w:tcBorders>
              <w:top w:val="single" w:sz="4" w:space="0" w:color="auto"/>
            </w:tcBorders>
            <w:vAlign w:val="bottom"/>
          </w:tcPr>
          <w:p w14:paraId="4D711893" w14:textId="77777777" w:rsidR="004B1A77" w:rsidRDefault="00BD7489" w:rsidP="00795948">
            <w:pPr>
              <w:pStyle w:val="Tabelltekst"/>
              <w:jc w:val="center"/>
              <w:rPr>
                <w:color w:val="auto"/>
                <w:sz w:val="20"/>
              </w:rPr>
            </w:pPr>
            <w:r>
              <w:rPr>
                <w:color w:val="auto"/>
                <w:sz w:val="20"/>
              </w:rPr>
              <w:t>507 200</w:t>
            </w:r>
          </w:p>
        </w:tc>
        <w:tc>
          <w:tcPr>
            <w:tcW w:w="324" w:type="pct"/>
            <w:tcBorders>
              <w:top w:val="single" w:sz="4" w:space="0" w:color="auto"/>
            </w:tcBorders>
            <w:vAlign w:val="bottom"/>
          </w:tcPr>
          <w:p w14:paraId="06C8AE60" w14:textId="77777777" w:rsidR="004B1A77" w:rsidRDefault="00BD7489" w:rsidP="00795948">
            <w:pPr>
              <w:spacing w:after="0"/>
              <w:jc w:val="center"/>
              <w:rPr>
                <w:rFonts w:ascii="Times New Roman" w:hAnsi="Times New Roman"/>
                <w:sz w:val="20"/>
              </w:rPr>
            </w:pPr>
            <w:r>
              <w:rPr>
                <w:rFonts w:ascii="Times New Roman" w:hAnsi="Times New Roman"/>
                <w:sz w:val="20"/>
              </w:rPr>
              <w:t>447 800</w:t>
            </w:r>
          </w:p>
        </w:tc>
        <w:tc>
          <w:tcPr>
            <w:tcW w:w="155" w:type="pct"/>
            <w:tcBorders>
              <w:top w:val="single" w:sz="4" w:space="0" w:color="auto"/>
            </w:tcBorders>
            <w:vAlign w:val="bottom"/>
          </w:tcPr>
          <w:p w14:paraId="5BD64CB9" w14:textId="77777777" w:rsidR="004B1A77" w:rsidRDefault="004B1A77" w:rsidP="00795948">
            <w:pPr>
              <w:pStyle w:val="Tabelltekst"/>
              <w:jc w:val="center"/>
              <w:rPr>
                <w:color w:val="auto"/>
                <w:sz w:val="20"/>
              </w:rPr>
            </w:pPr>
          </w:p>
        </w:tc>
        <w:tc>
          <w:tcPr>
            <w:tcW w:w="376" w:type="pct"/>
            <w:gridSpan w:val="2"/>
            <w:tcBorders>
              <w:top w:val="single" w:sz="4" w:space="0" w:color="auto"/>
            </w:tcBorders>
            <w:vAlign w:val="bottom"/>
          </w:tcPr>
          <w:p w14:paraId="474A49B8" w14:textId="77777777" w:rsidR="004B1A77" w:rsidRDefault="00BD7489" w:rsidP="00795948">
            <w:pPr>
              <w:pStyle w:val="Tabelltekst"/>
              <w:jc w:val="center"/>
              <w:rPr>
                <w:color w:val="auto"/>
                <w:sz w:val="20"/>
              </w:rPr>
            </w:pPr>
            <w:r>
              <w:rPr>
                <w:color w:val="auto"/>
                <w:sz w:val="20"/>
              </w:rPr>
              <w:t>523 900</w:t>
            </w:r>
          </w:p>
        </w:tc>
        <w:tc>
          <w:tcPr>
            <w:tcW w:w="289" w:type="pct"/>
            <w:tcBorders>
              <w:top w:val="single" w:sz="4" w:space="0" w:color="auto"/>
            </w:tcBorders>
            <w:vAlign w:val="bottom"/>
          </w:tcPr>
          <w:p w14:paraId="07FB02FF" w14:textId="77777777" w:rsidR="004B1A77" w:rsidRDefault="00BD7489" w:rsidP="00795948">
            <w:pPr>
              <w:pStyle w:val="Tabelltekst"/>
              <w:jc w:val="center"/>
              <w:rPr>
                <w:color w:val="auto"/>
                <w:sz w:val="20"/>
              </w:rPr>
            </w:pPr>
            <w:r>
              <w:rPr>
                <w:color w:val="auto"/>
                <w:sz w:val="20"/>
              </w:rPr>
              <w:t>492 100</w:t>
            </w:r>
          </w:p>
        </w:tc>
      </w:tr>
      <w:tr w:rsidR="00253A7B" w:rsidRPr="00B8208E" w14:paraId="6C9D3ECB" w14:textId="77777777" w:rsidTr="00266CEC">
        <w:trPr>
          <w:cantSplit/>
          <w:trHeight w:val="454"/>
          <w:jc w:val="right"/>
        </w:trPr>
        <w:tc>
          <w:tcPr>
            <w:tcW w:w="407" w:type="pct"/>
            <w:tcBorders>
              <w:bottom w:val="single" w:sz="4" w:space="0" w:color="auto"/>
            </w:tcBorders>
            <w:vAlign w:val="bottom"/>
          </w:tcPr>
          <w:p w14:paraId="1C650F06" w14:textId="77777777" w:rsidR="004B1A77" w:rsidRPr="004B1A77" w:rsidRDefault="004B1A77" w:rsidP="00BD7489">
            <w:pPr>
              <w:pStyle w:val="Tabelltekst"/>
              <w:rPr>
                <w:sz w:val="18"/>
                <w:szCs w:val="18"/>
              </w:rPr>
            </w:pPr>
            <w:r w:rsidRPr="004B1A77">
              <w:rPr>
                <w:sz w:val="18"/>
                <w:szCs w:val="18"/>
              </w:rPr>
              <w:t xml:space="preserve">Årslønn </w:t>
            </w:r>
            <w:r w:rsidR="00BD7489" w:rsidRPr="004B1A77">
              <w:rPr>
                <w:sz w:val="18"/>
                <w:szCs w:val="18"/>
              </w:rPr>
              <w:t>201</w:t>
            </w:r>
            <w:r w:rsidR="00BD7489">
              <w:rPr>
                <w:sz w:val="18"/>
                <w:szCs w:val="18"/>
              </w:rPr>
              <w:t>4</w:t>
            </w:r>
            <w:r w:rsidRPr="004B1A77">
              <w:rPr>
                <w:sz w:val="18"/>
                <w:szCs w:val="18"/>
              </w:rPr>
              <w:t>, heltidsansatte</w:t>
            </w:r>
          </w:p>
        </w:tc>
        <w:tc>
          <w:tcPr>
            <w:tcW w:w="324" w:type="pct"/>
            <w:tcBorders>
              <w:bottom w:val="single" w:sz="4" w:space="0" w:color="auto"/>
            </w:tcBorders>
            <w:vAlign w:val="bottom"/>
          </w:tcPr>
          <w:p w14:paraId="6BFE0ADB" w14:textId="77777777" w:rsidR="004B1A77" w:rsidRDefault="004B1A77" w:rsidP="00795948">
            <w:pPr>
              <w:pStyle w:val="Tabelltekst"/>
              <w:jc w:val="center"/>
              <w:rPr>
                <w:rFonts w:ascii="Times" w:eastAsia="Batang" w:hAnsi="Times"/>
                <w:sz w:val="20"/>
              </w:rPr>
            </w:pPr>
            <w:r>
              <w:rPr>
                <w:rFonts w:ascii="Times" w:eastAsia="Batang" w:hAnsi="Times"/>
                <w:sz w:val="20"/>
              </w:rPr>
              <w:t>-</w:t>
            </w:r>
          </w:p>
        </w:tc>
        <w:tc>
          <w:tcPr>
            <w:tcW w:w="287" w:type="pct"/>
            <w:tcBorders>
              <w:bottom w:val="single" w:sz="4" w:space="0" w:color="auto"/>
            </w:tcBorders>
            <w:vAlign w:val="bottom"/>
          </w:tcPr>
          <w:p w14:paraId="0BF35DCF" w14:textId="77777777" w:rsidR="004B1A77" w:rsidRDefault="004B1A77" w:rsidP="00795948">
            <w:pPr>
              <w:pStyle w:val="Tabelltekst"/>
              <w:jc w:val="center"/>
              <w:rPr>
                <w:color w:val="auto"/>
                <w:sz w:val="20"/>
              </w:rPr>
            </w:pPr>
            <w:r>
              <w:rPr>
                <w:color w:val="auto"/>
                <w:sz w:val="20"/>
              </w:rPr>
              <w:t>-</w:t>
            </w:r>
          </w:p>
        </w:tc>
        <w:tc>
          <w:tcPr>
            <w:tcW w:w="404" w:type="pct"/>
            <w:tcBorders>
              <w:bottom w:val="single" w:sz="4" w:space="0" w:color="auto"/>
            </w:tcBorders>
            <w:vAlign w:val="bottom"/>
          </w:tcPr>
          <w:p w14:paraId="1262978F" w14:textId="77777777" w:rsidR="004B1A77" w:rsidRDefault="004B1A77" w:rsidP="00795948">
            <w:pPr>
              <w:pStyle w:val="Tabelltekst"/>
              <w:jc w:val="center"/>
              <w:rPr>
                <w:color w:val="auto"/>
                <w:sz w:val="20"/>
              </w:rPr>
            </w:pPr>
            <w:r>
              <w:rPr>
                <w:color w:val="auto"/>
                <w:sz w:val="20"/>
              </w:rPr>
              <w:t>-</w:t>
            </w:r>
          </w:p>
        </w:tc>
        <w:tc>
          <w:tcPr>
            <w:tcW w:w="368" w:type="pct"/>
            <w:tcBorders>
              <w:bottom w:val="single" w:sz="4" w:space="0" w:color="auto"/>
            </w:tcBorders>
            <w:vAlign w:val="bottom"/>
          </w:tcPr>
          <w:p w14:paraId="6B5CF5C1" w14:textId="77777777" w:rsidR="004B1A77" w:rsidRDefault="00BD7489" w:rsidP="00795948">
            <w:pPr>
              <w:pStyle w:val="Tabelltekst"/>
              <w:jc w:val="center"/>
              <w:rPr>
                <w:color w:val="auto"/>
                <w:sz w:val="20"/>
              </w:rPr>
            </w:pPr>
            <w:r>
              <w:rPr>
                <w:color w:val="auto"/>
                <w:sz w:val="20"/>
              </w:rPr>
              <w:t>457 700</w:t>
            </w:r>
          </w:p>
        </w:tc>
        <w:tc>
          <w:tcPr>
            <w:tcW w:w="304" w:type="pct"/>
            <w:gridSpan w:val="2"/>
            <w:tcBorders>
              <w:bottom w:val="single" w:sz="4" w:space="0" w:color="auto"/>
            </w:tcBorders>
            <w:vAlign w:val="bottom"/>
          </w:tcPr>
          <w:p w14:paraId="684CDEC7" w14:textId="77777777" w:rsidR="004B1A77" w:rsidRDefault="00BD7489" w:rsidP="00795948">
            <w:pPr>
              <w:pStyle w:val="Tabelltekst"/>
              <w:jc w:val="center"/>
              <w:rPr>
                <w:color w:val="auto"/>
                <w:sz w:val="20"/>
              </w:rPr>
            </w:pPr>
            <w:r>
              <w:rPr>
                <w:color w:val="auto"/>
                <w:sz w:val="20"/>
              </w:rPr>
              <w:t>659 300</w:t>
            </w:r>
          </w:p>
        </w:tc>
        <w:tc>
          <w:tcPr>
            <w:tcW w:w="346" w:type="pct"/>
            <w:tcBorders>
              <w:bottom w:val="single" w:sz="4" w:space="0" w:color="auto"/>
            </w:tcBorders>
            <w:vAlign w:val="bottom"/>
          </w:tcPr>
          <w:p w14:paraId="680B6742" w14:textId="77777777" w:rsidR="004B1A77" w:rsidRPr="00253A7B" w:rsidRDefault="004B1A77" w:rsidP="00795948">
            <w:pPr>
              <w:pStyle w:val="Tabelltekst"/>
              <w:jc w:val="center"/>
              <w:rPr>
                <w:i/>
                <w:color w:val="auto"/>
                <w:sz w:val="20"/>
              </w:rPr>
            </w:pPr>
            <w:r w:rsidRPr="00253A7B">
              <w:rPr>
                <w:i/>
                <w:color w:val="auto"/>
                <w:sz w:val="20"/>
              </w:rPr>
              <w:t>-</w:t>
            </w:r>
          </w:p>
        </w:tc>
        <w:tc>
          <w:tcPr>
            <w:tcW w:w="475" w:type="pct"/>
            <w:tcBorders>
              <w:bottom w:val="single" w:sz="4" w:space="0" w:color="auto"/>
            </w:tcBorders>
            <w:vAlign w:val="bottom"/>
          </w:tcPr>
          <w:p w14:paraId="18854F8E" w14:textId="77777777" w:rsidR="004B1A77" w:rsidRDefault="004B1A77" w:rsidP="00795948">
            <w:pPr>
              <w:pStyle w:val="Tabelltekst"/>
              <w:jc w:val="center"/>
              <w:rPr>
                <w:color w:val="auto"/>
                <w:sz w:val="20"/>
              </w:rPr>
            </w:pPr>
            <w:r w:rsidRPr="00D37B55">
              <w:rPr>
                <w:color w:val="auto"/>
                <w:sz w:val="20"/>
              </w:rPr>
              <w:t>-</w:t>
            </w:r>
          </w:p>
        </w:tc>
        <w:tc>
          <w:tcPr>
            <w:tcW w:w="498" w:type="pct"/>
            <w:tcBorders>
              <w:bottom w:val="single" w:sz="4" w:space="0" w:color="auto"/>
            </w:tcBorders>
            <w:vAlign w:val="bottom"/>
          </w:tcPr>
          <w:p w14:paraId="4D49C8BC" w14:textId="77777777" w:rsidR="004B1A77" w:rsidRDefault="004B1A77" w:rsidP="00795948">
            <w:pPr>
              <w:pStyle w:val="Tabelltekst"/>
              <w:jc w:val="center"/>
              <w:rPr>
                <w:color w:val="auto"/>
                <w:sz w:val="20"/>
              </w:rPr>
            </w:pPr>
            <w:r w:rsidRPr="00D37B55">
              <w:rPr>
                <w:color w:val="auto"/>
                <w:sz w:val="20"/>
              </w:rPr>
              <w:t>-</w:t>
            </w:r>
          </w:p>
        </w:tc>
        <w:tc>
          <w:tcPr>
            <w:tcW w:w="442" w:type="pct"/>
            <w:tcBorders>
              <w:bottom w:val="single" w:sz="4" w:space="0" w:color="auto"/>
            </w:tcBorders>
            <w:vAlign w:val="bottom"/>
          </w:tcPr>
          <w:p w14:paraId="22A6BF72" w14:textId="77777777" w:rsidR="004B1A77" w:rsidRDefault="004B1A77" w:rsidP="00795948">
            <w:pPr>
              <w:pStyle w:val="Tabelltekst"/>
              <w:jc w:val="center"/>
              <w:rPr>
                <w:color w:val="auto"/>
                <w:sz w:val="20"/>
              </w:rPr>
            </w:pPr>
            <w:r w:rsidRPr="00D37B55">
              <w:rPr>
                <w:color w:val="auto"/>
                <w:sz w:val="20"/>
              </w:rPr>
              <w:t>-</w:t>
            </w:r>
          </w:p>
        </w:tc>
        <w:tc>
          <w:tcPr>
            <w:tcW w:w="327" w:type="pct"/>
            <w:gridSpan w:val="2"/>
            <w:tcBorders>
              <w:bottom w:val="single" w:sz="4" w:space="0" w:color="auto"/>
            </w:tcBorders>
            <w:vAlign w:val="bottom"/>
          </w:tcPr>
          <w:p w14:paraId="720B4882" w14:textId="77777777" w:rsidR="004B1A77" w:rsidRDefault="004B1A77" w:rsidP="00795948">
            <w:pPr>
              <w:spacing w:after="0"/>
              <w:jc w:val="center"/>
              <w:rPr>
                <w:rFonts w:ascii="Times New Roman" w:hAnsi="Times New Roman"/>
                <w:sz w:val="20"/>
              </w:rPr>
            </w:pPr>
            <w:r w:rsidRPr="00372E8C">
              <w:rPr>
                <w:rFonts w:ascii="Times New Roman" w:hAnsi="Times New Roman"/>
                <w:sz w:val="20"/>
              </w:rPr>
              <w:t>-</w:t>
            </w:r>
          </w:p>
        </w:tc>
        <w:tc>
          <w:tcPr>
            <w:tcW w:w="155" w:type="pct"/>
            <w:tcBorders>
              <w:bottom w:val="single" w:sz="4" w:space="0" w:color="auto"/>
            </w:tcBorders>
            <w:vAlign w:val="bottom"/>
          </w:tcPr>
          <w:p w14:paraId="35E9AA19" w14:textId="77777777" w:rsidR="004B1A77" w:rsidRDefault="004B1A77" w:rsidP="00795948">
            <w:pPr>
              <w:pStyle w:val="Tabelltekst"/>
              <w:jc w:val="center"/>
              <w:rPr>
                <w:color w:val="auto"/>
                <w:sz w:val="20"/>
              </w:rPr>
            </w:pPr>
          </w:p>
        </w:tc>
        <w:tc>
          <w:tcPr>
            <w:tcW w:w="373" w:type="pct"/>
            <w:tcBorders>
              <w:bottom w:val="single" w:sz="4" w:space="0" w:color="auto"/>
            </w:tcBorders>
            <w:vAlign w:val="bottom"/>
          </w:tcPr>
          <w:p w14:paraId="602F591F" w14:textId="77777777" w:rsidR="004B1A77" w:rsidRDefault="004B1A77" w:rsidP="00795948">
            <w:pPr>
              <w:pStyle w:val="Tabelltekst"/>
              <w:jc w:val="center"/>
              <w:rPr>
                <w:color w:val="auto"/>
                <w:sz w:val="20"/>
              </w:rPr>
            </w:pPr>
            <w:r w:rsidRPr="00D37B55">
              <w:rPr>
                <w:color w:val="auto"/>
                <w:sz w:val="20"/>
              </w:rPr>
              <w:t>-</w:t>
            </w:r>
          </w:p>
        </w:tc>
        <w:tc>
          <w:tcPr>
            <w:tcW w:w="292" w:type="pct"/>
            <w:gridSpan w:val="2"/>
            <w:tcBorders>
              <w:bottom w:val="single" w:sz="4" w:space="0" w:color="auto"/>
            </w:tcBorders>
            <w:vAlign w:val="bottom"/>
          </w:tcPr>
          <w:p w14:paraId="137AE483" w14:textId="77777777" w:rsidR="004B1A77" w:rsidRDefault="004B1A77" w:rsidP="00795948">
            <w:pPr>
              <w:pStyle w:val="Tabelltekst"/>
              <w:jc w:val="center"/>
              <w:rPr>
                <w:color w:val="auto"/>
                <w:sz w:val="20"/>
              </w:rPr>
            </w:pPr>
            <w:r w:rsidRPr="00D37B55">
              <w:rPr>
                <w:color w:val="auto"/>
                <w:sz w:val="20"/>
              </w:rPr>
              <w:t>-</w:t>
            </w:r>
          </w:p>
        </w:tc>
      </w:tr>
      <w:tr w:rsidR="00253A7B" w:rsidRPr="00B8208E" w14:paraId="0E1659AF" w14:textId="77777777" w:rsidTr="00266CEC">
        <w:trPr>
          <w:cantSplit/>
          <w:trHeight w:val="454"/>
          <w:jc w:val="right"/>
        </w:trPr>
        <w:tc>
          <w:tcPr>
            <w:tcW w:w="407" w:type="pct"/>
            <w:tcBorders>
              <w:top w:val="single" w:sz="4" w:space="0" w:color="auto"/>
              <w:bottom w:val="single" w:sz="4" w:space="0" w:color="auto"/>
            </w:tcBorders>
            <w:vAlign w:val="bottom"/>
          </w:tcPr>
          <w:p w14:paraId="677EDD57" w14:textId="77777777" w:rsidR="004B1A77" w:rsidRPr="00B8208E" w:rsidRDefault="004B1A77" w:rsidP="00E34106">
            <w:pPr>
              <w:pStyle w:val="Tabelltekst"/>
              <w:rPr>
                <w:sz w:val="20"/>
              </w:rPr>
            </w:pPr>
            <w:r w:rsidRPr="00B8208E">
              <w:rPr>
                <w:sz w:val="20"/>
              </w:rPr>
              <w:t xml:space="preserve">Antall årsverk </w:t>
            </w:r>
            <w:r w:rsidR="00E34106" w:rsidRPr="00B8208E">
              <w:rPr>
                <w:sz w:val="20"/>
              </w:rPr>
              <w:t>201</w:t>
            </w:r>
            <w:r w:rsidR="00E34106">
              <w:rPr>
                <w:sz w:val="20"/>
              </w:rPr>
              <w:t>4</w:t>
            </w:r>
          </w:p>
        </w:tc>
        <w:tc>
          <w:tcPr>
            <w:tcW w:w="324" w:type="pct"/>
            <w:tcBorders>
              <w:top w:val="single" w:sz="4" w:space="0" w:color="auto"/>
              <w:bottom w:val="single" w:sz="4" w:space="0" w:color="auto"/>
            </w:tcBorders>
            <w:vAlign w:val="bottom"/>
          </w:tcPr>
          <w:p w14:paraId="08FE4C84" w14:textId="77777777" w:rsidR="004B1A77" w:rsidRDefault="005314CC" w:rsidP="00795948">
            <w:pPr>
              <w:pStyle w:val="Tabelltekst"/>
              <w:rPr>
                <w:rFonts w:ascii="Times" w:eastAsia="Batang" w:hAnsi="Times"/>
                <w:sz w:val="20"/>
              </w:rPr>
            </w:pPr>
            <w:r>
              <w:rPr>
                <w:color w:val="auto"/>
                <w:sz w:val="20"/>
              </w:rPr>
              <w:t>172 000</w:t>
            </w:r>
          </w:p>
        </w:tc>
        <w:tc>
          <w:tcPr>
            <w:tcW w:w="287" w:type="pct"/>
            <w:tcBorders>
              <w:top w:val="single" w:sz="4" w:space="0" w:color="auto"/>
              <w:bottom w:val="single" w:sz="4" w:space="0" w:color="auto"/>
            </w:tcBorders>
            <w:vAlign w:val="bottom"/>
          </w:tcPr>
          <w:p w14:paraId="1ECA2BBD" w14:textId="77777777" w:rsidR="004B1A77" w:rsidRPr="00B20A65" w:rsidRDefault="005314CC" w:rsidP="005314CC">
            <w:pPr>
              <w:pStyle w:val="Tabelltekst"/>
              <w:rPr>
                <w:rFonts w:ascii="Times" w:eastAsia="Batang" w:hAnsi="Times"/>
                <w:color w:val="auto"/>
                <w:sz w:val="20"/>
              </w:rPr>
            </w:pPr>
            <w:r w:rsidRPr="00B20A65">
              <w:rPr>
                <w:color w:val="auto"/>
                <w:sz w:val="20"/>
                <w:lang w:eastAsia="en-US"/>
              </w:rPr>
              <w:t xml:space="preserve"> 91 500</w:t>
            </w:r>
          </w:p>
        </w:tc>
        <w:tc>
          <w:tcPr>
            <w:tcW w:w="404" w:type="pct"/>
            <w:tcBorders>
              <w:top w:val="single" w:sz="4" w:space="0" w:color="auto"/>
              <w:bottom w:val="single" w:sz="4" w:space="0" w:color="auto"/>
            </w:tcBorders>
            <w:vAlign w:val="bottom"/>
          </w:tcPr>
          <w:p w14:paraId="4CFCA596" w14:textId="77777777" w:rsidR="004B1A77" w:rsidRPr="00B20A65" w:rsidRDefault="005314CC" w:rsidP="005314CC">
            <w:pPr>
              <w:pStyle w:val="Tabelltekst"/>
              <w:rPr>
                <w:rFonts w:ascii="Times" w:eastAsia="Batang" w:hAnsi="Times"/>
                <w:color w:val="auto"/>
                <w:sz w:val="20"/>
              </w:rPr>
            </w:pPr>
            <w:r w:rsidRPr="00B20A65">
              <w:rPr>
                <w:color w:val="auto"/>
                <w:lang w:eastAsia="en-US"/>
              </w:rPr>
              <w:t xml:space="preserve"> </w:t>
            </w:r>
            <w:r w:rsidRPr="00B20A65">
              <w:rPr>
                <w:color w:val="auto"/>
                <w:sz w:val="20"/>
                <w:lang w:eastAsia="en-US"/>
              </w:rPr>
              <w:t>80 500</w:t>
            </w:r>
          </w:p>
        </w:tc>
        <w:tc>
          <w:tcPr>
            <w:tcW w:w="368" w:type="pct"/>
            <w:tcBorders>
              <w:top w:val="single" w:sz="4" w:space="0" w:color="auto"/>
              <w:bottom w:val="single" w:sz="4" w:space="0" w:color="auto"/>
            </w:tcBorders>
            <w:vAlign w:val="bottom"/>
          </w:tcPr>
          <w:p w14:paraId="1369409D" w14:textId="77777777" w:rsidR="004B1A77" w:rsidRDefault="004B1A77" w:rsidP="00795948">
            <w:pPr>
              <w:pStyle w:val="Tabelltekst"/>
              <w:jc w:val="center"/>
              <w:rPr>
                <w:color w:val="auto"/>
                <w:sz w:val="20"/>
              </w:rPr>
            </w:pPr>
            <w:r w:rsidRPr="00D37B55">
              <w:rPr>
                <w:color w:val="auto"/>
                <w:sz w:val="20"/>
              </w:rPr>
              <w:t>84</w:t>
            </w:r>
            <w:r>
              <w:rPr>
                <w:color w:val="auto"/>
                <w:sz w:val="20"/>
              </w:rPr>
              <w:t> </w:t>
            </w:r>
            <w:r w:rsidRPr="00D37B55">
              <w:rPr>
                <w:color w:val="auto"/>
                <w:sz w:val="20"/>
              </w:rPr>
              <w:t>000</w:t>
            </w:r>
            <w:r>
              <w:rPr>
                <w:color w:val="auto"/>
                <w:sz w:val="20"/>
                <w:vertAlign w:val="superscript"/>
              </w:rPr>
              <w:t>10</w:t>
            </w:r>
          </w:p>
        </w:tc>
        <w:tc>
          <w:tcPr>
            <w:tcW w:w="304" w:type="pct"/>
            <w:gridSpan w:val="2"/>
            <w:tcBorders>
              <w:top w:val="single" w:sz="4" w:space="0" w:color="auto"/>
              <w:bottom w:val="single" w:sz="4" w:space="0" w:color="auto"/>
            </w:tcBorders>
            <w:vAlign w:val="bottom"/>
          </w:tcPr>
          <w:p w14:paraId="47E087B3" w14:textId="77777777" w:rsidR="004B1A77" w:rsidRDefault="00AE6161" w:rsidP="00795948">
            <w:pPr>
              <w:pStyle w:val="Tabelltekst"/>
              <w:jc w:val="center"/>
              <w:rPr>
                <w:color w:val="auto"/>
                <w:sz w:val="20"/>
              </w:rPr>
            </w:pPr>
            <w:r>
              <w:rPr>
                <w:color w:val="auto"/>
                <w:sz w:val="20"/>
              </w:rPr>
              <w:t>30 700</w:t>
            </w:r>
            <w:r w:rsidR="004B1A77">
              <w:rPr>
                <w:color w:val="auto"/>
                <w:sz w:val="20"/>
                <w:vertAlign w:val="superscript"/>
              </w:rPr>
              <w:t>10</w:t>
            </w:r>
          </w:p>
        </w:tc>
        <w:tc>
          <w:tcPr>
            <w:tcW w:w="346" w:type="pct"/>
            <w:tcBorders>
              <w:top w:val="single" w:sz="4" w:space="0" w:color="auto"/>
              <w:bottom w:val="single" w:sz="4" w:space="0" w:color="auto"/>
            </w:tcBorders>
            <w:vAlign w:val="bottom"/>
          </w:tcPr>
          <w:p w14:paraId="0BC2AE81" w14:textId="77777777" w:rsidR="004B1A77" w:rsidRPr="00D37B55" w:rsidRDefault="002478C5" w:rsidP="00795948">
            <w:pPr>
              <w:pStyle w:val="Tabelltekst"/>
              <w:jc w:val="center"/>
              <w:rPr>
                <w:color w:val="auto"/>
                <w:sz w:val="20"/>
              </w:rPr>
            </w:pPr>
            <w:r>
              <w:rPr>
                <w:color w:val="auto"/>
                <w:sz w:val="20"/>
              </w:rPr>
              <w:t>615 200</w:t>
            </w:r>
          </w:p>
        </w:tc>
        <w:tc>
          <w:tcPr>
            <w:tcW w:w="475" w:type="pct"/>
            <w:tcBorders>
              <w:top w:val="single" w:sz="4" w:space="0" w:color="auto"/>
              <w:bottom w:val="single" w:sz="4" w:space="0" w:color="auto"/>
            </w:tcBorders>
            <w:vAlign w:val="bottom"/>
          </w:tcPr>
          <w:p w14:paraId="46AD417C" w14:textId="77777777" w:rsidR="004B1A77" w:rsidRDefault="008B3F81" w:rsidP="00795948">
            <w:pPr>
              <w:pStyle w:val="Tabelltekst"/>
              <w:jc w:val="center"/>
              <w:rPr>
                <w:color w:val="auto"/>
                <w:sz w:val="20"/>
              </w:rPr>
            </w:pPr>
            <w:r>
              <w:rPr>
                <w:color w:val="auto"/>
                <w:sz w:val="20"/>
              </w:rPr>
              <w:t>142 200</w:t>
            </w:r>
          </w:p>
        </w:tc>
        <w:tc>
          <w:tcPr>
            <w:tcW w:w="498" w:type="pct"/>
            <w:tcBorders>
              <w:top w:val="single" w:sz="4" w:space="0" w:color="auto"/>
              <w:bottom w:val="single" w:sz="4" w:space="0" w:color="auto"/>
            </w:tcBorders>
            <w:vAlign w:val="bottom"/>
          </w:tcPr>
          <w:p w14:paraId="7FB61BD8" w14:textId="77777777" w:rsidR="004B1A77" w:rsidRDefault="00BD7489" w:rsidP="00BD7489">
            <w:pPr>
              <w:pStyle w:val="Tabelltekst"/>
              <w:jc w:val="center"/>
              <w:rPr>
                <w:color w:val="auto"/>
                <w:sz w:val="20"/>
              </w:rPr>
            </w:pPr>
            <w:r>
              <w:rPr>
                <w:color w:val="auto"/>
                <w:sz w:val="20"/>
              </w:rPr>
              <w:t xml:space="preserve">374 </w:t>
            </w:r>
            <w:r w:rsidR="004B1A77">
              <w:rPr>
                <w:color w:val="auto"/>
                <w:sz w:val="20"/>
              </w:rPr>
              <w:t>300</w:t>
            </w:r>
          </w:p>
        </w:tc>
        <w:tc>
          <w:tcPr>
            <w:tcW w:w="442" w:type="pct"/>
            <w:tcBorders>
              <w:top w:val="single" w:sz="4" w:space="0" w:color="auto"/>
              <w:bottom w:val="single" w:sz="4" w:space="0" w:color="auto"/>
            </w:tcBorders>
            <w:vAlign w:val="bottom"/>
          </w:tcPr>
          <w:p w14:paraId="08571998" w14:textId="77777777" w:rsidR="004B1A77" w:rsidRDefault="00BD7489" w:rsidP="00795948">
            <w:pPr>
              <w:pStyle w:val="Tabelltekst"/>
              <w:jc w:val="center"/>
              <w:rPr>
                <w:color w:val="auto"/>
                <w:sz w:val="20"/>
              </w:rPr>
            </w:pPr>
            <w:r>
              <w:rPr>
                <w:color w:val="auto"/>
                <w:sz w:val="20"/>
              </w:rPr>
              <w:t>88 800</w:t>
            </w:r>
          </w:p>
        </w:tc>
        <w:tc>
          <w:tcPr>
            <w:tcW w:w="327" w:type="pct"/>
            <w:gridSpan w:val="2"/>
            <w:tcBorders>
              <w:top w:val="single" w:sz="4" w:space="0" w:color="auto"/>
              <w:bottom w:val="single" w:sz="4" w:space="0" w:color="auto"/>
            </w:tcBorders>
            <w:vAlign w:val="bottom"/>
          </w:tcPr>
          <w:p w14:paraId="107D93E5" w14:textId="77777777" w:rsidR="004B1A77" w:rsidRDefault="00BD7489" w:rsidP="00795948">
            <w:pPr>
              <w:pStyle w:val="Tabelltekst"/>
              <w:jc w:val="center"/>
              <w:rPr>
                <w:color w:val="auto"/>
                <w:sz w:val="20"/>
              </w:rPr>
            </w:pPr>
            <w:r>
              <w:rPr>
                <w:color w:val="auto"/>
                <w:sz w:val="20"/>
              </w:rPr>
              <w:t>285 500</w:t>
            </w:r>
          </w:p>
        </w:tc>
        <w:tc>
          <w:tcPr>
            <w:tcW w:w="155" w:type="pct"/>
            <w:tcBorders>
              <w:top w:val="single" w:sz="4" w:space="0" w:color="auto"/>
              <w:bottom w:val="single" w:sz="4" w:space="0" w:color="auto"/>
            </w:tcBorders>
            <w:vAlign w:val="bottom"/>
          </w:tcPr>
          <w:p w14:paraId="3C9F6A18" w14:textId="77777777" w:rsidR="004B1A77" w:rsidRDefault="004B1A77" w:rsidP="00795948">
            <w:pPr>
              <w:pStyle w:val="Tabelltekst"/>
              <w:jc w:val="center"/>
              <w:rPr>
                <w:color w:val="auto"/>
                <w:sz w:val="20"/>
              </w:rPr>
            </w:pPr>
          </w:p>
        </w:tc>
        <w:tc>
          <w:tcPr>
            <w:tcW w:w="373" w:type="pct"/>
            <w:tcBorders>
              <w:top w:val="single" w:sz="4" w:space="0" w:color="auto"/>
              <w:bottom w:val="single" w:sz="4" w:space="0" w:color="auto"/>
            </w:tcBorders>
            <w:vAlign w:val="bottom"/>
          </w:tcPr>
          <w:p w14:paraId="4AB5F382" w14:textId="77777777" w:rsidR="004B1A77" w:rsidRDefault="00710CEA" w:rsidP="00795948">
            <w:pPr>
              <w:pStyle w:val="Tabelltekst"/>
              <w:jc w:val="center"/>
              <w:rPr>
                <w:color w:val="auto"/>
                <w:sz w:val="20"/>
              </w:rPr>
            </w:pPr>
            <w:r>
              <w:rPr>
                <w:color w:val="auto"/>
                <w:sz w:val="20"/>
              </w:rPr>
              <w:t>98 700</w:t>
            </w:r>
          </w:p>
        </w:tc>
        <w:tc>
          <w:tcPr>
            <w:tcW w:w="292" w:type="pct"/>
            <w:gridSpan w:val="2"/>
            <w:tcBorders>
              <w:top w:val="single" w:sz="4" w:space="0" w:color="auto"/>
              <w:bottom w:val="single" w:sz="4" w:space="0" w:color="auto"/>
            </w:tcBorders>
            <w:vAlign w:val="bottom"/>
          </w:tcPr>
          <w:p w14:paraId="414BA56F" w14:textId="77777777" w:rsidR="004B1A77" w:rsidRDefault="00710CEA" w:rsidP="00795948">
            <w:pPr>
              <w:pStyle w:val="Tabelltekst"/>
              <w:jc w:val="center"/>
              <w:rPr>
                <w:color w:val="auto"/>
                <w:sz w:val="20"/>
              </w:rPr>
            </w:pPr>
            <w:r>
              <w:rPr>
                <w:color w:val="auto"/>
                <w:sz w:val="20"/>
              </w:rPr>
              <w:t>46 500</w:t>
            </w:r>
          </w:p>
        </w:tc>
      </w:tr>
    </w:tbl>
    <w:p w14:paraId="0A7B578F" w14:textId="77777777" w:rsidR="0053512B" w:rsidRPr="00D34941" w:rsidRDefault="0053512B" w:rsidP="006E305B">
      <w:pPr>
        <w:pStyle w:val="tabell-noter"/>
        <w:numPr>
          <w:ilvl w:val="0"/>
          <w:numId w:val="35"/>
        </w:numPr>
        <w:spacing w:before="0" w:after="0"/>
        <w:ind w:hanging="436"/>
      </w:pPr>
      <w:r w:rsidRPr="00D34941">
        <w:rPr>
          <w:sz w:val="18"/>
          <w:szCs w:val="18"/>
        </w:rPr>
        <w:t>Lønnsveksttallene er for heltidsansatte.</w:t>
      </w:r>
    </w:p>
    <w:p w14:paraId="38DAB947" w14:textId="77777777" w:rsidR="0053512B" w:rsidRPr="0029660F" w:rsidRDefault="0053512B" w:rsidP="006E305B">
      <w:pPr>
        <w:pStyle w:val="tabell-noter"/>
        <w:numPr>
          <w:ilvl w:val="0"/>
          <w:numId w:val="35"/>
        </w:numPr>
        <w:spacing w:before="0" w:after="0"/>
        <w:ind w:hanging="436"/>
      </w:pPr>
      <w:r w:rsidRPr="00D34941">
        <w:rPr>
          <w:sz w:val="18"/>
          <w:szCs w:val="18"/>
        </w:rPr>
        <w:t>Forretnings- og sparebanker og forsikringsvirksomhet som omfatter noen flere grupper enn forhandlingsområdet bank og forsikring. Lønnsveksttallene er for heltidsansatte. Bortsett fra i 2009, 2012 og 2014 trakk bonusutbetalinger opp lønnsveksten i perioden 2005-201</w:t>
      </w:r>
      <w:r w:rsidR="004257AC">
        <w:rPr>
          <w:sz w:val="18"/>
          <w:szCs w:val="18"/>
        </w:rPr>
        <w:t>4</w:t>
      </w:r>
      <w:r w:rsidRPr="00D34941">
        <w:rPr>
          <w:sz w:val="18"/>
          <w:szCs w:val="18"/>
        </w:rPr>
        <w:t>.</w:t>
      </w:r>
    </w:p>
    <w:p w14:paraId="3A02B8B4" w14:textId="77777777" w:rsidR="0053512B" w:rsidRPr="00DE6971" w:rsidRDefault="0053512B" w:rsidP="006E305B">
      <w:pPr>
        <w:pStyle w:val="tabell-noter"/>
        <w:numPr>
          <w:ilvl w:val="0"/>
          <w:numId w:val="35"/>
        </w:numPr>
        <w:spacing w:before="0" w:after="0"/>
        <w:ind w:hanging="436"/>
      </w:pPr>
      <w:r w:rsidRPr="0029660F">
        <w:rPr>
          <w:sz w:val="18"/>
          <w:szCs w:val="18"/>
        </w:rPr>
        <w:t>Et vektet gjennomsnitt av veksttallene for statsansatte, kommuneansatte og ansatte i helseforetakene. Antall årsverk i hver gruppe er brukt som vekter.</w:t>
      </w:r>
    </w:p>
    <w:p w14:paraId="1574980D" w14:textId="77777777" w:rsidR="0053512B" w:rsidRPr="00DE6971" w:rsidRDefault="0053512B" w:rsidP="006E305B">
      <w:pPr>
        <w:pStyle w:val="tabell-noter"/>
        <w:numPr>
          <w:ilvl w:val="0"/>
          <w:numId w:val="35"/>
        </w:numPr>
        <w:spacing w:before="0" w:after="0"/>
        <w:ind w:hanging="436"/>
        <w:rPr>
          <w:sz w:val="18"/>
          <w:szCs w:val="18"/>
        </w:rPr>
      </w:pPr>
      <w:r w:rsidRPr="00DE6971">
        <w:rPr>
          <w:sz w:val="18"/>
          <w:szCs w:val="18"/>
        </w:rPr>
        <w:t xml:space="preserve">Eksklusiv de statlig eide helseforetakene. </w:t>
      </w:r>
      <w:r w:rsidRPr="00202062">
        <w:rPr>
          <w:sz w:val="18"/>
          <w:szCs w:val="18"/>
        </w:rPr>
        <w:t xml:space="preserve">For 2013 </w:t>
      </w:r>
      <w:r>
        <w:rPr>
          <w:sz w:val="18"/>
          <w:szCs w:val="18"/>
        </w:rPr>
        <w:t xml:space="preserve">og 2014 </w:t>
      </w:r>
      <w:r w:rsidRPr="00202062">
        <w:rPr>
          <w:sz w:val="18"/>
          <w:szCs w:val="18"/>
        </w:rPr>
        <w:t xml:space="preserve">er det for staten foretatt korrigeringer i lønnsdataene for forsvaret i forhold til publiserte lønnsdata fra </w:t>
      </w:r>
      <w:r w:rsidR="00D35CC5">
        <w:rPr>
          <w:sz w:val="18"/>
          <w:szCs w:val="18"/>
        </w:rPr>
        <w:t>Statistisk sentralbyrå</w:t>
      </w:r>
      <w:r w:rsidRPr="00202062">
        <w:rPr>
          <w:sz w:val="18"/>
          <w:szCs w:val="18"/>
        </w:rPr>
        <w:t>.</w:t>
      </w:r>
      <w:r>
        <w:rPr>
          <w:sz w:val="18"/>
          <w:szCs w:val="18"/>
        </w:rPr>
        <w:t xml:space="preserve"> </w:t>
      </w:r>
      <w:r w:rsidRPr="00DE6971">
        <w:rPr>
          <w:sz w:val="18"/>
          <w:szCs w:val="18"/>
        </w:rPr>
        <w:t xml:space="preserve"> </w:t>
      </w:r>
    </w:p>
    <w:p w14:paraId="34F9E937" w14:textId="77777777" w:rsidR="0053512B" w:rsidRPr="00E26C86" w:rsidRDefault="0053512B" w:rsidP="006E305B">
      <w:pPr>
        <w:pStyle w:val="tabell-noter"/>
        <w:numPr>
          <w:ilvl w:val="0"/>
          <w:numId w:val="35"/>
        </w:numPr>
        <w:spacing w:before="0" w:after="0"/>
        <w:ind w:left="709" w:hanging="425"/>
        <w:rPr>
          <w:rFonts w:ascii="Times New Roman" w:hAnsi="Times New Roman" w:cs="Times New Roman"/>
          <w:sz w:val="18"/>
          <w:szCs w:val="18"/>
        </w:rPr>
      </w:pPr>
      <w:r w:rsidRPr="00E26C86">
        <w:rPr>
          <w:sz w:val="18"/>
          <w:szCs w:val="18"/>
        </w:rPr>
        <w:t xml:space="preserve">Omfatter ansatte i kommunene, fylkeskommunene og andre virksomheter som er medlemmer i KS, herunder bedriftsmedlemmer. Tallene omfatter også stillinger med hovedsakelig lokal lønnsdannelse og undervisningsstillinger med hovedsakelig sentral lønnsdannelse. Etter 2005 er Oslo kommune inkludert. </w:t>
      </w:r>
    </w:p>
    <w:p w14:paraId="7274A92F" w14:textId="77777777" w:rsidR="0053512B" w:rsidRDefault="0053512B" w:rsidP="006E305B">
      <w:pPr>
        <w:pStyle w:val="tabell-noter"/>
        <w:numPr>
          <w:ilvl w:val="0"/>
          <w:numId w:val="35"/>
        </w:numPr>
        <w:spacing w:before="0" w:after="0"/>
        <w:ind w:left="709" w:hanging="425"/>
        <w:rPr>
          <w:rFonts w:ascii="Times New Roman" w:hAnsi="Times New Roman"/>
          <w:sz w:val="18"/>
          <w:szCs w:val="18"/>
        </w:rPr>
      </w:pPr>
      <w:r w:rsidRPr="00E26C86">
        <w:rPr>
          <w:sz w:val="18"/>
          <w:szCs w:val="18"/>
        </w:rPr>
        <w:t>Undervisningspersonell ble en del av det kommunale tariffområdet fra 1. mai 2004, mens det tidligere var en del av det statlige tariffområdet. I 2004 og 2005 omfattet tallene undervisningsstillinger med hovedsakelig sentral lønnsdannelse og ekskl. Oslo kommune. Fra 2006 er Oslo kommune inkludert</w:t>
      </w:r>
      <w:r w:rsidRPr="00E26C86">
        <w:rPr>
          <w:rFonts w:ascii="Times New Roman" w:hAnsi="Times New Roman" w:cs="Times New Roman"/>
          <w:sz w:val="18"/>
          <w:szCs w:val="18"/>
        </w:rPr>
        <w:t xml:space="preserve">. </w:t>
      </w:r>
    </w:p>
    <w:p w14:paraId="008B77D9" w14:textId="77777777" w:rsidR="0053512B" w:rsidRPr="00B42FC6" w:rsidRDefault="0053512B" w:rsidP="006E305B">
      <w:pPr>
        <w:pStyle w:val="tabell-noter"/>
        <w:numPr>
          <w:ilvl w:val="0"/>
          <w:numId w:val="35"/>
        </w:numPr>
        <w:spacing w:before="0" w:after="0"/>
        <w:ind w:left="709" w:hanging="425"/>
        <w:rPr>
          <w:rFonts w:ascii="Times New Roman" w:hAnsi="Times New Roman" w:cs="Times New Roman"/>
          <w:sz w:val="18"/>
          <w:szCs w:val="18"/>
        </w:rPr>
      </w:pPr>
      <w:r w:rsidRPr="00B42FC6">
        <w:rPr>
          <w:rFonts w:ascii="Times New Roman" w:hAnsi="Times New Roman" w:cs="Times New Roman"/>
          <w:sz w:val="18"/>
          <w:szCs w:val="18"/>
        </w:rPr>
        <w:t>For ansatte i konflikt i 2014 ble virkningstidspunkter forsk</w:t>
      </w:r>
      <w:r>
        <w:rPr>
          <w:rFonts w:ascii="Times New Roman" w:hAnsi="Times New Roman" w:cs="Times New Roman"/>
          <w:sz w:val="18"/>
          <w:szCs w:val="18"/>
        </w:rPr>
        <w:t>j</w:t>
      </w:r>
      <w:r w:rsidRPr="00B42FC6">
        <w:rPr>
          <w:rFonts w:ascii="Times New Roman" w:hAnsi="Times New Roman" w:cs="Times New Roman"/>
          <w:sz w:val="18"/>
          <w:szCs w:val="18"/>
        </w:rPr>
        <w:t xml:space="preserve">øvet. Dette trakk årslønnsvekstanslaget i 2014 ned med </w:t>
      </w:r>
      <w:r w:rsidR="00E34106">
        <w:rPr>
          <w:rFonts w:ascii="Times New Roman" w:hAnsi="Times New Roman" w:cs="Times New Roman"/>
          <w:sz w:val="18"/>
          <w:szCs w:val="18"/>
        </w:rPr>
        <w:t>0,2</w:t>
      </w:r>
      <w:r w:rsidRPr="00B42FC6">
        <w:rPr>
          <w:rFonts w:ascii="Times New Roman" w:hAnsi="Times New Roman" w:cs="Times New Roman"/>
          <w:sz w:val="18"/>
          <w:szCs w:val="18"/>
        </w:rPr>
        <w:t xml:space="preserve"> prosentpoeng i hele kommunesektoren</w:t>
      </w:r>
      <w:r w:rsidR="00E34106">
        <w:rPr>
          <w:rFonts w:ascii="Times New Roman" w:hAnsi="Times New Roman" w:cs="Times New Roman"/>
          <w:sz w:val="18"/>
          <w:szCs w:val="18"/>
        </w:rPr>
        <w:t xml:space="preserve"> og</w:t>
      </w:r>
      <w:r w:rsidRPr="00B42FC6">
        <w:rPr>
          <w:rFonts w:ascii="Times New Roman" w:hAnsi="Times New Roman" w:cs="Times New Roman"/>
          <w:sz w:val="18"/>
          <w:szCs w:val="18"/>
        </w:rPr>
        <w:t xml:space="preserve"> med </w:t>
      </w:r>
      <w:r w:rsidR="00E34106">
        <w:rPr>
          <w:rFonts w:ascii="Times New Roman" w:hAnsi="Times New Roman" w:cs="Times New Roman"/>
          <w:sz w:val="18"/>
          <w:szCs w:val="18"/>
        </w:rPr>
        <w:t>0,9</w:t>
      </w:r>
      <w:r w:rsidRPr="00B42FC6">
        <w:rPr>
          <w:rFonts w:ascii="Times New Roman" w:hAnsi="Times New Roman" w:cs="Times New Roman"/>
          <w:sz w:val="18"/>
          <w:szCs w:val="18"/>
        </w:rPr>
        <w:t xml:space="preserve"> prosentpoeng for undervisningspersonell</w:t>
      </w:r>
      <w:r w:rsidR="00E34106">
        <w:rPr>
          <w:rFonts w:ascii="Times New Roman" w:hAnsi="Times New Roman" w:cs="Times New Roman"/>
          <w:sz w:val="18"/>
          <w:szCs w:val="18"/>
        </w:rPr>
        <w:t>. F</w:t>
      </w:r>
      <w:r w:rsidRPr="00B42FC6">
        <w:rPr>
          <w:rFonts w:ascii="Times New Roman" w:hAnsi="Times New Roman" w:cs="Times New Roman"/>
          <w:sz w:val="18"/>
          <w:szCs w:val="18"/>
        </w:rPr>
        <w:t>or øvrige ansatte i kommunesektoren</w:t>
      </w:r>
      <w:r w:rsidR="00E34106">
        <w:rPr>
          <w:rFonts w:ascii="Times New Roman" w:hAnsi="Times New Roman" w:cs="Times New Roman"/>
          <w:sz w:val="18"/>
          <w:szCs w:val="18"/>
        </w:rPr>
        <w:t xml:space="preserve"> ble årslønnsveksten ikke påvirket</w:t>
      </w:r>
      <w:r w:rsidRPr="00B42FC6">
        <w:rPr>
          <w:rFonts w:ascii="Times New Roman" w:hAnsi="Times New Roman" w:cs="Times New Roman"/>
          <w:sz w:val="18"/>
          <w:szCs w:val="18"/>
        </w:rPr>
        <w:t>.</w:t>
      </w:r>
    </w:p>
    <w:p w14:paraId="01817868" w14:textId="77777777" w:rsidR="0053512B" w:rsidRPr="006F719B" w:rsidRDefault="0053512B" w:rsidP="006E305B">
      <w:pPr>
        <w:pStyle w:val="tabell-noter"/>
        <w:numPr>
          <w:ilvl w:val="0"/>
          <w:numId w:val="35"/>
        </w:numPr>
        <w:spacing w:after="0"/>
        <w:ind w:left="709" w:hanging="425"/>
        <w:rPr>
          <w:rStyle w:val="StilTimes"/>
          <w:sz w:val="18"/>
          <w:szCs w:val="18"/>
        </w:rPr>
      </w:pPr>
      <w:r w:rsidRPr="00783786">
        <w:rPr>
          <w:rStyle w:val="StilTimes"/>
          <w:sz w:val="18"/>
          <w:szCs w:val="18"/>
        </w:rPr>
        <w:t xml:space="preserve">Beregnet på Spekters tallmateriale </w:t>
      </w:r>
      <w:r>
        <w:rPr>
          <w:rStyle w:val="StilTimes"/>
          <w:sz w:val="18"/>
          <w:szCs w:val="18"/>
        </w:rPr>
        <w:t xml:space="preserve">fram </w:t>
      </w:r>
      <w:r w:rsidRPr="00783786">
        <w:rPr>
          <w:rStyle w:val="StilTimes"/>
          <w:sz w:val="18"/>
          <w:szCs w:val="18"/>
        </w:rPr>
        <w:t xml:space="preserve">til </w:t>
      </w:r>
      <w:r>
        <w:rPr>
          <w:rStyle w:val="StilTimes"/>
          <w:sz w:val="18"/>
          <w:szCs w:val="18"/>
        </w:rPr>
        <w:t xml:space="preserve">og med </w:t>
      </w:r>
      <w:r w:rsidRPr="00783786">
        <w:rPr>
          <w:rStyle w:val="StilTimes"/>
          <w:sz w:val="18"/>
          <w:szCs w:val="18"/>
        </w:rPr>
        <w:t>2009</w:t>
      </w:r>
      <w:r w:rsidR="00F90FD5">
        <w:rPr>
          <w:rStyle w:val="StilTimes"/>
          <w:sz w:val="18"/>
          <w:szCs w:val="18"/>
        </w:rPr>
        <w:t>,</w:t>
      </w:r>
      <w:r>
        <w:rPr>
          <w:rStyle w:val="StilTimes"/>
          <w:sz w:val="18"/>
          <w:szCs w:val="18"/>
        </w:rPr>
        <w:t xml:space="preserve"> og f</w:t>
      </w:r>
      <w:r w:rsidRPr="00783786">
        <w:rPr>
          <w:rStyle w:val="StilTimes"/>
          <w:sz w:val="18"/>
          <w:szCs w:val="18"/>
        </w:rPr>
        <w:t>ra 2010</w:t>
      </w:r>
      <w:r>
        <w:rPr>
          <w:rStyle w:val="StilTimes"/>
          <w:sz w:val="18"/>
          <w:szCs w:val="18"/>
        </w:rPr>
        <w:t xml:space="preserve"> </w:t>
      </w:r>
      <w:r w:rsidRPr="00783786">
        <w:rPr>
          <w:rStyle w:val="StilTimes"/>
          <w:sz w:val="18"/>
          <w:szCs w:val="18"/>
        </w:rPr>
        <w:t xml:space="preserve">beregnet på tallmateriale fra </w:t>
      </w:r>
      <w:r>
        <w:rPr>
          <w:rStyle w:val="StilTimes"/>
          <w:sz w:val="18"/>
          <w:szCs w:val="18"/>
        </w:rPr>
        <w:t>Statistisk sentralbyrå</w:t>
      </w:r>
      <w:r w:rsidRPr="00783786">
        <w:rPr>
          <w:rStyle w:val="StilTimes"/>
          <w:sz w:val="18"/>
          <w:szCs w:val="18"/>
        </w:rPr>
        <w:t>.</w:t>
      </w:r>
    </w:p>
    <w:p w14:paraId="5EF4E694" w14:textId="5F04EA3C" w:rsidR="0053512B" w:rsidRDefault="0053512B" w:rsidP="006E305B">
      <w:pPr>
        <w:pStyle w:val="tabell-noter"/>
        <w:numPr>
          <w:ilvl w:val="0"/>
          <w:numId w:val="35"/>
        </w:numPr>
        <w:spacing w:after="0"/>
        <w:ind w:left="709" w:hanging="425"/>
        <w:rPr>
          <w:sz w:val="18"/>
          <w:szCs w:val="18"/>
        </w:rPr>
      </w:pPr>
      <w:r w:rsidRPr="00002580">
        <w:rPr>
          <w:sz w:val="18"/>
          <w:szCs w:val="18"/>
        </w:rPr>
        <w:t xml:space="preserve">Lønnsveksten fra </w:t>
      </w:r>
      <w:r>
        <w:rPr>
          <w:sz w:val="18"/>
          <w:szCs w:val="18"/>
        </w:rPr>
        <w:t xml:space="preserve">og med </w:t>
      </w:r>
      <w:r w:rsidRPr="00002580">
        <w:rPr>
          <w:sz w:val="18"/>
          <w:szCs w:val="18"/>
        </w:rPr>
        <w:t>2008 er etter ny næringsstandard</w:t>
      </w:r>
      <w:r>
        <w:rPr>
          <w:sz w:val="18"/>
          <w:szCs w:val="18"/>
        </w:rPr>
        <w:t>, se vedlegg 2</w:t>
      </w:r>
      <w:r w:rsidR="00183DAA">
        <w:rPr>
          <w:sz w:val="18"/>
          <w:szCs w:val="18"/>
        </w:rPr>
        <w:t xml:space="preserve"> NOU 2015: 6</w:t>
      </w:r>
      <w:r w:rsidRPr="00002580">
        <w:rPr>
          <w:sz w:val="18"/>
          <w:szCs w:val="18"/>
        </w:rPr>
        <w:t xml:space="preserve">. Sammenlignet med veksten fra 2007 til 2008 og tidligere år, vil </w:t>
      </w:r>
      <w:r>
        <w:rPr>
          <w:sz w:val="18"/>
          <w:szCs w:val="18"/>
        </w:rPr>
        <w:t>det være et brudd i tidsserien.</w:t>
      </w:r>
    </w:p>
    <w:p w14:paraId="743E94F6" w14:textId="77777777" w:rsidR="0053512B" w:rsidRPr="00A56C66" w:rsidRDefault="0053512B" w:rsidP="006E305B">
      <w:pPr>
        <w:pStyle w:val="tabell-noter"/>
        <w:numPr>
          <w:ilvl w:val="0"/>
          <w:numId w:val="35"/>
        </w:numPr>
        <w:spacing w:after="0"/>
        <w:ind w:left="709" w:hanging="425"/>
      </w:pPr>
      <w:r w:rsidRPr="007330FE">
        <w:rPr>
          <w:sz w:val="18"/>
          <w:szCs w:val="18"/>
        </w:rPr>
        <w:t>Heltidsansatt</w:t>
      </w:r>
      <w:r>
        <w:rPr>
          <w:sz w:val="18"/>
          <w:szCs w:val="18"/>
        </w:rPr>
        <w:t>e.</w:t>
      </w:r>
    </w:p>
    <w:p w14:paraId="1FE5A71E" w14:textId="77777777" w:rsidR="00664BEB" w:rsidRDefault="004B1A77" w:rsidP="004B1A77">
      <w:pPr>
        <w:pStyle w:val="Kilde"/>
        <w:spacing w:after="0"/>
        <w:ind w:left="709" w:hanging="425"/>
        <w:sectPr w:rsidR="00664BEB" w:rsidSect="00795948">
          <w:headerReference w:type="default" r:id="rId11"/>
          <w:footerReference w:type="even" r:id="rId12"/>
          <w:footerReference w:type="default" r:id="rId13"/>
          <w:pgSz w:w="16838" w:h="11906" w:orient="landscape" w:code="9"/>
          <w:pgMar w:top="851" w:right="1418" w:bottom="425" w:left="1418" w:header="709" w:footer="709" w:gutter="0"/>
          <w:cols w:space="708"/>
          <w:titlePg/>
          <w:docGrid w:linePitch="299"/>
        </w:sectPr>
      </w:pPr>
      <w:r w:rsidRPr="00002580">
        <w:t>Kilder: Statistisk sentralbyrå og Beregningsutvalget</w:t>
      </w:r>
      <w:r>
        <w:t>.</w:t>
      </w:r>
    </w:p>
    <w:p w14:paraId="4848E637" w14:textId="77777777" w:rsidR="004B1A77" w:rsidRPr="00BA1C84" w:rsidRDefault="00664BEB" w:rsidP="004B1A77">
      <w:pPr>
        <w:pStyle w:val="Overskrift3"/>
      </w:pPr>
      <w:bookmarkStart w:id="32" w:name="hov0.1.1.3"/>
      <w:bookmarkStart w:id="33" w:name="ID_TAB3_46_2"/>
      <w:bookmarkStart w:id="34" w:name="_Toc320820655"/>
      <w:bookmarkStart w:id="35" w:name="_Toc351913426"/>
      <w:bookmarkStart w:id="36" w:name="_Toc380506120"/>
      <w:bookmarkStart w:id="37" w:name="_Toc422226813"/>
      <w:bookmarkEnd w:id="32"/>
      <w:bookmarkEnd w:id="33"/>
      <w:r>
        <w:lastRenderedPageBreak/>
        <w:t>L</w:t>
      </w:r>
      <w:r w:rsidR="004B1A77" w:rsidRPr="00BA1C84">
        <w:t>ønnsutviklingen samlet og i enkelte næringer</w:t>
      </w:r>
      <w:bookmarkEnd w:id="34"/>
      <w:bookmarkEnd w:id="35"/>
      <w:bookmarkEnd w:id="36"/>
      <w:bookmarkEnd w:id="37"/>
    </w:p>
    <w:p w14:paraId="2FB4AE4A" w14:textId="77777777" w:rsidR="004B1A77" w:rsidRDefault="004B1A77" w:rsidP="004B1A77">
      <w:pPr>
        <w:rPr>
          <w:szCs w:val="24"/>
        </w:rPr>
      </w:pPr>
      <w:r>
        <w:rPr>
          <w:szCs w:val="24"/>
        </w:rPr>
        <w:t>T</w:t>
      </w:r>
      <w:r w:rsidRPr="00F97402">
        <w:rPr>
          <w:szCs w:val="24"/>
        </w:rPr>
        <w:t xml:space="preserve">abell </w:t>
      </w:r>
      <w:r>
        <w:rPr>
          <w:szCs w:val="24"/>
        </w:rPr>
        <w:t>1</w:t>
      </w:r>
      <w:r w:rsidRPr="00F97402">
        <w:rPr>
          <w:szCs w:val="24"/>
        </w:rPr>
        <w:t xml:space="preserve">.2 </w:t>
      </w:r>
      <w:r>
        <w:rPr>
          <w:szCs w:val="24"/>
        </w:rPr>
        <w:t>viser</w:t>
      </w:r>
      <w:r w:rsidRPr="00F97402">
        <w:rPr>
          <w:szCs w:val="24"/>
        </w:rPr>
        <w:t xml:space="preserve"> beregnet gjennomsnittlig lønnsutvikling for alle grupper</w:t>
      </w:r>
      <w:r>
        <w:rPr>
          <w:rStyle w:val="Fotnotereferanse"/>
          <w:szCs w:val="24"/>
        </w:rPr>
        <w:footnoteReference w:id="3"/>
      </w:r>
      <w:r w:rsidRPr="00F97402">
        <w:rPr>
          <w:szCs w:val="24"/>
        </w:rPr>
        <w:t xml:space="preserve"> og for </w:t>
      </w:r>
      <w:r>
        <w:rPr>
          <w:szCs w:val="24"/>
        </w:rPr>
        <w:t>tre</w:t>
      </w:r>
      <w:r w:rsidRPr="00F97402">
        <w:rPr>
          <w:szCs w:val="24"/>
        </w:rPr>
        <w:t xml:space="preserve"> hovedsektorer:</w:t>
      </w:r>
    </w:p>
    <w:p w14:paraId="418F0C59" w14:textId="04FFF198" w:rsidR="004B1A77" w:rsidRDefault="00791192" w:rsidP="00EB23A2">
      <w:pPr>
        <w:numPr>
          <w:ilvl w:val="0"/>
          <w:numId w:val="25"/>
        </w:numPr>
        <w:spacing w:after="0"/>
        <w:ind w:left="714" w:hanging="357"/>
      </w:pPr>
      <w:r w:rsidRPr="00EA0201">
        <w:rPr>
          <w:rFonts w:ascii="Times New Roman" w:eastAsia="Times New Roman" w:hAnsi="Times New Roman" w:cstheme="minorBidi"/>
          <w:spacing w:val="4"/>
          <w:szCs w:val="22"/>
        </w:rPr>
        <w:t>Ansatte</w:t>
      </w:r>
      <w:r w:rsidR="004B1A77" w:rsidRPr="00EA0201">
        <w:rPr>
          <w:rFonts w:ascii="Times New Roman" w:eastAsia="Times New Roman" w:hAnsi="Times New Roman" w:cstheme="minorBidi"/>
          <w:spacing w:val="4"/>
          <w:szCs w:val="22"/>
        </w:rPr>
        <w:t xml:space="preserve"> i industrien</w:t>
      </w:r>
      <w:r w:rsidR="004B1A77">
        <w:rPr>
          <w:rStyle w:val="Fotnotereferanse"/>
        </w:rPr>
        <w:footnoteReference w:id="4"/>
      </w:r>
      <w:r w:rsidR="004B1A77">
        <w:t xml:space="preserve"> </w:t>
      </w:r>
    </w:p>
    <w:p w14:paraId="27D98667" w14:textId="69BAC3D8" w:rsidR="004B1A77" w:rsidRDefault="00791192" w:rsidP="00EB23A2">
      <w:pPr>
        <w:pStyle w:val="Liste"/>
        <w:numPr>
          <w:ilvl w:val="0"/>
          <w:numId w:val="25"/>
        </w:numPr>
        <w:ind w:left="714" w:hanging="357"/>
      </w:pPr>
      <w:r w:rsidRPr="00F97402">
        <w:t>Ansatte</w:t>
      </w:r>
      <w:r w:rsidR="004B1A77" w:rsidRPr="00F97402">
        <w:t xml:space="preserve"> i varehandel</w:t>
      </w:r>
    </w:p>
    <w:p w14:paraId="5F05EF9D" w14:textId="193E3883" w:rsidR="004B1A77" w:rsidRDefault="00791192" w:rsidP="00EB23A2">
      <w:pPr>
        <w:pStyle w:val="Liste"/>
        <w:numPr>
          <w:ilvl w:val="0"/>
          <w:numId w:val="25"/>
        </w:numPr>
        <w:ind w:left="714" w:hanging="357"/>
      </w:pPr>
      <w:r>
        <w:t>Ansatte</w:t>
      </w:r>
      <w:r w:rsidR="004B1A77">
        <w:t xml:space="preserve"> i offentlig forvaltning</w:t>
      </w:r>
      <w:r w:rsidR="004B1A77">
        <w:br/>
      </w:r>
    </w:p>
    <w:p w14:paraId="01C63DD8" w14:textId="77777777" w:rsidR="004B1A77" w:rsidRDefault="004B1A77" w:rsidP="004B1A77">
      <w:r w:rsidRPr="00A34A29">
        <w:t>Tabell</w:t>
      </w:r>
      <w:r>
        <w:t xml:space="preserve"> 1.2</w:t>
      </w:r>
      <w:r w:rsidRPr="00A34A29">
        <w:t xml:space="preserve"> viser at samlet fra </w:t>
      </w:r>
      <w:r>
        <w:t>200</w:t>
      </w:r>
      <w:r w:rsidR="002955CD">
        <w:t>4</w:t>
      </w:r>
      <w:r w:rsidRPr="00A34A29">
        <w:t xml:space="preserve"> til 20</w:t>
      </w:r>
      <w:r>
        <w:t>1</w:t>
      </w:r>
      <w:r w:rsidR="002955CD">
        <w:t>4</w:t>
      </w:r>
      <w:r w:rsidRPr="00A34A29">
        <w:t xml:space="preserve"> </w:t>
      </w:r>
      <w:r>
        <w:t>var</w:t>
      </w:r>
      <w:r w:rsidRPr="00A34A29">
        <w:t xml:space="preserve"> lønnsveksten </w:t>
      </w:r>
      <w:r>
        <w:t>i</w:t>
      </w:r>
      <w:r w:rsidRPr="00A34A29">
        <w:t xml:space="preserve"> </w:t>
      </w:r>
      <w:r>
        <w:t>industrien i alt noe høyere enn i varehandel totalt.</w:t>
      </w:r>
      <w:r w:rsidRPr="00A34A29">
        <w:t xml:space="preserve"> Lønnsveksten i industribedrifter i alt har i </w:t>
      </w:r>
      <w:r>
        <w:t>denne perioden</w:t>
      </w:r>
      <w:r w:rsidRPr="00A34A29">
        <w:t xml:space="preserve"> vært om lag den samme som for NHO-bedrifter i industrien</w:t>
      </w:r>
      <w:r>
        <w:t>, jf. tabell 1.1</w:t>
      </w:r>
      <w:r w:rsidRPr="00A34A29">
        <w:t xml:space="preserve">. Imidlertid har lønnsveksten </w:t>
      </w:r>
      <w:r>
        <w:t>for</w:t>
      </w:r>
      <w:r w:rsidRPr="00A34A29">
        <w:t xml:space="preserve"> disse to gruppene vært noe forskjellig i de enkelte år. </w:t>
      </w:r>
    </w:p>
    <w:p w14:paraId="2D3F38D9" w14:textId="77777777" w:rsidR="004B1A77" w:rsidRDefault="004B1A77" w:rsidP="004B1A77">
      <w:pPr>
        <w:rPr>
          <w:szCs w:val="24"/>
        </w:rPr>
      </w:pPr>
      <w:r w:rsidRPr="00A25A63">
        <w:t xml:space="preserve">Beregningsutvalget </w:t>
      </w:r>
      <w:r>
        <w:t xml:space="preserve">legger til grunn en vekst i gjennomsnittlig årslønn fra 2013 til 2014 for lønnstakere under ett på </w:t>
      </w:r>
      <w:r w:rsidRPr="00E27050">
        <w:t>3,</w:t>
      </w:r>
      <w:r>
        <w:t xml:space="preserve">1 prosent, mot 3,9 prosent året før. Ifølge foreløpige nasjonalregnskapstall for 2014, har Statistisk sentralbyrå beregnet veksten i gjennomsnittlig årslønn fra 2013 til 2014 for lønnstakere under ett til </w:t>
      </w:r>
      <w:r w:rsidRPr="00E27050">
        <w:t>3,</w:t>
      </w:r>
      <w:r>
        <w:t xml:space="preserve">1 prosent. </w:t>
      </w:r>
      <w:r>
        <w:rPr>
          <w:szCs w:val="24"/>
        </w:rPr>
        <w:t xml:space="preserve">  </w:t>
      </w:r>
    </w:p>
    <w:p w14:paraId="6D74AB35" w14:textId="77777777" w:rsidR="004B1A77" w:rsidRDefault="004B1A77" w:rsidP="004B1A77">
      <w:pPr>
        <w:rPr>
          <w:rFonts w:ascii="Times New Roman" w:hAnsi="Times New Roman"/>
        </w:rPr>
      </w:pPr>
      <w:r>
        <w:t>Beregningene av årslønnslønnsvekst basert på nasjonalregnskapet og i de største forhandlingsområdene, har med etterbetalinger av lønnstillegg. I beregningen til Statistisk sentralbyrå på grunnlag av lønnsstatistikken, er det d</w:t>
      </w:r>
      <w:r>
        <w:rPr>
          <w:rFonts w:ascii="Times New Roman" w:hAnsi="Times New Roman"/>
        </w:rPr>
        <w:t>e faktiske utbetalinger uavhengig av virkningsdato som legges til grunn.</w:t>
      </w:r>
    </w:p>
    <w:p w14:paraId="2FD900F3" w14:textId="77777777" w:rsidR="004B1A77" w:rsidRDefault="004B1A77" w:rsidP="004B1A77">
      <w:pPr>
        <w:spacing w:after="0"/>
        <w:rPr>
          <w:rFonts w:ascii="Times New Roman" w:hAnsi="Times New Roman"/>
        </w:rPr>
      </w:pPr>
      <w:r>
        <w:rPr>
          <w:rFonts w:ascii="Times New Roman" w:hAnsi="Times New Roman"/>
        </w:rPr>
        <w:br w:type="page"/>
      </w:r>
    </w:p>
    <w:p w14:paraId="330624F3" w14:textId="77777777" w:rsidR="004B1A77" w:rsidRDefault="004B1A77" w:rsidP="004B1A77">
      <w:pPr>
        <w:pStyle w:val="tabell-tittel"/>
      </w:pPr>
      <w:r w:rsidRPr="00EC1661">
        <w:lastRenderedPageBreak/>
        <w:t>Årslønnsvekst</w:t>
      </w:r>
      <w:r w:rsidRPr="00EC1661">
        <w:rPr>
          <w:szCs w:val="24"/>
          <w:vertAlign w:val="superscript"/>
        </w:rPr>
        <w:t>1</w:t>
      </w:r>
      <w:r w:rsidRPr="00EC1661">
        <w:t xml:space="preserve"> fra året før i prosent for alle grupper og for tre</w:t>
      </w:r>
      <w:r w:rsidRPr="006F1E3E">
        <w:t xml:space="preserve"> hovedsektorer i økonomien</w:t>
      </w:r>
      <w:r w:rsidRPr="00A44A3F">
        <w:t>.</w:t>
      </w:r>
    </w:p>
    <w:tbl>
      <w:tblPr>
        <w:tblStyle w:val="TrykketTabell"/>
        <w:tblW w:w="5568" w:type="pct"/>
        <w:jc w:val="right"/>
        <w:tblBorders>
          <w:bottom w:val="none" w:sz="0" w:space="0" w:color="auto"/>
        </w:tblBorders>
        <w:tblCellMar>
          <w:left w:w="79" w:type="dxa"/>
          <w:right w:w="79" w:type="dxa"/>
        </w:tblCellMar>
        <w:tblLook w:val="04A0" w:firstRow="1" w:lastRow="0" w:firstColumn="1" w:lastColumn="0" w:noHBand="0" w:noVBand="1"/>
      </w:tblPr>
      <w:tblGrid>
        <w:gridCol w:w="1705"/>
        <w:gridCol w:w="1438"/>
        <w:gridCol w:w="1249"/>
        <w:gridCol w:w="1132"/>
        <w:gridCol w:w="1505"/>
        <w:gridCol w:w="1190"/>
        <w:gridCol w:w="1881"/>
      </w:tblGrid>
      <w:tr w:rsidR="004B1A77" w:rsidRPr="00E83E0B" w14:paraId="6B3C03AF" w14:textId="77777777" w:rsidTr="00183DAA">
        <w:trPr>
          <w:cnfStyle w:val="100000000000" w:firstRow="1" w:lastRow="0" w:firstColumn="0" w:lastColumn="0" w:oddVBand="0" w:evenVBand="0" w:oddHBand="0" w:evenHBand="0" w:firstRowFirstColumn="0" w:firstRowLastColumn="0" w:lastRowFirstColumn="0" w:lastRowLastColumn="0"/>
          <w:trHeight w:val="138"/>
          <w:jc w:val="right"/>
        </w:trPr>
        <w:tc>
          <w:tcPr>
            <w:tcW w:w="844" w:type="pct"/>
            <w:tcBorders>
              <w:bottom w:val="none" w:sz="0" w:space="0" w:color="auto"/>
            </w:tcBorders>
            <w:vAlign w:val="bottom"/>
          </w:tcPr>
          <w:p w14:paraId="0DC43A60" w14:textId="77777777" w:rsidR="004B1A77" w:rsidRPr="00E83E0B" w:rsidRDefault="004B1A77" w:rsidP="00795948">
            <w:pPr>
              <w:autoSpaceDE w:val="0"/>
              <w:autoSpaceDN w:val="0"/>
              <w:adjustRightInd w:val="0"/>
              <w:spacing w:after="0"/>
              <w:ind w:left="80" w:right="80"/>
              <w:rPr>
                <w:rFonts w:ascii="Times New Roman" w:hAnsi="Times New Roman"/>
                <w:noProof/>
              </w:rPr>
            </w:pPr>
            <w:bookmarkStart w:id="38" w:name="OLE_LINK5"/>
          </w:p>
        </w:tc>
        <w:tc>
          <w:tcPr>
            <w:tcW w:w="712" w:type="pct"/>
            <w:tcBorders>
              <w:bottom w:val="none" w:sz="0" w:space="0" w:color="auto"/>
            </w:tcBorders>
            <w:vAlign w:val="bottom"/>
          </w:tcPr>
          <w:p w14:paraId="3C001BEA" w14:textId="77777777" w:rsidR="004B1A77" w:rsidRPr="00E83E0B" w:rsidRDefault="004B1A77" w:rsidP="00795948">
            <w:pPr>
              <w:autoSpaceDE w:val="0"/>
              <w:autoSpaceDN w:val="0"/>
              <w:adjustRightInd w:val="0"/>
              <w:spacing w:after="0"/>
              <w:ind w:left="80" w:right="80"/>
              <w:jc w:val="center"/>
              <w:rPr>
                <w:rFonts w:ascii="Times New Roman" w:hAnsi="Times New Roman"/>
                <w:noProof/>
              </w:rPr>
            </w:pPr>
          </w:p>
        </w:tc>
        <w:tc>
          <w:tcPr>
            <w:tcW w:w="3444" w:type="pct"/>
            <w:gridSpan w:val="5"/>
            <w:vAlign w:val="bottom"/>
          </w:tcPr>
          <w:p w14:paraId="6B3BABD5" w14:textId="77777777" w:rsidR="004B1A77" w:rsidRPr="00E83E0B" w:rsidRDefault="004B1A77" w:rsidP="00795948">
            <w:pPr>
              <w:autoSpaceDE w:val="0"/>
              <w:autoSpaceDN w:val="0"/>
              <w:adjustRightInd w:val="0"/>
              <w:spacing w:after="0"/>
              <w:ind w:left="80" w:right="80"/>
              <w:jc w:val="center"/>
              <w:rPr>
                <w:rFonts w:ascii="Times New Roman" w:hAnsi="Times New Roman"/>
                <w:noProof/>
              </w:rPr>
            </w:pPr>
            <w:r w:rsidRPr="00E83E0B">
              <w:rPr>
                <w:rFonts w:ascii="Times New Roman" w:hAnsi="Times New Roman"/>
                <w:noProof/>
              </w:rPr>
              <w:t>Lønnsstatistikken</w:t>
            </w:r>
          </w:p>
        </w:tc>
      </w:tr>
      <w:tr w:rsidR="004B1A77" w:rsidRPr="00E83E0B" w14:paraId="251D9C01" w14:textId="77777777" w:rsidTr="006301E1">
        <w:trPr>
          <w:trHeight w:val="510"/>
          <w:jc w:val="right"/>
        </w:trPr>
        <w:tc>
          <w:tcPr>
            <w:tcW w:w="844" w:type="pct"/>
            <w:tcBorders>
              <w:bottom w:val="single" w:sz="4" w:space="0" w:color="auto"/>
            </w:tcBorders>
            <w:vAlign w:val="bottom"/>
          </w:tcPr>
          <w:p w14:paraId="786653C5" w14:textId="77777777" w:rsidR="004B1A77" w:rsidRPr="00E83E0B" w:rsidRDefault="004B1A77" w:rsidP="00795948">
            <w:pPr>
              <w:autoSpaceDE w:val="0"/>
              <w:autoSpaceDN w:val="0"/>
              <w:adjustRightInd w:val="0"/>
              <w:spacing w:after="0"/>
              <w:ind w:right="80"/>
              <w:rPr>
                <w:rFonts w:ascii="Times New Roman" w:hAnsi="Times New Roman"/>
                <w:noProof/>
              </w:rPr>
            </w:pPr>
          </w:p>
        </w:tc>
        <w:tc>
          <w:tcPr>
            <w:tcW w:w="712" w:type="pct"/>
            <w:tcBorders>
              <w:bottom w:val="single" w:sz="4" w:space="0" w:color="auto"/>
            </w:tcBorders>
            <w:vAlign w:val="bottom"/>
          </w:tcPr>
          <w:p w14:paraId="08A8AEDF"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Nasjonal</w:t>
            </w:r>
            <w:r>
              <w:rPr>
                <w:rFonts w:ascii="Times New Roman" w:hAnsi="Times New Roman"/>
                <w:noProof/>
              </w:rPr>
              <w:t>-</w:t>
            </w:r>
            <w:r w:rsidRPr="00E83E0B">
              <w:rPr>
                <w:rFonts w:ascii="Times New Roman" w:hAnsi="Times New Roman"/>
                <w:noProof/>
              </w:rPr>
              <w:t>regnskapet</w:t>
            </w:r>
            <w:r w:rsidRPr="00E83E0B">
              <w:rPr>
                <w:rFonts w:ascii="Times New Roman" w:hAnsi="Times New Roman"/>
                <w:noProof/>
                <w:vertAlign w:val="superscript"/>
              </w:rPr>
              <w:t>2</w:t>
            </w:r>
          </w:p>
        </w:tc>
        <w:tc>
          <w:tcPr>
            <w:tcW w:w="619" w:type="pct"/>
            <w:tcBorders>
              <w:bottom w:val="single" w:sz="4" w:space="0" w:color="auto"/>
            </w:tcBorders>
            <w:vAlign w:val="bottom"/>
          </w:tcPr>
          <w:p w14:paraId="4A494FB1"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Alle grupper</w:t>
            </w:r>
          </w:p>
        </w:tc>
        <w:tc>
          <w:tcPr>
            <w:tcW w:w="560" w:type="pct"/>
            <w:tcBorders>
              <w:bottom w:val="single" w:sz="4" w:space="0" w:color="auto"/>
            </w:tcBorders>
            <w:vAlign w:val="bottom"/>
          </w:tcPr>
          <w:p w14:paraId="7983195B" w14:textId="77777777" w:rsidR="004B1A77" w:rsidRPr="00E83E0B" w:rsidRDefault="004B1A77" w:rsidP="00795948">
            <w:pPr>
              <w:spacing w:after="0"/>
              <w:jc w:val="right"/>
              <w:rPr>
                <w:rFonts w:ascii="Times New Roman" w:hAnsi="Times New Roman"/>
              </w:rPr>
            </w:pPr>
            <w:r w:rsidRPr="00E83E0B">
              <w:rPr>
                <w:rFonts w:ascii="Times New Roman" w:hAnsi="Times New Roman"/>
              </w:rPr>
              <w:t>Industrien</w:t>
            </w:r>
          </w:p>
        </w:tc>
        <w:tc>
          <w:tcPr>
            <w:tcW w:w="745" w:type="pct"/>
            <w:tcBorders>
              <w:bottom w:val="single" w:sz="4" w:space="0" w:color="auto"/>
            </w:tcBorders>
            <w:vAlign w:val="bottom"/>
          </w:tcPr>
          <w:p w14:paraId="3570B304"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rPr>
              <w:t>Varehandel</w:t>
            </w:r>
            <w:r w:rsidRPr="00E83E0B">
              <w:rPr>
                <w:rStyle w:val="skrift-hevet"/>
                <w:rFonts w:ascii="Times New Roman" w:hAnsi="Times New Roman"/>
              </w:rPr>
              <w:t>3</w:t>
            </w:r>
          </w:p>
        </w:tc>
        <w:tc>
          <w:tcPr>
            <w:tcW w:w="1519" w:type="pct"/>
            <w:gridSpan w:val="2"/>
            <w:tcBorders>
              <w:bottom w:val="single" w:sz="4" w:space="0" w:color="auto"/>
            </w:tcBorders>
            <w:vAlign w:val="bottom"/>
          </w:tcPr>
          <w:p w14:paraId="3F907D24" w14:textId="77777777" w:rsidR="004B1A77" w:rsidRPr="00E83E0B" w:rsidRDefault="004B1A77" w:rsidP="00795948">
            <w:pPr>
              <w:autoSpaceDE w:val="0"/>
              <w:autoSpaceDN w:val="0"/>
              <w:adjustRightInd w:val="0"/>
              <w:spacing w:after="0"/>
              <w:ind w:left="80"/>
              <w:jc w:val="center"/>
              <w:rPr>
                <w:rFonts w:ascii="Times New Roman" w:hAnsi="Times New Roman"/>
              </w:rPr>
            </w:pPr>
            <w:r w:rsidRPr="00E83E0B">
              <w:rPr>
                <w:rFonts w:ascii="Times New Roman" w:hAnsi="Times New Roman"/>
              </w:rPr>
              <w:t>Offentlig forvaltning</w:t>
            </w:r>
            <w:r w:rsidRPr="00E83E0B">
              <w:rPr>
                <w:rFonts w:ascii="Times New Roman" w:hAnsi="Times New Roman"/>
                <w:vertAlign w:val="superscript"/>
              </w:rPr>
              <w:t>4</w:t>
            </w:r>
          </w:p>
        </w:tc>
      </w:tr>
      <w:tr w:rsidR="004B1A77" w:rsidRPr="00E83E0B" w14:paraId="102C7341" w14:textId="77777777" w:rsidTr="006301E1">
        <w:trPr>
          <w:trHeight w:val="431"/>
          <w:jc w:val="right"/>
        </w:trPr>
        <w:tc>
          <w:tcPr>
            <w:tcW w:w="844" w:type="pct"/>
            <w:tcBorders>
              <w:top w:val="single" w:sz="4" w:space="0" w:color="auto"/>
            </w:tcBorders>
            <w:vAlign w:val="bottom"/>
          </w:tcPr>
          <w:p w14:paraId="7BF6A89A" w14:textId="77777777" w:rsidR="004B1A77" w:rsidRPr="00E83E0B" w:rsidRDefault="004B1A77" w:rsidP="00795948">
            <w:pPr>
              <w:autoSpaceDE w:val="0"/>
              <w:autoSpaceDN w:val="0"/>
              <w:adjustRightInd w:val="0"/>
              <w:spacing w:after="0"/>
              <w:ind w:left="80" w:right="80"/>
              <w:rPr>
                <w:rFonts w:ascii="Times New Roman" w:hAnsi="Times New Roman"/>
                <w:noProof/>
              </w:rPr>
            </w:pPr>
          </w:p>
        </w:tc>
        <w:tc>
          <w:tcPr>
            <w:tcW w:w="712" w:type="pct"/>
            <w:tcBorders>
              <w:top w:val="single" w:sz="4" w:space="0" w:color="auto"/>
            </w:tcBorders>
            <w:vAlign w:val="bottom"/>
          </w:tcPr>
          <w:p w14:paraId="40AF1EC5"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p>
        </w:tc>
        <w:tc>
          <w:tcPr>
            <w:tcW w:w="619" w:type="pct"/>
            <w:tcBorders>
              <w:top w:val="single" w:sz="4" w:space="0" w:color="auto"/>
            </w:tcBorders>
            <w:vAlign w:val="bottom"/>
          </w:tcPr>
          <w:p w14:paraId="193C4B1A" w14:textId="77777777" w:rsidR="004B1A77" w:rsidRPr="00E83E0B" w:rsidRDefault="004B1A77" w:rsidP="00795948">
            <w:pPr>
              <w:spacing w:after="0"/>
              <w:ind w:right="110"/>
              <w:jc w:val="right"/>
              <w:rPr>
                <w:rFonts w:ascii="Times New Roman" w:hAnsi="Times New Roman"/>
              </w:rPr>
            </w:pPr>
          </w:p>
        </w:tc>
        <w:tc>
          <w:tcPr>
            <w:tcW w:w="560" w:type="pct"/>
            <w:tcBorders>
              <w:top w:val="single" w:sz="4" w:space="0" w:color="auto"/>
            </w:tcBorders>
            <w:vAlign w:val="bottom"/>
          </w:tcPr>
          <w:p w14:paraId="3919EEA0"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p>
        </w:tc>
        <w:tc>
          <w:tcPr>
            <w:tcW w:w="745" w:type="pct"/>
            <w:tcBorders>
              <w:top w:val="single" w:sz="4" w:space="0" w:color="auto"/>
            </w:tcBorders>
            <w:vAlign w:val="bottom"/>
          </w:tcPr>
          <w:p w14:paraId="32E44339"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p>
        </w:tc>
        <w:tc>
          <w:tcPr>
            <w:tcW w:w="589" w:type="pct"/>
            <w:tcBorders>
              <w:top w:val="single" w:sz="4" w:space="0" w:color="auto"/>
            </w:tcBorders>
            <w:vAlign w:val="bottom"/>
          </w:tcPr>
          <w:p w14:paraId="79F3A60A"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I alt</w:t>
            </w:r>
          </w:p>
        </w:tc>
        <w:tc>
          <w:tcPr>
            <w:tcW w:w="930" w:type="pct"/>
            <w:tcBorders>
              <w:top w:val="single" w:sz="4" w:space="0" w:color="auto"/>
            </w:tcBorders>
            <w:vAlign w:val="bottom"/>
          </w:tcPr>
          <w:p w14:paraId="1335C0A7"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rPr>
              <w:t>Helseforetakene</w:t>
            </w:r>
          </w:p>
        </w:tc>
      </w:tr>
      <w:tr w:rsidR="004B1A77" w:rsidRPr="00E83E0B" w14:paraId="71001E0E" w14:textId="77777777" w:rsidTr="006301E1">
        <w:trPr>
          <w:jc w:val="right"/>
        </w:trPr>
        <w:tc>
          <w:tcPr>
            <w:tcW w:w="844" w:type="pct"/>
            <w:vAlign w:val="bottom"/>
          </w:tcPr>
          <w:p w14:paraId="31B57515"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2005</w:t>
            </w:r>
          </w:p>
        </w:tc>
        <w:tc>
          <w:tcPr>
            <w:tcW w:w="712" w:type="pct"/>
            <w:vAlign w:val="bottom"/>
          </w:tcPr>
          <w:p w14:paraId="19596652"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 xml:space="preserve">3,3 </w:t>
            </w:r>
          </w:p>
        </w:tc>
        <w:tc>
          <w:tcPr>
            <w:tcW w:w="619" w:type="pct"/>
            <w:vAlign w:val="bottom"/>
          </w:tcPr>
          <w:p w14:paraId="15B71A67" w14:textId="77777777" w:rsidR="004B1A77" w:rsidRPr="00E83E0B" w:rsidRDefault="004B1A77" w:rsidP="00795948">
            <w:pPr>
              <w:spacing w:after="0"/>
              <w:jc w:val="right"/>
              <w:rPr>
                <w:rFonts w:ascii="Times New Roman" w:hAnsi="Times New Roman"/>
              </w:rPr>
            </w:pPr>
            <w:r w:rsidRPr="00E83E0B">
              <w:rPr>
                <w:rFonts w:ascii="Times New Roman" w:hAnsi="Times New Roman"/>
              </w:rPr>
              <w:t>-</w:t>
            </w:r>
          </w:p>
        </w:tc>
        <w:tc>
          <w:tcPr>
            <w:tcW w:w="560" w:type="pct"/>
            <w:vAlign w:val="bottom"/>
          </w:tcPr>
          <w:p w14:paraId="2C7CA741"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3,6</w:t>
            </w:r>
          </w:p>
        </w:tc>
        <w:tc>
          <w:tcPr>
            <w:tcW w:w="745" w:type="pct"/>
            <w:vAlign w:val="bottom"/>
          </w:tcPr>
          <w:p w14:paraId="4529272E"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3,7</w:t>
            </w:r>
          </w:p>
        </w:tc>
        <w:tc>
          <w:tcPr>
            <w:tcW w:w="589" w:type="pct"/>
            <w:vAlign w:val="bottom"/>
          </w:tcPr>
          <w:p w14:paraId="56D0DCE3"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c>
          <w:tcPr>
            <w:tcW w:w="930" w:type="pct"/>
            <w:vAlign w:val="bottom"/>
          </w:tcPr>
          <w:p w14:paraId="25B6CDC1"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r>
      <w:tr w:rsidR="004B1A77" w:rsidRPr="00E83E0B" w14:paraId="56EAEAC9" w14:textId="77777777" w:rsidTr="006301E1">
        <w:trPr>
          <w:jc w:val="right"/>
        </w:trPr>
        <w:tc>
          <w:tcPr>
            <w:tcW w:w="844" w:type="pct"/>
            <w:vAlign w:val="bottom"/>
          </w:tcPr>
          <w:p w14:paraId="2C8E0117"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2006</w:t>
            </w:r>
          </w:p>
        </w:tc>
        <w:tc>
          <w:tcPr>
            <w:tcW w:w="712" w:type="pct"/>
            <w:vAlign w:val="bottom"/>
          </w:tcPr>
          <w:p w14:paraId="5ECC8886"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4,1</w:t>
            </w:r>
          </w:p>
        </w:tc>
        <w:tc>
          <w:tcPr>
            <w:tcW w:w="619" w:type="pct"/>
            <w:vAlign w:val="bottom"/>
          </w:tcPr>
          <w:p w14:paraId="679E6D38" w14:textId="77777777" w:rsidR="004B1A77" w:rsidRPr="00E83E0B" w:rsidRDefault="004B1A77" w:rsidP="00795948">
            <w:pPr>
              <w:spacing w:after="0"/>
              <w:ind w:right="110"/>
              <w:jc w:val="right"/>
              <w:rPr>
                <w:rFonts w:ascii="Times New Roman" w:hAnsi="Times New Roman"/>
              </w:rPr>
            </w:pPr>
            <w:r w:rsidRPr="00E83E0B">
              <w:rPr>
                <w:rFonts w:ascii="Times New Roman" w:hAnsi="Times New Roman"/>
              </w:rPr>
              <w:t>-</w:t>
            </w:r>
          </w:p>
        </w:tc>
        <w:tc>
          <w:tcPr>
            <w:tcW w:w="560" w:type="pct"/>
            <w:vAlign w:val="bottom"/>
          </w:tcPr>
          <w:p w14:paraId="43D0F6CD"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3,9</w:t>
            </w:r>
          </w:p>
        </w:tc>
        <w:tc>
          <w:tcPr>
            <w:tcW w:w="745" w:type="pct"/>
            <w:vAlign w:val="bottom"/>
          </w:tcPr>
          <w:p w14:paraId="4299012C"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3,4</w:t>
            </w:r>
          </w:p>
        </w:tc>
        <w:tc>
          <w:tcPr>
            <w:tcW w:w="589" w:type="pct"/>
            <w:vAlign w:val="bottom"/>
          </w:tcPr>
          <w:p w14:paraId="02CEC1A4"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c>
          <w:tcPr>
            <w:tcW w:w="930" w:type="pct"/>
            <w:vAlign w:val="bottom"/>
          </w:tcPr>
          <w:p w14:paraId="50E75D16"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r>
      <w:tr w:rsidR="004B1A77" w:rsidRPr="00E83E0B" w14:paraId="04955670" w14:textId="77777777" w:rsidTr="006301E1">
        <w:trPr>
          <w:jc w:val="right"/>
        </w:trPr>
        <w:tc>
          <w:tcPr>
            <w:tcW w:w="844" w:type="pct"/>
            <w:vAlign w:val="bottom"/>
          </w:tcPr>
          <w:p w14:paraId="0D3E110A"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2007</w:t>
            </w:r>
          </w:p>
        </w:tc>
        <w:tc>
          <w:tcPr>
            <w:tcW w:w="712" w:type="pct"/>
            <w:vAlign w:val="bottom"/>
          </w:tcPr>
          <w:p w14:paraId="21207551"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 xml:space="preserve">5,4 </w:t>
            </w:r>
          </w:p>
        </w:tc>
        <w:tc>
          <w:tcPr>
            <w:tcW w:w="619" w:type="pct"/>
            <w:vAlign w:val="bottom"/>
          </w:tcPr>
          <w:p w14:paraId="75415F3E" w14:textId="77777777" w:rsidR="004B1A77" w:rsidRPr="00E83E0B" w:rsidRDefault="004B1A77" w:rsidP="00795948">
            <w:pPr>
              <w:spacing w:after="0"/>
              <w:ind w:right="110"/>
              <w:jc w:val="right"/>
              <w:rPr>
                <w:rFonts w:ascii="Times New Roman" w:hAnsi="Times New Roman"/>
              </w:rPr>
            </w:pPr>
            <w:r w:rsidRPr="00E83E0B">
              <w:rPr>
                <w:rFonts w:ascii="Times New Roman" w:hAnsi="Times New Roman"/>
              </w:rPr>
              <w:t>-</w:t>
            </w:r>
          </w:p>
        </w:tc>
        <w:tc>
          <w:tcPr>
            <w:tcW w:w="560" w:type="pct"/>
            <w:vAlign w:val="bottom"/>
          </w:tcPr>
          <w:p w14:paraId="67EFBDEA"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4,9</w:t>
            </w:r>
          </w:p>
        </w:tc>
        <w:tc>
          <w:tcPr>
            <w:tcW w:w="745" w:type="pct"/>
            <w:vAlign w:val="bottom"/>
          </w:tcPr>
          <w:p w14:paraId="7355A587"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5,9</w:t>
            </w:r>
          </w:p>
        </w:tc>
        <w:tc>
          <w:tcPr>
            <w:tcW w:w="589" w:type="pct"/>
            <w:vAlign w:val="bottom"/>
          </w:tcPr>
          <w:p w14:paraId="37BC1EFC"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c>
          <w:tcPr>
            <w:tcW w:w="930" w:type="pct"/>
            <w:vAlign w:val="bottom"/>
          </w:tcPr>
          <w:p w14:paraId="46FD7599"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r>
      <w:tr w:rsidR="004B1A77" w:rsidRPr="00E83E0B" w14:paraId="52704C8A" w14:textId="77777777" w:rsidTr="006301E1">
        <w:trPr>
          <w:jc w:val="right"/>
        </w:trPr>
        <w:tc>
          <w:tcPr>
            <w:tcW w:w="844" w:type="pct"/>
            <w:vAlign w:val="bottom"/>
          </w:tcPr>
          <w:p w14:paraId="7021B0B8"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2008</w:t>
            </w:r>
          </w:p>
        </w:tc>
        <w:tc>
          <w:tcPr>
            <w:tcW w:w="712" w:type="pct"/>
            <w:vAlign w:val="bottom"/>
          </w:tcPr>
          <w:p w14:paraId="57857F39"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6,3</w:t>
            </w:r>
          </w:p>
        </w:tc>
        <w:tc>
          <w:tcPr>
            <w:tcW w:w="619" w:type="pct"/>
            <w:vAlign w:val="bottom"/>
          </w:tcPr>
          <w:p w14:paraId="376E9BA1" w14:textId="77777777" w:rsidR="004B1A77" w:rsidRPr="00E83E0B" w:rsidRDefault="004B1A77" w:rsidP="00795948">
            <w:pPr>
              <w:spacing w:after="0"/>
              <w:ind w:right="110"/>
              <w:jc w:val="right"/>
              <w:rPr>
                <w:rFonts w:ascii="Times New Roman" w:hAnsi="Times New Roman"/>
              </w:rPr>
            </w:pPr>
            <w:r w:rsidRPr="00E83E0B">
              <w:rPr>
                <w:rFonts w:ascii="Times New Roman" w:hAnsi="Times New Roman"/>
              </w:rPr>
              <w:t>-</w:t>
            </w:r>
          </w:p>
        </w:tc>
        <w:tc>
          <w:tcPr>
            <w:tcW w:w="560" w:type="pct"/>
            <w:vAlign w:val="bottom"/>
          </w:tcPr>
          <w:p w14:paraId="295534E0"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6,6</w:t>
            </w:r>
          </w:p>
        </w:tc>
        <w:tc>
          <w:tcPr>
            <w:tcW w:w="745" w:type="pct"/>
            <w:vAlign w:val="bottom"/>
          </w:tcPr>
          <w:p w14:paraId="44DA307E"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4,3</w:t>
            </w:r>
          </w:p>
        </w:tc>
        <w:tc>
          <w:tcPr>
            <w:tcW w:w="589" w:type="pct"/>
            <w:vAlign w:val="bottom"/>
          </w:tcPr>
          <w:p w14:paraId="018337AE"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c>
          <w:tcPr>
            <w:tcW w:w="930" w:type="pct"/>
            <w:vAlign w:val="bottom"/>
          </w:tcPr>
          <w:p w14:paraId="21FBC2E3"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r>
      <w:tr w:rsidR="004B1A77" w:rsidRPr="00E83E0B" w14:paraId="483C3771" w14:textId="77777777" w:rsidTr="006301E1">
        <w:trPr>
          <w:jc w:val="right"/>
        </w:trPr>
        <w:tc>
          <w:tcPr>
            <w:tcW w:w="844" w:type="pct"/>
            <w:vAlign w:val="bottom"/>
          </w:tcPr>
          <w:p w14:paraId="393539D0"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2009</w:t>
            </w:r>
          </w:p>
        </w:tc>
        <w:tc>
          <w:tcPr>
            <w:tcW w:w="712" w:type="pct"/>
            <w:vAlign w:val="bottom"/>
          </w:tcPr>
          <w:p w14:paraId="49F7C378"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4,2</w:t>
            </w:r>
          </w:p>
        </w:tc>
        <w:tc>
          <w:tcPr>
            <w:tcW w:w="619" w:type="pct"/>
            <w:vAlign w:val="bottom"/>
          </w:tcPr>
          <w:p w14:paraId="4112A371" w14:textId="77777777" w:rsidR="004B1A77" w:rsidRPr="00E83E0B" w:rsidRDefault="004B1A77" w:rsidP="00795948">
            <w:pPr>
              <w:spacing w:after="0"/>
              <w:ind w:right="110"/>
              <w:jc w:val="right"/>
              <w:rPr>
                <w:rFonts w:ascii="Times New Roman" w:hAnsi="Times New Roman"/>
              </w:rPr>
            </w:pPr>
            <w:r w:rsidRPr="00E83E0B">
              <w:rPr>
                <w:rFonts w:ascii="Times New Roman" w:hAnsi="Times New Roman"/>
              </w:rPr>
              <w:t>-</w:t>
            </w:r>
          </w:p>
        </w:tc>
        <w:tc>
          <w:tcPr>
            <w:tcW w:w="560" w:type="pct"/>
            <w:vAlign w:val="bottom"/>
          </w:tcPr>
          <w:p w14:paraId="0314FF85" w14:textId="77777777" w:rsidR="004B1A77" w:rsidRPr="00E83E0B" w:rsidRDefault="004B1A77" w:rsidP="00795948">
            <w:pPr>
              <w:autoSpaceDE w:val="0"/>
              <w:autoSpaceDN w:val="0"/>
              <w:adjustRightInd w:val="0"/>
              <w:spacing w:after="0"/>
              <w:ind w:left="80" w:right="80"/>
              <w:jc w:val="right"/>
              <w:rPr>
                <w:rFonts w:ascii="Times New Roman" w:hAnsi="Times New Roman"/>
                <w:noProof/>
                <w:lang w:eastAsia="nb-NO"/>
              </w:rPr>
            </w:pPr>
            <w:r w:rsidRPr="00E83E0B">
              <w:rPr>
                <w:rFonts w:ascii="Times New Roman" w:hAnsi="Times New Roman"/>
                <w:noProof/>
              </w:rPr>
              <w:t>4,2</w:t>
            </w:r>
            <w:r w:rsidRPr="00E83E0B">
              <w:rPr>
                <w:rFonts w:ascii="Times New Roman" w:hAnsi="Times New Roman"/>
                <w:noProof/>
                <w:vertAlign w:val="superscript"/>
              </w:rPr>
              <w:t>5</w:t>
            </w:r>
          </w:p>
        </w:tc>
        <w:tc>
          <w:tcPr>
            <w:tcW w:w="745" w:type="pct"/>
            <w:vAlign w:val="bottom"/>
          </w:tcPr>
          <w:p w14:paraId="579B4025" w14:textId="77777777" w:rsidR="004B1A77" w:rsidRPr="00E83E0B" w:rsidRDefault="004B1A77" w:rsidP="00795948">
            <w:pPr>
              <w:autoSpaceDE w:val="0"/>
              <w:autoSpaceDN w:val="0"/>
              <w:adjustRightInd w:val="0"/>
              <w:spacing w:after="0"/>
              <w:ind w:left="80" w:right="80"/>
              <w:jc w:val="right"/>
              <w:rPr>
                <w:rFonts w:ascii="Times New Roman" w:hAnsi="Times New Roman"/>
                <w:noProof/>
                <w:lang w:eastAsia="nb-NO"/>
              </w:rPr>
            </w:pPr>
            <w:r w:rsidRPr="00E83E0B">
              <w:rPr>
                <w:rFonts w:ascii="Times New Roman" w:hAnsi="Times New Roman"/>
                <w:noProof/>
              </w:rPr>
              <w:t xml:space="preserve">   3,0</w:t>
            </w:r>
            <w:r w:rsidRPr="00E83E0B">
              <w:rPr>
                <w:rFonts w:ascii="Times New Roman" w:hAnsi="Times New Roman"/>
                <w:noProof/>
                <w:vertAlign w:val="superscript"/>
              </w:rPr>
              <w:t>5</w:t>
            </w:r>
          </w:p>
        </w:tc>
        <w:tc>
          <w:tcPr>
            <w:tcW w:w="589" w:type="pct"/>
            <w:vAlign w:val="bottom"/>
          </w:tcPr>
          <w:p w14:paraId="79F8B96F"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c>
          <w:tcPr>
            <w:tcW w:w="930" w:type="pct"/>
            <w:vAlign w:val="bottom"/>
          </w:tcPr>
          <w:p w14:paraId="55EEE10B"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r>
      <w:tr w:rsidR="004B1A77" w:rsidRPr="00E83E0B" w14:paraId="6586F591" w14:textId="77777777" w:rsidTr="006301E1">
        <w:trPr>
          <w:jc w:val="right"/>
        </w:trPr>
        <w:tc>
          <w:tcPr>
            <w:tcW w:w="844" w:type="pct"/>
            <w:vAlign w:val="bottom"/>
          </w:tcPr>
          <w:p w14:paraId="4927B8BA"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2010</w:t>
            </w:r>
          </w:p>
        </w:tc>
        <w:tc>
          <w:tcPr>
            <w:tcW w:w="712" w:type="pct"/>
            <w:vAlign w:val="bottom"/>
          </w:tcPr>
          <w:p w14:paraId="13E686C6"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3,7</w:t>
            </w:r>
          </w:p>
        </w:tc>
        <w:tc>
          <w:tcPr>
            <w:tcW w:w="619" w:type="pct"/>
            <w:vAlign w:val="bottom"/>
          </w:tcPr>
          <w:p w14:paraId="0DCD0D2F" w14:textId="77777777" w:rsidR="004B1A77" w:rsidRPr="00E83E0B" w:rsidRDefault="004B1A77" w:rsidP="00795948">
            <w:pPr>
              <w:autoSpaceDE w:val="0"/>
              <w:autoSpaceDN w:val="0"/>
              <w:adjustRightInd w:val="0"/>
              <w:spacing w:after="0"/>
              <w:ind w:left="80" w:right="80"/>
              <w:jc w:val="right"/>
              <w:rPr>
                <w:rFonts w:ascii="Times New Roman" w:hAnsi="Times New Roman"/>
                <w:noProof/>
                <w:lang w:eastAsia="nb-NO"/>
              </w:rPr>
            </w:pPr>
            <w:r w:rsidRPr="00E83E0B">
              <w:rPr>
                <w:rFonts w:ascii="Times New Roman" w:hAnsi="Times New Roman"/>
                <w:noProof/>
              </w:rPr>
              <w:t>3,6</w:t>
            </w:r>
            <w:r w:rsidRPr="00E83E0B">
              <w:rPr>
                <w:rFonts w:ascii="Times New Roman" w:hAnsi="Times New Roman"/>
                <w:noProof/>
                <w:vertAlign w:val="superscript"/>
              </w:rPr>
              <w:t>6</w:t>
            </w:r>
          </w:p>
        </w:tc>
        <w:tc>
          <w:tcPr>
            <w:tcW w:w="560" w:type="pct"/>
            <w:vAlign w:val="bottom"/>
          </w:tcPr>
          <w:p w14:paraId="0E7F80D8" w14:textId="77777777" w:rsidR="004B1A77" w:rsidRPr="00E83E0B" w:rsidRDefault="004B1A77" w:rsidP="00795948">
            <w:pPr>
              <w:autoSpaceDE w:val="0"/>
              <w:autoSpaceDN w:val="0"/>
              <w:adjustRightInd w:val="0"/>
              <w:spacing w:after="0"/>
              <w:ind w:left="80" w:right="80"/>
              <w:jc w:val="right"/>
              <w:rPr>
                <w:rFonts w:ascii="Times New Roman" w:hAnsi="Times New Roman"/>
                <w:noProof/>
                <w:lang w:eastAsia="nb-NO"/>
              </w:rPr>
            </w:pPr>
            <w:r w:rsidRPr="00E83E0B">
              <w:rPr>
                <w:rFonts w:ascii="Times New Roman" w:hAnsi="Times New Roman"/>
                <w:noProof/>
              </w:rPr>
              <w:t>2,9</w:t>
            </w:r>
            <w:r w:rsidRPr="00E83E0B">
              <w:rPr>
                <w:rFonts w:ascii="Times New Roman" w:hAnsi="Times New Roman"/>
                <w:noProof/>
                <w:vertAlign w:val="superscript"/>
              </w:rPr>
              <w:t>6</w:t>
            </w:r>
          </w:p>
        </w:tc>
        <w:tc>
          <w:tcPr>
            <w:tcW w:w="745" w:type="pct"/>
            <w:vAlign w:val="bottom"/>
          </w:tcPr>
          <w:p w14:paraId="4C7E9DDC" w14:textId="77777777" w:rsidR="004B1A77" w:rsidRPr="00E83E0B" w:rsidRDefault="004B1A77" w:rsidP="00795948">
            <w:pPr>
              <w:autoSpaceDE w:val="0"/>
              <w:autoSpaceDN w:val="0"/>
              <w:adjustRightInd w:val="0"/>
              <w:spacing w:after="0"/>
              <w:ind w:left="80" w:right="80"/>
              <w:jc w:val="right"/>
              <w:rPr>
                <w:rFonts w:ascii="Times New Roman" w:hAnsi="Times New Roman"/>
                <w:noProof/>
                <w:lang w:eastAsia="nb-NO"/>
              </w:rPr>
            </w:pPr>
            <w:r w:rsidRPr="00E83E0B">
              <w:rPr>
                <w:rFonts w:ascii="Times New Roman" w:hAnsi="Times New Roman"/>
                <w:noProof/>
              </w:rPr>
              <w:t>2,9</w:t>
            </w:r>
            <w:r w:rsidRPr="00E83E0B">
              <w:rPr>
                <w:rFonts w:ascii="Times New Roman" w:hAnsi="Times New Roman"/>
                <w:noProof/>
                <w:vertAlign w:val="superscript"/>
              </w:rPr>
              <w:t>6</w:t>
            </w:r>
          </w:p>
        </w:tc>
        <w:tc>
          <w:tcPr>
            <w:tcW w:w="589" w:type="pct"/>
            <w:vAlign w:val="bottom"/>
          </w:tcPr>
          <w:p w14:paraId="307ACE06"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c>
          <w:tcPr>
            <w:tcW w:w="930" w:type="pct"/>
            <w:vAlign w:val="bottom"/>
          </w:tcPr>
          <w:p w14:paraId="723E927F"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3,0</w:t>
            </w:r>
          </w:p>
        </w:tc>
      </w:tr>
      <w:tr w:rsidR="004B1A77" w:rsidRPr="00E83E0B" w14:paraId="686CAFB2" w14:textId="77777777" w:rsidTr="006301E1">
        <w:trPr>
          <w:jc w:val="right"/>
        </w:trPr>
        <w:tc>
          <w:tcPr>
            <w:tcW w:w="844" w:type="pct"/>
            <w:vAlign w:val="bottom"/>
          </w:tcPr>
          <w:p w14:paraId="05879704"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2011</w:t>
            </w:r>
          </w:p>
        </w:tc>
        <w:tc>
          <w:tcPr>
            <w:tcW w:w="712" w:type="pct"/>
            <w:vAlign w:val="bottom"/>
          </w:tcPr>
          <w:p w14:paraId="3DB9380A"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4,2</w:t>
            </w:r>
          </w:p>
        </w:tc>
        <w:tc>
          <w:tcPr>
            <w:tcW w:w="619" w:type="pct"/>
            <w:vAlign w:val="bottom"/>
          </w:tcPr>
          <w:p w14:paraId="05A7AB55"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4,1</w:t>
            </w:r>
          </w:p>
        </w:tc>
        <w:tc>
          <w:tcPr>
            <w:tcW w:w="560" w:type="pct"/>
            <w:vAlign w:val="bottom"/>
          </w:tcPr>
          <w:p w14:paraId="0C648B3D"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4,6</w:t>
            </w:r>
          </w:p>
        </w:tc>
        <w:tc>
          <w:tcPr>
            <w:tcW w:w="745" w:type="pct"/>
            <w:vAlign w:val="bottom"/>
          </w:tcPr>
          <w:p w14:paraId="083E4ED9"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3,6</w:t>
            </w:r>
          </w:p>
        </w:tc>
        <w:tc>
          <w:tcPr>
            <w:tcW w:w="589" w:type="pct"/>
            <w:vAlign w:val="bottom"/>
          </w:tcPr>
          <w:p w14:paraId="59638A56" w14:textId="77777777" w:rsidR="004B1A77" w:rsidRPr="00E83E0B" w:rsidRDefault="004B1A77" w:rsidP="00795948">
            <w:pPr>
              <w:autoSpaceDE w:val="0"/>
              <w:autoSpaceDN w:val="0"/>
              <w:adjustRightInd w:val="0"/>
              <w:spacing w:after="0"/>
              <w:ind w:left="80" w:right="80"/>
              <w:jc w:val="right"/>
              <w:rPr>
                <w:rFonts w:ascii="Times New Roman" w:hAnsi="Times New Roman"/>
                <w:noProof/>
                <w:lang w:eastAsia="nb-NO"/>
              </w:rPr>
            </w:pPr>
            <w:r w:rsidRPr="00E83E0B">
              <w:rPr>
                <w:rFonts w:ascii="Times New Roman" w:hAnsi="Times New Roman"/>
                <w:noProof/>
              </w:rPr>
              <w:t>4,5</w:t>
            </w:r>
          </w:p>
        </w:tc>
        <w:tc>
          <w:tcPr>
            <w:tcW w:w="930" w:type="pct"/>
            <w:vAlign w:val="bottom"/>
          </w:tcPr>
          <w:p w14:paraId="5ABEE539"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4,3</w:t>
            </w:r>
          </w:p>
        </w:tc>
      </w:tr>
      <w:tr w:rsidR="004B1A77" w:rsidRPr="00E83E0B" w14:paraId="60D438E9" w14:textId="77777777" w:rsidTr="006301E1">
        <w:trPr>
          <w:jc w:val="right"/>
        </w:trPr>
        <w:tc>
          <w:tcPr>
            <w:tcW w:w="844" w:type="pct"/>
            <w:vAlign w:val="bottom"/>
          </w:tcPr>
          <w:p w14:paraId="2C9D2066"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2012</w:t>
            </w:r>
          </w:p>
        </w:tc>
        <w:tc>
          <w:tcPr>
            <w:tcW w:w="712" w:type="pct"/>
            <w:vAlign w:val="bottom"/>
          </w:tcPr>
          <w:p w14:paraId="22F0AFA4"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4,0</w:t>
            </w:r>
          </w:p>
        </w:tc>
        <w:tc>
          <w:tcPr>
            <w:tcW w:w="619" w:type="pct"/>
            <w:vAlign w:val="bottom"/>
          </w:tcPr>
          <w:p w14:paraId="068EDE1B"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4,0</w:t>
            </w:r>
          </w:p>
        </w:tc>
        <w:tc>
          <w:tcPr>
            <w:tcW w:w="560" w:type="pct"/>
            <w:vAlign w:val="bottom"/>
          </w:tcPr>
          <w:p w14:paraId="31EB55C6"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4,6</w:t>
            </w:r>
          </w:p>
        </w:tc>
        <w:tc>
          <w:tcPr>
            <w:tcW w:w="745" w:type="pct"/>
            <w:vAlign w:val="bottom"/>
          </w:tcPr>
          <w:p w14:paraId="2C466DF7"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3,2</w:t>
            </w:r>
          </w:p>
        </w:tc>
        <w:tc>
          <w:tcPr>
            <w:tcW w:w="589" w:type="pct"/>
            <w:vAlign w:val="bottom"/>
          </w:tcPr>
          <w:p w14:paraId="24F558D3" w14:textId="77777777" w:rsidR="004B1A77" w:rsidRPr="00E83E0B" w:rsidRDefault="004B1A77" w:rsidP="00795948">
            <w:pPr>
              <w:autoSpaceDE w:val="0"/>
              <w:autoSpaceDN w:val="0"/>
              <w:adjustRightInd w:val="0"/>
              <w:spacing w:after="0"/>
              <w:ind w:left="80" w:right="80"/>
              <w:jc w:val="right"/>
              <w:rPr>
                <w:rFonts w:ascii="Times New Roman" w:hAnsi="Times New Roman"/>
                <w:noProof/>
                <w:lang w:eastAsia="nb-NO"/>
              </w:rPr>
            </w:pPr>
            <w:r w:rsidRPr="00E83E0B">
              <w:rPr>
                <w:rFonts w:ascii="Times New Roman" w:hAnsi="Times New Roman"/>
                <w:noProof/>
              </w:rPr>
              <w:t>4,2</w:t>
            </w:r>
          </w:p>
        </w:tc>
        <w:tc>
          <w:tcPr>
            <w:tcW w:w="930" w:type="pct"/>
            <w:vAlign w:val="bottom"/>
          </w:tcPr>
          <w:p w14:paraId="735D640D"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3,6</w:t>
            </w:r>
          </w:p>
        </w:tc>
      </w:tr>
      <w:tr w:rsidR="004B1A77" w:rsidRPr="00E83E0B" w14:paraId="02973373" w14:textId="77777777" w:rsidTr="006301E1">
        <w:trPr>
          <w:jc w:val="right"/>
        </w:trPr>
        <w:tc>
          <w:tcPr>
            <w:tcW w:w="844" w:type="pct"/>
            <w:tcBorders>
              <w:bottom w:val="single" w:sz="4" w:space="0" w:color="auto"/>
            </w:tcBorders>
            <w:vAlign w:val="bottom"/>
          </w:tcPr>
          <w:p w14:paraId="48983BF4" w14:textId="77777777" w:rsidR="004B1A77"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2013</w:t>
            </w:r>
          </w:p>
          <w:p w14:paraId="1340DC68" w14:textId="77777777" w:rsidR="004B1A77" w:rsidRPr="00E83E0B" w:rsidRDefault="004B1A77" w:rsidP="00795948">
            <w:pPr>
              <w:autoSpaceDE w:val="0"/>
              <w:autoSpaceDN w:val="0"/>
              <w:adjustRightInd w:val="0"/>
              <w:spacing w:after="0"/>
              <w:ind w:left="80" w:right="80"/>
              <w:rPr>
                <w:rFonts w:ascii="Times New Roman" w:hAnsi="Times New Roman"/>
                <w:noProof/>
              </w:rPr>
            </w:pPr>
            <w:r>
              <w:rPr>
                <w:rFonts w:ascii="Times New Roman" w:hAnsi="Times New Roman"/>
                <w:noProof/>
              </w:rPr>
              <w:t>2014</w:t>
            </w:r>
          </w:p>
        </w:tc>
        <w:tc>
          <w:tcPr>
            <w:tcW w:w="712" w:type="pct"/>
            <w:tcBorders>
              <w:bottom w:val="single" w:sz="4" w:space="0" w:color="auto"/>
            </w:tcBorders>
            <w:vAlign w:val="bottom"/>
          </w:tcPr>
          <w:p w14:paraId="3A543050" w14:textId="77777777" w:rsidR="004B1A77"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3,9</w:t>
            </w:r>
          </w:p>
          <w:p w14:paraId="4ACE3F2F"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3,1</w:t>
            </w:r>
          </w:p>
        </w:tc>
        <w:tc>
          <w:tcPr>
            <w:tcW w:w="619" w:type="pct"/>
            <w:tcBorders>
              <w:bottom w:val="single" w:sz="4" w:space="0" w:color="auto"/>
            </w:tcBorders>
            <w:vAlign w:val="bottom"/>
          </w:tcPr>
          <w:p w14:paraId="655ACAE9" w14:textId="77777777" w:rsidR="004B1A77"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3,9</w:t>
            </w:r>
          </w:p>
          <w:p w14:paraId="67272881" w14:textId="77777777" w:rsidR="004B1A77" w:rsidRPr="00E83E0B" w:rsidRDefault="00653B0C" w:rsidP="00653B0C">
            <w:pPr>
              <w:autoSpaceDE w:val="0"/>
              <w:autoSpaceDN w:val="0"/>
              <w:adjustRightInd w:val="0"/>
              <w:spacing w:after="0"/>
              <w:ind w:left="80" w:right="80"/>
              <w:jc w:val="right"/>
              <w:rPr>
                <w:rFonts w:ascii="Times New Roman" w:hAnsi="Times New Roman"/>
                <w:noProof/>
              </w:rPr>
            </w:pPr>
            <w:r>
              <w:rPr>
                <w:rFonts w:ascii="Times New Roman" w:hAnsi="Times New Roman"/>
                <w:noProof/>
              </w:rPr>
              <w:t>3,0</w:t>
            </w:r>
          </w:p>
        </w:tc>
        <w:tc>
          <w:tcPr>
            <w:tcW w:w="560" w:type="pct"/>
            <w:tcBorders>
              <w:bottom w:val="single" w:sz="4" w:space="0" w:color="auto"/>
            </w:tcBorders>
            <w:vAlign w:val="bottom"/>
          </w:tcPr>
          <w:p w14:paraId="6449D13A" w14:textId="77777777" w:rsidR="004B1A77"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3,7</w:t>
            </w:r>
          </w:p>
          <w:p w14:paraId="7EEC7B47" w14:textId="77777777" w:rsidR="004B1A77" w:rsidRPr="00E83E0B" w:rsidRDefault="00653B0C"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2,8</w:t>
            </w:r>
          </w:p>
        </w:tc>
        <w:tc>
          <w:tcPr>
            <w:tcW w:w="745" w:type="pct"/>
            <w:tcBorders>
              <w:bottom w:val="single" w:sz="4" w:space="0" w:color="auto"/>
            </w:tcBorders>
            <w:vAlign w:val="bottom"/>
          </w:tcPr>
          <w:p w14:paraId="5142517F" w14:textId="77777777" w:rsidR="004B1A77"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3,4</w:t>
            </w:r>
          </w:p>
          <w:p w14:paraId="783D54F8" w14:textId="77777777" w:rsidR="004B1A77" w:rsidRPr="00E83E0B" w:rsidRDefault="00653B0C"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1,6</w:t>
            </w:r>
          </w:p>
        </w:tc>
        <w:tc>
          <w:tcPr>
            <w:tcW w:w="589" w:type="pct"/>
            <w:tcBorders>
              <w:bottom w:val="single" w:sz="4" w:space="0" w:color="auto"/>
            </w:tcBorders>
            <w:vAlign w:val="bottom"/>
          </w:tcPr>
          <w:p w14:paraId="63F19425" w14:textId="77777777" w:rsidR="004B1A77"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3,8</w:t>
            </w:r>
          </w:p>
          <w:p w14:paraId="45CD3891" w14:textId="77777777" w:rsidR="004B1A77" w:rsidRPr="00E83E0B" w:rsidRDefault="008D0749"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3,5</w:t>
            </w:r>
          </w:p>
        </w:tc>
        <w:tc>
          <w:tcPr>
            <w:tcW w:w="930" w:type="pct"/>
            <w:tcBorders>
              <w:bottom w:val="single" w:sz="4" w:space="0" w:color="auto"/>
            </w:tcBorders>
            <w:vAlign w:val="bottom"/>
          </w:tcPr>
          <w:p w14:paraId="6CFFE671" w14:textId="77777777" w:rsidR="004B1A77"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3,9</w:t>
            </w:r>
          </w:p>
          <w:p w14:paraId="3038801A" w14:textId="77777777" w:rsidR="004B1A77" w:rsidRPr="00E83E0B" w:rsidRDefault="00653B0C"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3,5</w:t>
            </w:r>
          </w:p>
        </w:tc>
      </w:tr>
      <w:tr w:rsidR="004B1A77" w:rsidRPr="00E83E0B" w14:paraId="4D42514C" w14:textId="77777777" w:rsidTr="006301E1">
        <w:trPr>
          <w:jc w:val="right"/>
        </w:trPr>
        <w:tc>
          <w:tcPr>
            <w:tcW w:w="844" w:type="pct"/>
            <w:tcBorders>
              <w:top w:val="single" w:sz="4" w:space="0" w:color="auto"/>
            </w:tcBorders>
            <w:vAlign w:val="bottom"/>
          </w:tcPr>
          <w:p w14:paraId="7D9D799F"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200</w:t>
            </w:r>
            <w:r>
              <w:rPr>
                <w:rFonts w:ascii="Times New Roman" w:hAnsi="Times New Roman"/>
                <w:noProof/>
              </w:rPr>
              <w:t>4</w:t>
            </w:r>
            <w:r w:rsidRPr="00E83E0B">
              <w:rPr>
                <w:rFonts w:ascii="Times New Roman" w:hAnsi="Times New Roman"/>
                <w:noProof/>
              </w:rPr>
              <w:t>-201</w:t>
            </w:r>
            <w:r>
              <w:rPr>
                <w:rFonts w:ascii="Times New Roman" w:hAnsi="Times New Roman"/>
                <w:noProof/>
              </w:rPr>
              <w:t>4</w:t>
            </w:r>
          </w:p>
        </w:tc>
        <w:tc>
          <w:tcPr>
            <w:tcW w:w="712" w:type="pct"/>
            <w:tcBorders>
              <w:top w:val="single" w:sz="4" w:space="0" w:color="auto"/>
            </w:tcBorders>
            <w:vAlign w:val="bottom"/>
          </w:tcPr>
          <w:p w14:paraId="1D4FC778" w14:textId="77777777" w:rsidR="004B1A77" w:rsidRPr="00E83E0B" w:rsidRDefault="004B1A77" w:rsidP="002955CD">
            <w:pPr>
              <w:spacing w:after="0"/>
              <w:ind w:right="72"/>
              <w:jc w:val="right"/>
              <w:rPr>
                <w:rFonts w:ascii="Times New Roman" w:hAnsi="Times New Roman"/>
              </w:rPr>
            </w:pPr>
            <w:r w:rsidRPr="00E83E0B">
              <w:rPr>
                <w:rFonts w:ascii="Times New Roman" w:hAnsi="Times New Roman"/>
              </w:rPr>
              <w:t>51,</w:t>
            </w:r>
            <w:r w:rsidR="002955CD">
              <w:rPr>
                <w:rFonts w:ascii="Times New Roman" w:hAnsi="Times New Roman"/>
              </w:rPr>
              <w:t>1</w:t>
            </w:r>
          </w:p>
        </w:tc>
        <w:tc>
          <w:tcPr>
            <w:tcW w:w="619" w:type="pct"/>
            <w:tcBorders>
              <w:top w:val="single" w:sz="4" w:space="0" w:color="auto"/>
            </w:tcBorders>
            <w:vAlign w:val="bottom"/>
          </w:tcPr>
          <w:p w14:paraId="18A416FF" w14:textId="77777777" w:rsidR="004B1A77" w:rsidRPr="00E83E0B" w:rsidRDefault="004B1A77" w:rsidP="00795948">
            <w:pPr>
              <w:spacing w:after="0"/>
              <w:ind w:right="110"/>
              <w:jc w:val="right"/>
              <w:rPr>
                <w:rFonts w:ascii="Times New Roman" w:hAnsi="Times New Roman"/>
              </w:rPr>
            </w:pPr>
            <w:r>
              <w:rPr>
                <w:rFonts w:ascii="Times New Roman" w:hAnsi="Times New Roman"/>
              </w:rPr>
              <w:t>-</w:t>
            </w:r>
          </w:p>
        </w:tc>
        <w:tc>
          <w:tcPr>
            <w:tcW w:w="560" w:type="pct"/>
            <w:tcBorders>
              <w:top w:val="single" w:sz="4" w:space="0" w:color="auto"/>
            </w:tcBorders>
            <w:vAlign w:val="bottom"/>
          </w:tcPr>
          <w:p w14:paraId="6A12E44A" w14:textId="77777777" w:rsidR="004B1A77" w:rsidRPr="00E83E0B" w:rsidRDefault="00A014C6" w:rsidP="00795948">
            <w:pPr>
              <w:spacing w:after="0"/>
              <w:ind w:right="63"/>
              <w:jc w:val="right"/>
              <w:rPr>
                <w:rFonts w:ascii="Times New Roman" w:hAnsi="Times New Roman"/>
              </w:rPr>
            </w:pPr>
            <w:r>
              <w:rPr>
                <w:rFonts w:ascii="Times New Roman" w:hAnsi="Times New Roman"/>
              </w:rPr>
              <w:t>50,5</w:t>
            </w:r>
          </w:p>
        </w:tc>
        <w:tc>
          <w:tcPr>
            <w:tcW w:w="745" w:type="pct"/>
            <w:tcBorders>
              <w:top w:val="single" w:sz="4" w:space="0" w:color="auto"/>
            </w:tcBorders>
            <w:vAlign w:val="bottom"/>
          </w:tcPr>
          <w:p w14:paraId="71CCD8CD" w14:textId="77777777" w:rsidR="004B1A77" w:rsidRPr="00E83E0B" w:rsidRDefault="00A014C6" w:rsidP="00795948">
            <w:pPr>
              <w:spacing w:after="0"/>
              <w:ind w:right="49"/>
              <w:jc w:val="right"/>
              <w:rPr>
                <w:rFonts w:ascii="Times New Roman" w:hAnsi="Times New Roman"/>
              </w:rPr>
            </w:pPr>
            <w:r>
              <w:rPr>
                <w:rFonts w:ascii="Times New Roman" w:hAnsi="Times New Roman"/>
              </w:rPr>
              <w:t>41,0</w:t>
            </w:r>
          </w:p>
        </w:tc>
        <w:tc>
          <w:tcPr>
            <w:tcW w:w="589" w:type="pct"/>
            <w:tcBorders>
              <w:top w:val="single" w:sz="4" w:space="0" w:color="auto"/>
            </w:tcBorders>
            <w:vAlign w:val="bottom"/>
          </w:tcPr>
          <w:p w14:paraId="5AA61C38" w14:textId="77777777" w:rsidR="004B1A77" w:rsidRPr="00E83E0B" w:rsidRDefault="004B1A77" w:rsidP="00795948">
            <w:pPr>
              <w:spacing w:after="0"/>
              <w:ind w:right="109"/>
              <w:jc w:val="right"/>
              <w:rPr>
                <w:rFonts w:ascii="Times New Roman" w:hAnsi="Times New Roman"/>
              </w:rPr>
            </w:pPr>
            <w:r>
              <w:rPr>
                <w:rFonts w:ascii="Times New Roman" w:hAnsi="Times New Roman"/>
              </w:rPr>
              <w:t>-</w:t>
            </w:r>
          </w:p>
        </w:tc>
        <w:tc>
          <w:tcPr>
            <w:tcW w:w="930" w:type="pct"/>
            <w:tcBorders>
              <w:top w:val="single" w:sz="4" w:space="0" w:color="auto"/>
            </w:tcBorders>
            <w:vAlign w:val="bottom"/>
          </w:tcPr>
          <w:p w14:paraId="319571FA" w14:textId="77777777" w:rsidR="004B1A77" w:rsidRPr="00E83E0B" w:rsidRDefault="004B1A77" w:rsidP="00795948">
            <w:pPr>
              <w:spacing w:after="0"/>
              <w:ind w:right="109"/>
              <w:jc w:val="right"/>
              <w:rPr>
                <w:rFonts w:ascii="Times New Roman" w:hAnsi="Times New Roman"/>
              </w:rPr>
            </w:pPr>
            <w:r>
              <w:rPr>
                <w:rFonts w:ascii="Times New Roman" w:hAnsi="Times New Roman"/>
              </w:rPr>
              <w:t>-</w:t>
            </w:r>
          </w:p>
        </w:tc>
      </w:tr>
      <w:tr w:rsidR="004B1A77" w:rsidRPr="00E83E0B" w14:paraId="5A214364" w14:textId="77777777" w:rsidTr="006301E1">
        <w:trPr>
          <w:jc w:val="right"/>
        </w:trPr>
        <w:tc>
          <w:tcPr>
            <w:tcW w:w="844" w:type="pct"/>
            <w:vAlign w:val="bottom"/>
          </w:tcPr>
          <w:p w14:paraId="0435A369"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Gj. sn. per år</w:t>
            </w:r>
          </w:p>
        </w:tc>
        <w:tc>
          <w:tcPr>
            <w:tcW w:w="712" w:type="pct"/>
            <w:vAlign w:val="bottom"/>
          </w:tcPr>
          <w:p w14:paraId="18CA9B9C" w14:textId="77777777" w:rsidR="004B1A77" w:rsidRPr="00E83E0B" w:rsidRDefault="004B1A77" w:rsidP="002955CD">
            <w:pPr>
              <w:spacing w:after="0"/>
              <w:ind w:right="72"/>
              <w:jc w:val="right"/>
              <w:rPr>
                <w:rFonts w:ascii="Times New Roman" w:hAnsi="Times New Roman"/>
              </w:rPr>
            </w:pPr>
            <w:r w:rsidRPr="00E83E0B">
              <w:rPr>
                <w:rFonts w:ascii="Times New Roman" w:hAnsi="Times New Roman"/>
              </w:rPr>
              <w:t>4,</w:t>
            </w:r>
            <w:r w:rsidR="002955CD">
              <w:rPr>
                <w:rFonts w:ascii="Times New Roman" w:hAnsi="Times New Roman"/>
              </w:rPr>
              <w:t>2</w:t>
            </w:r>
          </w:p>
        </w:tc>
        <w:tc>
          <w:tcPr>
            <w:tcW w:w="619" w:type="pct"/>
            <w:vAlign w:val="bottom"/>
          </w:tcPr>
          <w:p w14:paraId="2FC06672" w14:textId="77777777" w:rsidR="004B1A77" w:rsidRPr="00E83E0B" w:rsidRDefault="004B1A77" w:rsidP="00795948">
            <w:pPr>
              <w:spacing w:after="0"/>
              <w:ind w:right="110"/>
              <w:jc w:val="right"/>
              <w:rPr>
                <w:rFonts w:ascii="Times New Roman" w:hAnsi="Times New Roman"/>
              </w:rPr>
            </w:pPr>
            <w:r>
              <w:rPr>
                <w:rFonts w:ascii="Times New Roman" w:hAnsi="Times New Roman"/>
              </w:rPr>
              <w:t>-</w:t>
            </w:r>
          </w:p>
        </w:tc>
        <w:tc>
          <w:tcPr>
            <w:tcW w:w="560" w:type="pct"/>
            <w:vAlign w:val="bottom"/>
          </w:tcPr>
          <w:p w14:paraId="0326F4CA" w14:textId="77777777" w:rsidR="004B1A77" w:rsidRPr="00E83E0B" w:rsidRDefault="00A014C6" w:rsidP="00795948">
            <w:pPr>
              <w:spacing w:after="0"/>
              <w:ind w:right="63"/>
              <w:jc w:val="right"/>
              <w:rPr>
                <w:rFonts w:ascii="Times New Roman" w:hAnsi="Times New Roman"/>
              </w:rPr>
            </w:pPr>
            <w:r>
              <w:rPr>
                <w:rFonts w:ascii="Times New Roman" w:hAnsi="Times New Roman"/>
              </w:rPr>
              <w:t>4,2</w:t>
            </w:r>
          </w:p>
        </w:tc>
        <w:tc>
          <w:tcPr>
            <w:tcW w:w="745" w:type="pct"/>
            <w:vAlign w:val="bottom"/>
          </w:tcPr>
          <w:p w14:paraId="0889A6E7" w14:textId="77777777" w:rsidR="004B1A77" w:rsidRPr="00E83E0B" w:rsidRDefault="00A014C6" w:rsidP="00795948">
            <w:pPr>
              <w:spacing w:after="0"/>
              <w:ind w:right="49"/>
              <w:jc w:val="right"/>
              <w:rPr>
                <w:rFonts w:ascii="Times New Roman" w:hAnsi="Times New Roman"/>
              </w:rPr>
            </w:pPr>
            <w:r>
              <w:rPr>
                <w:rFonts w:ascii="Times New Roman" w:hAnsi="Times New Roman"/>
              </w:rPr>
              <w:t>3,5</w:t>
            </w:r>
          </w:p>
        </w:tc>
        <w:tc>
          <w:tcPr>
            <w:tcW w:w="589" w:type="pct"/>
            <w:vAlign w:val="bottom"/>
          </w:tcPr>
          <w:p w14:paraId="23D4A445" w14:textId="77777777" w:rsidR="004B1A77" w:rsidRPr="00E83E0B" w:rsidRDefault="004B1A77" w:rsidP="00795948">
            <w:pPr>
              <w:spacing w:after="0"/>
              <w:ind w:right="109"/>
              <w:jc w:val="right"/>
              <w:rPr>
                <w:rFonts w:ascii="Times New Roman" w:hAnsi="Times New Roman"/>
              </w:rPr>
            </w:pPr>
            <w:r>
              <w:rPr>
                <w:rFonts w:ascii="Times New Roman" w:hAnsi="Times New Roman"/>
              </w:rPr>
              <w:t>-</w:t>
            </w:r>
          </w:p>
        </w:tc>
        <w:tc>
          <w:tcPr>
            <w:tcW w:w="930" w:type="pct"/>
            <w:vAlign w:val="bottom"/>
          </w:tcPr>
          <w:p w14:paraId="2FAEA5F4" w14:textId="77777777" w:rsidR="004B1A77" w:rsidRPr="00E83E0B" w:rsidRDefault="004B1A77" w:rsidP="00795948">
            <w:pPr>
              <w:spacing w:after="0"/>
              <w:ind w:right="109"/>
              <w:jc w:val="right"/>
              <w:rPr>
                <w:rFonts w:ascii="Times New Roman" w:hAnsi="Times New Roman"/>
              </w:rPr>
            </w:pPr>
            <w:r>
              <w:rPr>
                <w:rFonts w:ascii="Times New Roman" w:hAnsi="Times New Roman"/>
              </w:rPr>
              <w:t>-</w:t>
            </w:r>
          </w:p>
        </w:tc>
      </w:tr>
      <w:tr w:rsidR="004B1A77" w:rsidRPr="00E83E0B" w14:paraId="20707D43" w14:textId="77777777" w:rsidTr="006301E1">
        <w:trPr>
          <w:jc w:val="right"/>
        </w:trPr>
        <w:tc>
          <w:tcPr>
            <w:tcW w:w="844" w:type="pct"/>
            <w:vAlign w:val="bottom"/>
          </w:tcPr>
          <w:p w14:paraId="492328EF"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200</w:t>
            </w:r>
            <w:r>
              <w:rPr>
                <w:rFonts w:ascii="Times New Roman" w:hAnsi="Times New Roman"/>
                <w:noProof/>
              </w:rPr>
              <w:t>9</w:t>
            </w:r>
            <w:r w:rsidRPr="00E83E0B">
              <w:rPr>
                <w:rFonts w:ascii="Times New Roman" w:hAnsi="Times New Roman"/>
                <w:noProof/>
              </w:rPr>
              <w:t>-201</w:t>
            </w:r>
            <w:r>
              <w:rPr>
                <w:rFonts w:ascii="Times New Roman" w:hAnsi="Times New Roman"/>
                <w:noProof/>
              </w:rPr>
              <w:t>4</w:t>
            </w:r>
          </w:p>
        </w:tc>
        <w:tc>
          <w:tcPr>
            <w:tcW w:w="712" w:type="pct"/>
            <w:vAlign w:val="bottom"/>
          </w:tcPr>
          <w:p w14:paraId="64E633A3" w14:textId="77777777" w:rsidR="004B1A77" w:rsidRPr="00E83E0B" w:rsidRDefault="002955CD" w:rsidP="00795948">
            <w:pPr>
              <w:spacing w:after="0"/>
              <w:ind w:right="72"/>
              <w:jc w:val="right"/>
              <w:rPr>
                <w:rFonts w:ascii="Times New Roman" w:hAnsi="Times New Roman"/>
              </w:rPr>
            </w:pPr>
            <w:r>
              <w:rPr>
                <w:rFonts w:ascii="Times New Roman" w:hAnsi="Times New Roman"/>
              </w:rPr>
              <w:t>20,4</w:t>
            </w:r>
          </w:p>
        </w:tc>
        <w:tc>
          <w:tcPr>
            <w:tcW w:w="619" w:type="pct"/>
            <w:vAlign w:val="bottom"/>
          </w:tcPr>
          <w:p w14:paraId="6E57D3BF" w14:textId="77777777" w:rsidR="004B1A77" w:rsidRPr="00E83E0B" w:rsidRDefault="00A014C6" w:rsidP="00795948">
            <w:pPr>
              <w:spacing w:after="0"/>
              <w:ind w:right="110"/>
              <w:jc w:val="right"/>
              <w:rPr>
                <w:rFonts w:ascii="Times New Roman" w:hAnsi="Times New Roman"/>
              </w:rPr>
            </w:pPr>
            <w:r>
              <w:rPr>
                <w:rFonts w:ascii="Times New Roman" w:hAnsi="Times New Roman"/>
              </w:rPr>
              <w:t>20,0</w:t>
            </w:r>
          </w:p>
        </w:tc>
        <w:tc>
          <w:tcPr>
            <w:tcW w:w="560" w:type="pct"/>
            <w:vAlign w:val="bottom"/>
          </w:tcPr>
          <w:p w14:paraId="3A6336EE" w14:textId="77777777" w:rsidR="004B1A77" w:rsidRPr="00E83E0B" w:rsidRDefault="00A014C6" w:rsidP="00795948">
            <w:pPr>
              <w:spacing w:after="0"/>
              <w:ind w:right="63"/>
              <w:jc w:val="right"/>
              <w:rPr>
                <w:rFonts w:ascii="Times New Roman" w:hAnsi="Times New Roman"/>
              </w:rPr>
            </w:pPr>
            <w:r>
              <w:rPr>
                <w:rFonts w:ascii="Times New Roman" w:hAnsi="Times New Roman"/>
              </w:rPr>
              <w:t>20,0</w:t>
            </w:r>
          </w:p>
        </w:tc>
        <w:tc>
          <w:tcPr>
            <w:tcW w:w="745" w:type="pct"/>
            <w:vAlign w:val="bottom"/>
          </w:tcPr>
          <w:p w14:paraId="0B3F1BB6" w14:textId="77777777" w:rsidR="004B1A77" w:rsidRPr="00E83E0B" w:rsidRDefault="00A014C6" w:rsidP="00795948">
            <w:pPr>
              <w:spacing w:after="0"/>
              <w:ind w:right="49"/>
              <w:jc w:val="right"/>
              <w:rPr>
                <w:rFonts w:ascii="Times New Roman" w:hAnsi="Times New Roman"/>
              </w:rPr>
            </w:pPr>
            <w:r>
              <w:rPr>
                <w:rFonts w:ascii="Times New Roman" w:hAnsi="Times New Roman"/>
              </w:rPr>
              <w:t>15,6</w:t>
            </w:r>
          </w:p>
        </w:tc>
        <w:tc>
          <w:tcPr>
            <w:tcW w:w="589" w:type="pct"/>
            <w:vAlign w:val="bottom"/>
          </w:tcPr>
          <w:p w14:paraId="0F16C107" w14:textId="77777777" w:rsidR="004B1A77" w:rsidRPr="00E83E0B" w:rsidRDefault="004B1A77" w:rsidP="00795948">
            <w:pPr>
              <w:spacing w:after="0"/>
              <w:ind w:right="109"/>
              <w:jc w:val="right"/>
              <w:rPr>
                <w:rFonts w:ascii="Times New Roman" w:hAnsi="Times New Roman"/>
              </w:rPr>
            </w:pPr>
            <w:r>
              <w:rPr>
                <w:rFonts w:ascii="Times New Roman" w:hAnsi="Times New Roman"/>
              </w:rPr>
              <w:t>-</w:t>
            </w:r>
          </w:p>
        </w:tc>
        <w:tc>
          <w:tcPr>
            <w:tcW w:w="930" w:type="pct"/>
            <w:vAlign w:val="bottom"/>
          </w:tcPr>
          <w:p w14:paraId="76F7EDF3" w14:textId="77777777" w:rsidR="004B1A77" w:rsidRPr="00E83E0B" w:rsidRDefault="00CF0372" w:rsidP="00795948">
            <w:pPr>
              <w:spacing w:after="0"/>
              <w:ind w:right="109"/>
              <w:jc w:val="right"/>
              <w:rPr>
                <w:rFonts w:ascii="Times New Roman" w:hAnsi="Times New Roman"/>
              </w:rPr>
            </w:pPr>
            <w:r>
              <w:rPr>
                <w:rFonts w:ascii="Times New Roman" w:hAnsi="Times New Roman"/>
              </w:rPr>
              <w:t>19,7</w:t>
            </w:r>
          </w:p>
        </w:tc>
      </w:tr>
      <w:tr w:rsidR="004B1A77" w:rsidRPr="00E83E0B" w14:paraId="66A82573" w14:textId="77777777" w:rsidTr="006301E1">
        <w:trPr>
          <w:jc w:val="right"/>
        </w:trPr>
        <w:tc>
          <w:tcPr>
            <w:tcW w:w="844" w:type="pct"/>
            <w:tcBorders>
              <w:bottom w:val="single" w:sz="4" w:space="0" w:color="auto"/>
            </w:tcBorders>
            <w:vAlign w:val="bottom"/>
          </w:tcPr>
          <w:p w14:paraId="16824218" w14:textId="77777777" w:rsidR="004B1A77" w:rsidRPr="00E83E0B" w:rsidRDefault="004B1A77" w:rsidP="00795948">
            <w:pPr>
              <w:autoSpaceDE w:val="0"/>
              <w:autoSpaceDN w:val="0"/>
              <w:adjustRightInd w:val="0"/>
              <w:spacing w:after="0"/>
              <w:ind w:left="80" w:right="80"/>
              <w:rPr>
                <w:rFonts w:ascii="Times New Roman" w:hAnsi="Times New Roman"/>
                <w:noProof/>
              </w:rPr>
            </w:pPr>
            <w:r w:rsidRPr="00E83E0B">
              <w:rPr>
                <w:rFonts w:ascii="Times New Roman" w:hAnsi="Times New Roman"/>
                <w:noProof/>
              </w:rPr>
              <w:t>Gj. sn. per år</w:t>
            </w:r>
          </w:p>
        </w:tc>
        <w:tc>
          <w:tcPr>
            <w:tcW w:w="712" w:type="pct"/>
            <w:tcBorders>
              <w:bottom w:val="single" w:sz="4" w:space="0" w:color="auto"/>
            </w:tcBorders>
            <w:vAlign w:val="bottom"/>
          </w:tcPr>
          <w:p w14:paraId="1E2E4287" w14:textId="77777777" w:rsidR="004B1A77" w:rsidRPr="00E83E0B" w:rsidRDefault="002955CD" w:rsidP="00795948">
            <w:pPr>
              <w:spacing w:after="0"/>
              <w:ind w:right="72"/>
              <w:jc w:val="right"/>
              <w:rPr>
                <w:rFonts w:ascii="Times New Roman" w:hAnsi="Times New Roman"/>
              </w:rPr>
            </w:pPr>
            <w:r>
              <w:rPr>
                <w:rFonts w:ascii="Times New Roman" w:hAnsi="Times New Roman"/>
              </w:rPr>
              <w:t>3,8</w:t>
            </w:r>
          </w:p>
        </w:tc>
        <w:tc>
          <w:tcPr>
            <w:tcW w:w="619" w:type="pct"/>
            <w:tcBorders>
              <w:bottom w:val="single" w:sz="4" w:space="0" w:color="auto"/>
            </w:tcBorders>
            <w:vAlign w:val="bottom"/>
          </w:tcPr>
          <w:p w14:paraId="6FBAE42C" w14:textId="77777777" w:rsidR="004B1A77" w:rsidRPr="00E83E0B" w:rsidRDefault="00A014C6" w:rsidP="00795948">
            <w:pPr>
              <w:spacing w:after="0"/>
              <w:ind w:right="110"/>
              <w:jc w:val="right"/>
              <w:rPr>
                <w:rFonts w:ascii="Times New Roman" w:hAnsi="Times New Roman"/>
              </w:rPr>
            </w:pPr>
            <w:r>
              <w:rPr>
                <w:rFonts w:ascii="Times New Roman" w:hAnsi="Times New Roman"/>
              </w:rPr>
              <w:t>3,7</w:t>
            </w:r>
          </w:p>
        </w:tc>
        <w:tc>
          <w:tcPr>
            <w:tcW w:w="560" w:type="pct"/>
            <w:tcBorders>
              <w:bottom w:val="single" w:sz="4" w:space="0" w:color="auto"/>
            </w:tcBorders>
            <w:vAlign w:val="bottom"/>
          </w:tcPr>
          <w:p w14:paraId="6FD04F7D" w14:textId="77777777" w:rsidR="004B1A77" w:rsidRPr="00E83E0B" w:rsidRDefault="00A014C6" w:rsidP="00795948">
            <w:pPr>
              <w:spacing w:after="0"/>
              <w:ind w:right="63"/>
              <w:jc w:val="right"/>
              <w:rPr>
                <w:rFonts w:ascii="Times New Roman" w:hAnsi="Times New Roman"/>
              </w:rPr>
            </w:pPr>
            <w:r>
              <w:rPr>
                <w:rFonts w:ascii="Times New Roman" w:hAnsi="Times New Roman"/>
              </w:rPr>
              <w:t>3,7</w:t>
            </w:r>
          </w:p>
        </w:tc>
        <w:tc>
          <w:tcPr>
            <w:tcW w:w="745" w:type="pct"/>
            <w:tcBorders>
              <w:bottom w:val="single" w:sz="4" w:space="0" w:color="auto"/>
            </w:tcBorders>
            <w:vAlign w:val="bottom"/>
          </w:tcPr>
          <w:p w14:paraId="258650A5" w14:textId="77777777" w:rsidR="004B1A77" w:rsidRPr="00E83E0B" w:rsidRDefault="00A014C6" w:rsidP="00795948">
            <w:pPr>
              <w:spacing w:after="0"/>
              <w:ind w:right="49"/>
              <w:jc w:val="right"/>
              <w:rPr>
                <w:rFonts w:ascii="Times New Roman" w:hAnsi="Times New Roman"/>
              </w:rPr>
            </w:pPr>
            <w:r>
              <w:rPr>
                <w:rFonts w:ascii="Times New Roman" w:hAnsi="Times New Roman"/>
              </w:rPr>
              <w:t>2,9</w:t>
            </w:r>
          </w:p>
        </w:tc>
        <w:tc>
          <w:tcPr>
            <w:tcW w:w="589" w:type="pct"/>
            <w:tcBorders>
              <w:bottom w:val="single" w:sz="4" w:space="0" w:color="auto"/>
            </w:tcBorders>
            <w:vAlign w:val="bottom"/>
          </w:tcPr>
          <w:p w14:paraId="2CD08284" w14:textId="77777777" w:rsidR="004B1A77" w:rsidRPr="00E83E0B" w:rsidRDefault="005A4A42" w:rsidP="00795948">
            <w:pPr>
              <w:spacing w:after="0"/>
              <w:ind w:right="109"/>
              <w:jc w:val="right"/>
              <w:rPr>
                <w:rFonts w:ascii="Times New Roman" w:hAnsi="Times New Roman"/>
              </w:rPr>
            </w:pPr>
            <w:r>
              <w:rPr>
                <w:rFonts w:ascii="Times New Roman" w:hAnsi="Times New Roman"/>
              </w:rPr>
              <w:t>-</w:t>
            </w:r>
          </w:p>
        </w:tc>
        <w:tc>
          <w:tcPr>
            <w:tcW w:w="930" w:type="pct"/>
            <w:tcBorders>
              <w:bottom w:val="single" w:sz="4" w:space="0" w:color="auto"/>
            </w:tcBorders>
            <w:vAlign w:val="bottom"/>
          </w:tcPr>
          <w:p w14:paraId="562BBABF" w14:textId="77777777" w:rsidR="004B1A77" w:rsidRPr="00E83E0B" w:rsidRDefault="00CF0372" w:rsidP="00795948">
            <w:pPr>
              <w:spacing w:after="0"/>
              <w:ind w:right="109"/>
              <w:jc w:val="right"/>
              <w:rPr>
                <w:rFonts w:ascii="Times New Roman" w:hAnsi="Times New Roman"/>
              </w:rPr>
            </w:pPr>
            <w:r>
              <w:rPr>
                <w:rFonts w:ascii="Times New Roman" w:hAnsi="Times New Roman"/>
              </w:rPr>
              <w:t>3,7</w:t>
            </w:r>
          </w:p>
        </w:tc>
      </w:tr>
      <w:tr w:rsidR="004B1A77" w:rsidRPr="00E83E0B" w14:paraId="5B4D839F" w14:textId="77777777" w:rsidTr="006301E1">
        <w:trPr>
          <w:jc w:val="right"/>
        </w:trPr>
        <w:tc>
          <w:tcPr>
            <w:tcW w:w="844" w:type="pct"/>
            <w:tcBorders>
              <w:top w:val="single" w:sz="4" w:space="0" w:color="auto"/>
            </w:tcBorders>
            <w:vAlign w:val="bottom"/>
          </w:tcPr>
          <w:p w14:paraId="5BB1947A" w14:textId="77777777" w:rsidR="004B1A77" w:rsidRPr="00E83E0B" w:rsidRDefault="004B1A77" w:rsidP="00653B0C">
            <w:pPr>
              <w:autoSpaceDE w:val="0"/>
              <w:autoSpaceDN w:val="0"/>
              <w:adjustRightInd w:val="0"/>
              <w:spacing w:after="0"/>
              <w:ind w:left="80" w:right="80"/>
              <w:rPr>
                <w:rFonts w:ascii="Times New Roman" w:hAnsi="Times New Roman"/>
                <w:noProof/>
              </w:rPr>
            </w:pPr>
            <w:r w:rsidRPr="00E83E0B">
              <w:rPr>
                <w:rFonts w:ascii="Times New Roman" w:hAnsi="Times New Roman"/>
                <w:noProof/>
              </w:rPr>
              <w:t xml:space="preserve">Årslønn </w:t>
            </w:r>
            <w:r w:rsidR="00653B0C" w:rsidRPr="00E83E0B">
              <w:rPr>
                <w:rFonts w:ascii="Times New Roman" w:hAnsi="Times New Roman"/>
                <w:noProof/>
              </w:rPr>
              <w:t>201</w:t>
            </w:r>
            <w:r w:rsidR="00653B0C">
              <w:rPr>
                <w:rFonts w:ascii="Times New Roman" w:hAnsi="Times New Roman"/>
                <w:noProof/>
              </w:rPr>
              <w:t>4</w:t>
            </w:r>
            <w:r w:rsidRPr="00E83E0B">
              <w:rPr>
                <w:rFonts w:ascii="Times New Roman" w:hAnsi="Times New Roman"/>
                <w:noProof/>
              </w:rPr>
              <w:t>, per årsverk</w:t>
            </w:r>
          </w:p>
        </w:tc>
        <w:tc>
          <w:tcPr>
            <w:tcW w:w="712" w:type="pct"/>
            <w:tcBorders>
              <w:top w:val="single" w:sz="4" w:space="0" w:color="auto"/>
            </w:tcBorders>
            <w:vAlign w:val="bottom"/>
          </w:tcPr>
          <w:p w14:paraId="4699F525"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p>
          <w:p w14:paraId="1B5E6AB4"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505</w:t>
            </w:r>
            <w:r w:rsidR="003049E3">
              <w:rPr>
                <w:rFonts w:ascii="Times New Roman" w:hAnsi="Times New Roman"/>
                <w:noProof/>
              </w:rPr>
              <w:t xml:space="preserve"> </w:t>
            </w:r>
            <w:r>
              <w:rPr>
                <w:rFonts w:ascii="Times New Roman" w:hAnsi="Times New Roman"/>
                <w:noProof/>
              </w:rPr>
              <w:t>400</w:t>
            </w:r>
          </w:p>
        </w:tc>
        <w:tc>
          <w:tcPr>
            <w:tcW w:w="619" w:type="pct"/>
            <w:tcBorders>
              <w:top w:val="single" w:sz="4" w:space="0" w:color="auto"/>
            </w:tcBorders>
            <w:vAlign w:val="bottom"/>
          </w:tcPr>
          <w:p w14:paraId="10304233" w14:textId="77777777" w:rsidR="004B1A77" w:rsidRDefault="004B1A77" w:rsidP="00795948">
            <w:pPr>
              <w:autoSpaceDE w:val="0"/>
              <w:autoSpaceDN w:val="0"/>
              <w:adjustRightInd w:val="0"/>
              <w:spacing w:after="0"/>
              <w:ind w:left="80" w:right="80"/>
              <w:jc w:val="right"/>
              <w:rPr>
                <w:rFonts w:ascii="Times New Roman" w:hAnsi="Times New Roman"/>
                <w:noProof/>
              </w:rPr>
            </w:pPr>
          </w:p>
          <w:p w14:paraId="26686AF5" w14:textId="77777777" w:rsidR="004B1A77" w:rsidRPr="00E83E0B" w:rsidRDefault="005855B1"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503 800</w:t>
            </w:r>
          </w:p>
        </w:tc>
        <w:tc>
          <w:tcPr>
            <w:tcW w:w="560" w:type="pct"/>
            <w:tcBorders>
              <w:top w:val="single" w:sz="4" w:space="0" w:color="auto"/>
            </w:tcBorders>
            <w:vAlign w:val="bottom"/>
          </w:tcPr>
          <w:p w14:paraId="0EDBF6F9" w14:textId="77777777" w:rsidR="004B1A77" w:rsidRDefault="004B1A77" w:rsidP="00795948">
            <w:pPr>
              <w:autoSpaceDE w:val="0"/>
              <w:autoSpaceDN w:val="0"/>
              <w:adjustRightInd w:val="0"/>
              <w:spacing w:after="0"/>
              <w:ind w:left="80" w:right="80"/>
              <w:jc w:val="right"/>
              <w:rPr>
                <w:rFonts w:ascii="Times New Roman" w:hAnsi="Times New Roman"/>
                <w:noProof/>
              </w:rPr>
            </w:pPr>
          </w:p>
          <w:p w14:paraId="279E6A40" w14:textId="77777777" w:rsidR="004B1A77" w:rsidRPr="00E83E0B" w:rsidRDefault="005855B1"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503 300</w:t>
            </w:r>
          </w:p>
        </w:tc>
        <w:tc>
          <w:tcPr>
            <w:tcW w:w="745" w:type="pct"/>
            <w:tcBorders>
              <w:top w:val="single" w:sz="4" w:space="0" w:color="auto"/>
            </w:tcBorders>
            <w:vAlign w:val="bottom"/>
          </w:tcPr>
          <w:p w14:paraId="035EF125" w14:textId="77777777" w:rsidR="004B1A77" w:rsidRDefault="004B1A77" w:rsidP="00795948">
            <w:pPr>
              <w:autoSpaceDE w:val="0"/>
              <w:autoSpaceDN w:val="0"/>
              <w:adjustRightInd w:val="0"/>
              <w:spacing w:after="0"/>
              <w:ind w:left="80" w:right="80"/>
              <w:jc w:val="right"/>
              <w:rPr>
                <w:rFonts w:ascii="Times New Roman" w:hAnsi="Times New Roman"/>
                <w:noProof/>
              </w:rPr>
            </w:pPr>
          </w:p>
          <w:p w14:paraId="6C55CE63" w14:textId="77777777" w:rsidR="004B1A77" w:rsidRPr="00E83E0B" w:rsidRDefault="005855B1"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440 800</w:t>
            </w:r>
          </w:p>
        </w:tc>
        <w:tc>
          <w:tcPr>
            <w:tcW w:w="589" w:type="pct"/>
            <w:tcBorders>
              <w:top w:val="single" w:sz="4" w:space="0" w:color="auto"/>
            </w:tcBorders>
            <w:vAlign w:val="bottom"/>
          </w:tcPr>
          <w:p w14:paraId="32DBA3C7" w14:textId="77777777" w:rsidR="004B1A77" w:rsidRDefault="004B1A77" w:rsidP="00795948">
            <w:pPr>
              <w:autoSpaceDE w:val="0"/>
              <w:autoSpaceDN w:val="0"/>
              <w:adjustRightInd w:val="0"/>
              <w:spacing w:after="0"/>
              <w:ind w:left="80" w:right="80"/>
              <w:jc w:val="right"/>
              <w:rPr>
                <w:rFonts w:ascii="Times New Roman" w:hAnsi="Times New Roman"/>
                <w:noProof/>
              </w:rPr>
            </w:pPr>
          </w:p>
          <w:p w14:paraId="2F26CDDB" w14:textId="77777777" w:rsidR="004B1A77" w:rsidRPr="00E83E0B" w:rsidRDefault="008D0749"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492 500</w:t>
            </w:r>
          </w:p>
        </w:tc>
        <w:tc>
          <w:tcPr>
            <w:tcW w:w="930" w:type="pct"/>
            <w:tcBorders>
              <w:top w:val="single" w:sz="4" w:space="0" w:color="auto"/>
            </w:tcBorders>
            <w:vAlign w:val="bottom"/>
          </w:tcPr>
          <w:p w14:paraId="7EB405C0" w14:textId="77777777" w:rsidR="004B1A77" w:rsidRPr="00E83E0B" w:rsidRDefault="005855B1"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525 200</w:t>
            </w:r>
          </w:p>
        </w:tc>
      </w:tr>
      <w:tr w:rsidR="004B1A77" w:rsidRPr="00E83E0B" w14:paraId="791FEBF9" w14:textId="77777777" w:rsidTr="006301E1">
        <w:trPr>
          <w:jc w:val="right"/>
        </w:trPr>
        <w:tc>
          <w:tcPr>
            <w:tcW w:w="844" w:type="pct"/>
            <w:tcBorders>
              <w:bottom w:val="single" w:sz="4" w:space="0" w:color="auto"/>
            </w:tcBorders>
            <w:vAlign w:val="bottom"/>
          </w:tcPr>
          <w:p w14:paraId="47BF41C1" w14:textId="77777777" w:rsidR="004B1A77" w:rsidRPr="00E83E0B" w:rsidRDefault="004B1A77" w:rsidP="00653B0C">
            <w:pPr>
              <w:autoSpaceDE w:val="0"/>
              <w:autoSpaceDN w:val="0"/>
              <w:adjustRightInd w:val="0"/>
              <w:spacing w:after="0"/>
              <w:ind w:left="80" w:right="80"/>
              <w:rPr>
                <w:rFonts w:ascii="Times New Roman" w:hAnsi="Times New Roman"/>
                <w:noProof/>
                <w:lang w:eastAsia="nb-NO"/>
              </w:rPr>
            </w:pPr>
            <w:r w:rsidRPr="00E83E0B">
              <w:rPr>
                <w:rFonts w:ascii="Times New Roman" w:hAnsi="Times New Roman"/>
                <w:noProof/>
              </w:rPr>
              <w:t xml:space="preserve">Årslønn </w:t>
            </w:r>
            <w:r w:rsidR="00653B0C" w:rsidRPr="00E83E0B">
              <w:rPr>
                <w:rFonts w:ascii="Times New Roman" w:hAnsi="Times New Roman"/>
                <w:noProof/>
              </w:rPr>
              <w:t>201</w:t>
            </w:r>
            <w:r w:rsidR="00653B0C">
              <w:rPr>
                <w:rFonts w:ascii="Times New Roman" w:hAnsi="Times New Roman"/>
                <w:noProof/>
              </w:rPr>
              <w:t>4</w:t>
            </w:r>
            <w:r w:rsidRPr="00E83E0B">
              <w:rPr>
                <w:rFonts w:ascii="Times New Roman" w:hAnsi="Times New Roman"/>
                <w:noProof/>
              </w:rPr>
              <w:t>, heltidsansatte</w:t>
            </w:r>
            <w:r w:rsidRPr="00E83E0B">
              <w:rPr>
                <w:rFonts w:ascii="Times New Roman" w:hAnsi="Times New Roman"/>
                <w:noProof/>
                <w:vertAlign w:val="superscript"/>
              </w:rPr>
              <w:t>7</w:t>
            </w:r>
          </w:p>
        </w:tc>
        <w:tc>
          <w:tcPr>
            <w:tcW w:w="712" w:type="pct"/>
            <w:tcBorders>
              <w:bottom w:val="single" w:sz="4" w:space="0" w:color="auto"/>
            </w:tcBorders>
            <w:vAlign w:val="bottom"/>
          </w:tcPr>
          <w:p w14:paraId="0F4A5E89"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p>
          <w:p w14:paraId="331963F2"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sidRPr="00E83E0B">
              <w:rPr>
                <w:rFonts w:ascii="Times New Roman" w:hAnsi="Times New Roman"/>
                <w:noProof/>
              </w:rPr>
              <w:t>-</w:t>
            </w:r>
          </w:p>
        </w:tc>
        <w:tc>
          <w:tcPr>
            <w:tcW w:w="619" w:type="pct"/>
            <w:tcBorders>
              <w:bottom w:val="single" w:sz="4" w:space="0" w:color="auto"/>
            </w:tcBorders>
            <w:vAlign w:val="bottom"/>
          </w:tcPr>
          <w:p w14:paraId="701BFAE6" w14:textId="77777777" w:rsidR="004B1A77" w:rsidRDefault="004B1A77" w:rsidP="00795948">
            <w:pPr>
              <w:autoSpaceDE w:val="0"/>
              <w:autoSpaceDN w:val="0"/>
              <w:adjustRightInd w:val="0"/>
              <w:spacing w:after="0"/>
              <w:ind w:left="80" w:right="80"/>
              <w:jc w:val="right"/>
              <w:rPr>
                <w:rFonts w:ascii="Times New Roman" w:hAnsi="Times New Roman"/>
                <w:noProof/>
              </w:rPr>
            </w:pPr>
          </w:p>
          <w:p w14:paraId="7C754E66" w14:textId="77777777" w:rsidR="004B1A77" w:rsidRPr="00E83E0B" w:rsidRDefault="000944E7" w:rsidP="000944E7">
            <w:pPr>
              <w:autoSpaceDE w:val="0"/>
              <w:autoSpaceDN w:val="0"/>
              <w:adjustRightInd w:val="0"/>
              <w:spacing w:after="0"/>
              <w:ind w:left="80" w:right="80"/>
              <w:jc w:val="right"/>
              <w:rPr>
                <w:rFonts w:ascii="Times New Roman" w:hAnsi="Times New Roman"/>
                <w:noProof/>
              </w:rPr>
            </w:pPr>
            <w:r>
              <w:rPr>
                <w:rFonts w:ascii="Times New Roman" w:hAnsi="Times New Roman"/>
                <w:noProof/>
              </w:rPr>
              <w:t>521 700</w:t>
            </w:r>
          </w:p>
        </w:tc>
        <w:tc>
          <w:tcPr>
            <w:tcW w:w="560" w:type="pct"/>
            <w:tcBorders>
              <w:bottom w:val="single" w:sz="4" w:space="0" w:color="auto"/>
            </w:tcBorders>
            <w:vAlign w:val="bottom"/>
          </w:tcPr>
          <w:p w14:paraId="3B4DA135" w14:textId="77777777" w:rsidR="004B1A77" w:rsidRDefault="004B1A77" w:rsidP="00795948">
            <w:pPr>
              <w:autoSpaceDE w:val="0"/>
              <w:autoSpaceDN w:val="0"/>
              <w:adjustRightInd w:val="0"/>
              <w:spacing w:after="0"/>
              <w:ind w:left="80" w:right="80"/>
              <w:jc w:val="right"/>
              <w:rPr>
                <w:rFonts w:ascii="Times New Roman" w:hAnsi="Times New Roman"/>
                <w:noProof/>
              </w:rPr>
            </w:pPr>
          </w:p>
          <w:p w14:paraId="2C2E355D" w14:textId="77777777" w:rsidR="004B1A77" w:rsidRPr="00E83E0B" w:rsidRDefault="000944E7"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506 900</w:t>
            </w:r>
          </w:p>
        </w:tc>
        <w:tc>
          <w:tcPr>
            <w:tcW w:w="745" w:type="pct"/>
            <w:tcBorders>
              <w:bottom w:val="single" w:sz="4" w:space="0" w:color="auto"/>
            </w:tcBorders>
            <w:vAlign w:val="bottom"/>
          </w:tcPr>
          <w:p w14:paraId="03C1F2BA" w14:textId="77777777" w:rsidR="004B1A77" w:rsidRDefault="004B1A77" w:rsidP="00795948">
            <w:pPr>
              <w:autoSpaceDE w:val="0"/>
              <w:autoSpaceDN w:val="0"/>
              <w:adjustRightInd w:val="0"/>
              <w:spacing w:after="0"/>
              <w:ind w:left="80" w:right="80"/>
              <w:jc w:val="right"/>
              <w:rPr>
                <w:rFonts w:ascii="Times New Roman" w:hAnsi="Times New Roman"/>
                <w:noProof/>
              </w:rPr>
            </w:pPr>
          </w:p>
          <w:p w14:paraId="4289770D" w14:textId="77777777" w:rsidR="004B1A77" w:rsidRPr="00E83E0B" w:rsidRDefault="000944E7"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468 200</w:t>
            </w:r>
          </w:p>
        </w:tc>
        <w:tc>
          <w:tcPr>
            <w:tcW w:w="589" w:type="pct"/>
            <w:tcBorders>
              <w:bottom w:val="single" w:sz="4" w:space="0" w:color="auto"/>
            </w:tcBorders>
            <w:vAlign w:val="bottom"/>
          </w:tcPr>
          <w:p w14:paraId="2EA91161" w14:textId="77777777" w:rsidR="004B1A77" w:rsidRDefault="004B1A77" w:rsidP="00795948">
            <w:pPr>
              <w:autoSpaceDE w:val="0"/>
              <w:autoSpaceDN w:val="0"/>
              <w:adjustRightInd w:val="0"/>
              <w:spacing w:after="0"/>
              <w:ind w:left="80" w:right="80"/>
              <w:jc w:val="right"/>
              <w:rPr>
                <w:rFonts w:ascii="Times New Roman" w:hAnsi="Times New Roman"/>
                <w:noProof/>
              </w:rPr>
            </w:pPr>
          </w:p>
          <w:p w14:paraId="270C800B" w14:textId="77777777" w:rsidR="004B1A77" w:rsidRPr="00E83E0B" w:rsidRDefault="004B1A77" w:rsidP="00795948">
            <w:pPr>
              <w:autoSpaceDE w:val="0"/>
              <w:autoSpaceDN w:val="0"/>
              <w:adjustRightInd w:val="0"/>
              <w:spacing w:after="0"/>
              <w:ind w:left="80" w:right="80"/>
              <w:jc w:val="right"/>
              <w:rPr>
                <w:rFonts w:ascii="Times New Roman" w:hAnsi="Times New Roman"/>
                <w:noProof/>
              </w:rPr>
            </w:pPr>
            <w:r>
              <w:rPr>
                <w:rFonts w:ascii="Times New Roman" w:hAnsi="Times New Roman"/>
                <w:noProof/>
              </w:rPr>
              <w:t>-</w:t>
            </w:r>
          </w:p>
        </w:tc>
        <w:tc>
          <w:tcPr>
            <w:tcW w:w="930" w:type="pct"/>
            <w:tcBorders>
              <w:bottom w:val="single" w:sz="4" w:space="0" w:color="auto"/>
            </w:tcBorders>
            <w:vAlign w:val="bottom"/>
          </w:tcPr>
          <w:p w14:paraId="2598FC9D" w14:textId="77777777" w:rsidR="004B1A77" w:rsidRPr="00E83E0B" w:rsidRDefault="000944E7" w:rsidP="000944E7">
            <w:pPr>
              <w:autoSpaceDE w:val="0"/>
              <w:autoSpaceDN w:val="0"/>
              <w:adjustRightInd w:val="0"/>
              <w:spacing w:after="0"/>
              <w:ind w:left="80" w:right="80"/>
              <w:jc w:val="right"/>
              <w:rPr>
                <w:rFonts w:ascii="Times New Roman" w:hAnsi="Times New Roman"/>
                <w:noProof/>
              </w:rPr>
            </w:pPr>
            <w:r>
              <w:rPr>
                <w:rFonts w:ascii="Times New Roman" w:hAnsi="Times New Roman"/>
                <w:noProof/>
              </w:rPr>
              <w:t>539 600</w:t>
            </w:r>
          </w:p>
        </w:tc>
      </w:tr>
    </w:tbl>
    <w:bookmarkEnd w:id="38"/>
    <w:p w14:paraId="58ACA099" w14:textId="77777777" w:rsidR="004B1A77" w:rsidRDefault="004B1A77" w:rsidP="00EB23A2">
      <w:pPr>
        <w:pStyle w:val="tabell-noter"/>
        <w:numPr>
          <w:ilvl w:val="0"/>
          <w:numId w:val="26"/>
        </w:numPr>
        <w:spacing w:after="0"/>
        <w:ind w:left="709" w:hanging="283"/>
      </w:pPr>
      <w:r w:rsidRPr="001D63F8">
        <w:t xml:space="preserve">Lønnsveksten er per årsverk </w:t>
      </w:r>
      <w:r>
        <w:t xml:space="preserve">etter nasjonalregnskapet og </w:t>
      </w:r>
      <w:r w:rsidRPr="001D63F8">
        <w:t xml:space="preserve">for </w:t>
      </w:r>
      <w:r>
        <w:t>”</w:t>
      </w:r>
      <w:r w:rsidRPr="001D63F8">
        <w:t>alle grupper</w:t>
      </w:r>
      <w:r>
        <w:t>”.</w:t>
      </w:r>
      <w:r w:rsidRPr="001D63F8">
        <w:t xml:space="preserve"> For varehandel og for alle bedrifter i industrien er lønnsveksten for heltidsansatte</w:t>
      </w:r>
      <w:r>
        <w:t xml:space="preserve"> fram til og med 2009, men per årsverk i årene etter på.</w:t>
      </w:r>
    </w:p>
    <w:p w14:paraId="7199F235" w14:textId="77777777" w:rsidR="004B1A77" w:rsidRPr="0007074A" w:rsidRDefault="004B1A77" w:rsidP="00EA0201">
      <w:pPr>
        <w:pStyle w:val="tabell-noter"/>
        <w:numPr>
          <w:ilvl w:val="0"/>
          <w:numId w:val="26"/>
        </w:numPr>
        <w:spacing w:after="0"/>
        <w:ind w:left="709" w:hanging="283"/>
      </w:pPr>
      <w:r>
        <w:t>Å</w:t>
      </w:r>
      <w:r w:rsidRPr="0007074A">
        <w:t xml:space="preserve">rslønnsveksten </w:t>
      </w:r>
      <w:r>
        <w:t xml:space="preserve">er </w:t>
      </w:r>
      <w:r w:rsidRPr="0007074A">
        <w:t xml:space="preserve">beregnet med utgangspunkt i nasjonalregnskapet på grunnlag av det lønnsbegrepet som brukes i utvalgets rapporter, dvs. fast avtalt lønn, inkl. faste tillegg, uregelmessige tillegg og bonuser. </w:t>
      </w:r>
      <w:r w:rsidRPr="00EA0201">
        <w:t>Naturallønn, betaling for overtid og sluttvederlag er ikke inkludert.</w:t>
      </w:r>
      <w:r w:rsidRPr="0007074A">
        <w:t xml:space="preserve"> Utenlandske sjøfolk på norske skip, vernepliktige rekrutter og lønnstakere i primærnæringene ble holdt utenom i perioden </w:t>
      </w:r>
      <w:r w:rsidR="00DD6103" w:rsidRPr="0007074A">
        <w:t>200</w:t>
      </w:r>
      <w:r w:rsidR="00DD6103">
        <w:t>5</w:t>
      </w:r>
      <w:r w:rsidRPr="0007074A">
        <w:t xml:space="preserve">-2007. </w:t>
      </w:r>
    </w:p>
    <w:p w14:paraId="39EDD949" w14:textId="77777777" w:rsidR="004B1A77" w:rsidRDefault="004B1A77" w:rsidP="00EB23A2">
      <w:pPr>
        <w:pStyle w:val="tabell-noter"/>
        <w:numPr>
          <w:ilvl w:val="0"/>
          <w:numId w:val="26"/>
        </w:numPr>
        <w:spacing w:before="0" w:after="0"/>
      </w:pPr>
      <w:r w:rsidRPr="001D63F8">
        <w:t>Inklusive motorkjøretøytjenester.</w:t>
      </w:r>
    </w:p>
    <w:p w14:paraId="74B58D13" w14:textId="77777777" w:rsidR="004B1A77" w:rsidRDefault="004B1A77" w:rsidP="00EB23A2">
      <w:pPr>
        <w:pStyle w:val="tabell-noter"/>
        <w:numPr>
          <w:ilvl w:val="0"/>
          <w:numId w:val="26"/>
        </w:numPr>
        <w:spacing w:after="0"/>
      </w:pPr>
      <w:r w:rsidRPr="00155267">
        <w:t xml:space="preserve">Populasjonen og beregningsmetoder er forskjellig fra det som brukes i tabell 1.1. For 2013 </w:t>
      </w:r>
      <w:r w:rsidR="004E1C1A">
        <w:t xml:space="preserve">og 2014 </w:t>
      </w:r>
      <w:r w:rsidRPr="00155267">
        <w:t xml:space="preserve">er det for staten ikke foretatt korrigeringer i lønnsdataene for forsvaret i forhold til publiserte lønnsdata fra </w:t>
      </w:r>
      <w:r w:rsidR="00D35CC5">
        <w:t>Statistisk sentralbyrå</w:t>
      </w:r>
      <w:r>
        <w:t>, jf. note 4 i tabell 1.1.</w:t>
      </w:r>
    </w:p>
    <w:p w14:paraId="73F1FDA5" w14:textId="0384D1F3" w:rsidR="004B1A77" w:rsidRDefault="004B1A77" w:rsidP="00EB23A2">
      <w:pPr>
        <w:pStyle w:val="tabell-noter"/>
        <w:numPr>
          <w:ilvl w:val="0"/>
          <w:numId w:val="26"/>
        </w:numPr>
        <w:spacing w:after="0"/>
      </w:pPr>
      <w:r w:rsidRPr="007E20EC">
        <w:t xml:space="preserve">Lønnsveksten fra </w:t>
      </w:r>
      <w:r>
        <w:t>og med 2009</w:t>
      </w:r>
      <w:r w:rsidRPr="007E20EC">
        <w:t xml:space="preserve"> er etter ny næringsstandard. Sammenlignet med veksten fra 2007 til 2008 og tidligere år, vil det være et brudd i tidsserien. Omtale av ny næringsstandard er </w:t>
      </w:r>
      <w:r>
        <w:t>gitt</w:t>
      </w:r>
      <w:r w:rsidRPr="007E20EC">
        <w:t xml:space="preserve"> i </w:t>
      </w:r>
      <w:r>
        <w:t xml:space="preserve">vedlegg </w:t>
      </w:r>
      <w:r w:rsidRPr="007E20EC">
        <w:t>2</w:t>
      </w:r>
      <w:r w:rsidR="00C1350A">
        <w:t xml:space="preserve"> i NOU 2015: 6</w:t>
      </w:r>
      <w:r w:rsidRPr="007E20EC">
        <w:t xml:space="preserve">. </w:t>
      </w:r>
    </w:p>
    <w:p w14:paraId="259CAAF0" w14:textId="77777777" w:rsidR="004B1A77" w:rsidRDefault="004B1A77" w:rsidP="00EB23A2">
      <w:pPr>
        <w:pStyle w:val="tabell-noter"/>
        <w:numPr>
          <w:ilvl w:val="0"/>
          <w:numId w:val="26"/>
        </w:numPr>
        <w:spacing w:after="0"/>
      </w:pPr>
      <w:r>
        <w:t>L</w:t>
      </w:r>
      <w:r w:rsidRPr="004F37F8">
        <w:t>ønnsvekst</w:t>
      </w:r>
      <w:r>
        <w:t>en</w:t>
      </w:r>
      <w:r w:rsidRPr="004F37F8">
        <w:t xml:space="preserve"> </w:t>
      </w:r>
      <w:r>
        <w:t xml:space="preserve">er fra og med 2010 </w:t>
      </w:r>
      <w:r w:rsidRPr="004F37F8">
        <w:t xml:space="preserve">beregnet av </w:t>
      </w:r>
      <w:r>
        <w:t>Statistisk sentralbyrå</w:t>
      </w:r>
      <w:r w:rsidRPr="004F37F8">
        <w:t xml:space="preserve"> </w:t>
      </w:r>
      <w:r>
        <w:t xml:space="preserve">på grunnlag av </w:t>
      </w:r>
      <w:r w:rsidRPr="004F37F8">
        <w:t>lønnsstatistikk (strukturstatistikk) og informasjon fra den kvartalsvise lønnsindeksen.</w:t>
      </w:r>
      <w:r w:rsidRPr="001808D0">
        <w:t xml:space="preserve">  </w:t>
      </w:r>
    </w:p>
    <w:p w14:paraId="065686BE" w14:textId="77777777" w:rsidR="004B1A77" w:rsidRPr="00477F88" w:rsidRDefault="004B1A77" w:rsidP="00EA0201">
      <w:pPr>
        <w:pStyle w:val="tabell-noter"/>
        <w:numPr>
          <w:ilvl w:val="0"/>
          <w:numId w:val="26"/>
        </w:numPr>
        <w:spacing w:after="0"/>
      </w:pPr>
      <w:r w:rsidRPr="00477F88">
        <w:t xml:space="preserve">Beregnet på grunnlag av </w:t>
      </w:r>
      <w:r>
        <w:t>Statistisk sentralbyrå</w:t>
      </w:r>
      <w:r w:rsidRPr="00477F88">
        <w:t>s lønnsstatistikk for alle ansatte</w:t>
      </w:r>
      <w:r>
        <w:t>,</w:t>
      </w:r>
      <w:r w:rsidRPr="00477F88">
        <w:t xml:space="preserve"> som er en sammenstilling av de næringsvise lønnsstatistikkene.</w:t>
      </w:r>
    </w:p>
    <w:p w14:paraId="407BDA6D" w14:textId="1B2A04E3" w:rsidR="004B1A77" w:rsidRDefault="004B1A77" w:rsidP="00D8732A">
      <w:pPr>
        <w:pStyle w:val="Kilde"/>
      </w:pPr>
      <w:r w:rsidRPr="002D674C">
        <w:t>Kilde</w:t>
      </w:r>
      <w:r>
        <w:t>r</w:t>
      </w:r>
      <w:r w:rsidRPr="002D674C">
        <w:t xml:space="preserve">: Statistisk sentralbyrå og </w:t>
      </w:r>
      <w:r w:rsidR="006D6603" w:rsidRPr="002D674C">
        <w:t xml:space="preserve">Beregningsutvalget. </w:t>
      </w:r>
      <w:r w:rsidRPr="002D674C">
        <w:br/>
      </w:r>
    </w:p>
    <w:p w14:paraId="6A77524D" w14:textId="77777777" w:rsidR="004B1A77" w:rsidRPr="006656DC" w:rsidRDefault="00C67156" w:rsidP="004B1A77">
      <w:pPr>
        <w:rPr>
          <w:sz w:val="20"/>
        </w:rPr>
      </w:pPr>
      <w:r>
        <w:rPr>
          <w:noProof/>
          <w:sz w:val="20"/>
        </w:rPr>
        <w:lastRenderedPageBreak/>
        <mc:AlternateContent>
          <mc:Choice Requires="wps">
            <w:drawing>
              <wp:inline distT="0" distB="0" distL="0" distR="0" wp14:anchorId="203104B0" wp14:editId="138D870B">
                <wp:extent cx="5356225" cy="8894445"/>
                <wp:effectExtent l="5080" t="5080" r="10795" b="6350"/>
                <wp:docPr id="873"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225" cy="8894445"/>
                        </a:xfrm>
                        <a:prstGeom prst="rect">
                          <a:avLst/>
                        </a:prstGeom>
                        <a:solidFill>
                          <a:srgbClr val="FFFFFF"/>
                        </a:solidFill>
                        <a:ln w="9525">
                          <a:solidFill>
                            <a:srgbClr val="000000"/>
                          </a:solidFill>
                          <a:miter lim="800000"/>
                          <a:headEnd/>
                          <a:tailEnd/>
                        </a:ln>
                      </wps:spPr>
                      <wps:txbx>
                        <w:txbxContent>
                          <w:p w14:paraId="125E23FD" w14:textId="77777777" w:rsidR="009C4B1A" w:rsidRDefault="009C4B1A" w:rsidP="004B1A77">
                            <w:pPr>
                              <w:pStyle w:val="tittel-ramme"/>
                              <w:numPr>
                                <w:ilvl w:val="0"/>
                                <w:numId w:val="0"/>
                              </w:numPr>
                              <w:spacing w:before="120"/>
                              <w:jc w:val="left"/>
                            </w:pPr>
                            <w:r>
                              <w:t xml:space="preserve">Boks 1.1 </w:t>
                            </w:r>
                            <w:r w:rsidRPr="009D3EFA">
                              <w:t>Beregning av årslønnsvekst i forhandlingsområder versus beregning av årslønnsvekst for næringsområder i privat sektor</w:t>
                            </w:r>
                          </w:p>
                          <w:p w14:paraId="40976013" w14:textId="77777777" w:rsidR="009C4B1A" w:rsidRPr="00035BE2" w:rsidRDefault="009C4B1A" w:rsidP="004B1A77">
                            <w:pPr>
                              <w:spacing w:after="0"/>
                              <w:rPr>
                                <w:rFonts w:ascii="Times New Roman" w:hAnsi="Times New Roman"/>
                                <w:i/>
                                <w:sz w:val="20"/>
                              </w:rPr>
                            </w:pPr>
                            <w:r w:rsidRPr="00035BE2">
                              <w:rPr>
                                <w:rFonts w:ascii="Times New Roman" w:hAnsi="Times New Roman"/>
                                <w:i/>
                                <w:sz w:val="20"/>
                              </w:rPr>
                              <w:t>Generelt</w:t>
                            </w:r>
                          </w:p>
                          <w:p w14:paraId="0A4D9777" w14:textId="510D62D4" w:rsidR="009C4B1A" w:rsidRPr="00035BE2" w:rsidRDefault="009C4B1A" w:rsidP="004B1A77">
                            <w:pPr>
                              <w:rPr>
                                <w:rFonts w:ascii="Times New Roman" w:eastAsia="Times New Roman" w:hAnsi="Times New Roman"/>
                                <w:sz w:val="20"/>
                              </w:rPr>
                            </w:pPr>
                            <w:r w:rsidRPr="00035BE2">
                              <w:rPr>
                                <w:rFonts w:ascii="Times New Roman" w:hAnsi="Times New Roman"/>
                                <w:sz w:val="20"/>
                              </w:rPr>
                              <w:t>Med utgangspunkt i lønnsstatistikken brukes det litt forskjellige prinsipper for beregning av årslønnsvekst i forhandlingsområdene i tabell 1.1 (nærmere beskrevet i vedlegg 2</w:t>
                            </w:r>
                            <w:r>
                              <w:rPr>
                                <w:rFonts w:ascii="Times New Roman" w:hAnsi="Times New Roman"/>
                                <w:sz w:val="20"/>
                              </w:rPr>
                              <w:t xml:space="preserve"> i NOU 2015: 6</w:t>
                            </w:r>
                            <w:r w:rsidRPr="00035BE2">
                              <w:rPr>
                                <w:rFonts w:ascii="Times New Roman" w:hAnsi="Times New Roman"/>
                                <w:sz w:val="20"/>
                              </w:rPr>
                              <w:t>) og i Statistisk sentralbyrås årslønnsberegninger for næringsområder i privat sektor (for eksempel i industrien). Innholdet i lønnsbegrepet er imidlertid det samme og begge tar utgangspunkt i flere årganger av lønnsstatistikken. I forhandlingsområdene bygger fordelingen av total lønnsøkning mellom to årganger av lønnsstatistikken på kunnskap om virkningstidspunkter for tarifftillegg (f. eks. 1. april eller 1. mai) og forutsetninger om når annen lønnsøkning (lønnsglidningen) kommer. I Statistisk sentralbyrås beregninger for næringsområder med utgangspunkt i lønnsstatistikken</w:t>
                            </w:r>
                            <w:r>
                              <w:rPr>
                                <w:rFonts w:ascii="Times New Roman" w:hAnsi="Times New Roman"/>
                                <w:sz w:val="20"/>
                              </w:rPr>
                              <w:t>,</w:t>
                            </w:r>
                            <w:r w:rsidRPr="00035BE2">
                              <w:rPr>
                                <w:rFonts w:ascii="Times New Roman" w:hAnsi="Times New Roman"/>
                                <w:sz w:val="20"/>
                              </w:rPr>
                              <w:t xml:space="preserve"> er det utviklingen i den</w:t>
                            </w:r>
                            <w:r w:rsidRPr="00035BE2">
                              <w:rPr>
                                <w:rFonts w:ascii="Times New Roman" w:eastAsia="Times New Roman" w:hAnsi="Times New Roman"/>
                                <w:sz w:val="20"/>
                              </w:rPr>
                              <w:t xml:space="preserve"> kvartalsvise lønnsindeksen for avtalt lønn som gir fordelingen av lønnsøkningen gjennom året.</w:t>
                            </w:r>
                            <w:r w:rsidRPr="00035BE2">
                              <w:rPr>
                                <w:rFonts w:ascii="Times New Roman" w:hAnsi="Times New Roman"/>
                                <w:sz w:val="20"/>
                              </w:rPr>
                              <w:t xml:space="preserve"> De faktiske utbetalinger uavhengig av virkningsdato legges til grunn.   </w:t>
                            </w:r>
                            <w:r w:rsidRPr="00035BE2">
                              <w:rPr>
                                <w:rFonts w:ascii="Times New Roman" w:eastAsia="Times New Roman" w:hAnsi="Times New Roman"/>
                                <w:sz w:val="20"/>
                              </w:rPr>
                              <w:t xml:space="preserve"> </w:t>
                            </w:r>
                          </w:p>
                          <w:p w14:paraId="5DB86C8C" w14:textId="77777777" w:rsidR="009C4B1A" w:rsidRPr="00035BE2" w:rsidRDefault="009C4B1A" w:rsidP="004B1A77">
                            <w:pPr>
                              <w:rPr>
                                <w:sz w:val="20"/>
                              </w:rPr>
                            </w:pPr>
                            <w:r w:rsidRPr="00035BE2">
                              <w:rPr>
                                <w:sz w:val="20"/>
                              </w:rPr>
                              <w:t xml:space="preserve">I år med konflikter i tariffoppgjørene, kan oppgjør trekke ut i tid. Dette kan medføre at det blir større tidsavstand enn året før mellom faktisk virkningstidspunkt og tidspunktet for utbetaling av lønnstillegg. Videre kan det at flere oppgjør trekker ut i tid medføre at etterbetalingene blir høyere enn året før. For eksempel var dette tilfelle i 2010-oppgjøret og kan ha medført at etterbetalingene samlet sett var høyere i 2010 enn i 2009. Disse to forholdene trakk isolert sett ned lønnsveksten fra 2009 til 2010 i Statistisk sentralbyrås beregning for næringsområder basert på lønnsstatistikken og den kvartalsvise lønnsindeksen. Dette kan også ha gjort seg gjeldende i andre år uten at utvalget har gått nærmere inn på dette. </w:t>
                            </w:r>
                          </w:p>
                          <w:p w14:paraId="0729192B" w14:textId="77777777" w:rsidR="009C4B1A" w:rsidRPr="00035BE2" w:rsidRDefault="009C4B1A" w:rsidP="004B1A77">
                            <w:pPr>
                              <w:rPr>
                                <w:i/>
                                <w:sz w:val="20"/>
                              </w:rPr>
                            </w:pPr>
                            <w:r w:rsidRPr="00035BE2">
                              <w:rPr>
                                <w:i/>
                                <w:sz w:val="20"/>
                              </w:rPr>
                              <w:t xml:space="preserve">Nærmere om forskjeller mellom beregningen av årslønn i industrien i NHO-bedrifter og industrien i alt.  </w:t>
                            </w:r>
                          </w:p>
                          <w:p w14:paraId="4EB74616" w14:textId="77777777" w:rsidR="009C4B1A" w:rsidRPr="00035BE2" w:rsidRDefault="009C4B1A" w:rsidP="004B1A77">
                            <w:pPr>
                              <w:rPr>
                                <w:sz w:val="20"/>
                              </w:rPr>
                            </w:pPr>
                            <w:r w:rsidRPr="00035BE2">
                              <w:rPr>
                                <w:sz w:val="20"/>
                              </w:rPr>
                              <w:t>Følgende forhold kan medvirke til at det blir forskjellig lønnsnivå og lønnsvekst i industri samlet og i NHO-bedrifter i industri:</w:t>
                            </w:r>
                          </w:p>
                          <w:p w14:paraId="68088E0F" w14:textId="77777777" w:rsidR="009C4B1A" w:rsidRPr="00035BE2" w:rsidRDefault="009C4B1A" w:rsidP="004B1A77">
                            <w:pPr>
                              <w:pStyle w:val="Liste2"/>
                              <w:numPr>
                                <w:ilvl w:val="0"/>
                                <w:numId w:val="0"/>
                              </w:numPr>
                              <w:ind w:left="397"/>
                              <w:rPr>
                                <w:i/>
                                <w:sz w:val="20"/>
                                <w:szCs w:val="20"/>
                              </w:rPr>
                            </w:pPr>
                            <w:r w:rsidRPr="00035BE2">
                              <w:rPr>
                                <w:i/>
                                <w:sz w:val="20"/>
                                <w:szCs w:val="20"/>
                              </w:rPr>
                              <w:t>A. Populasjonsforskjeller</w:t>
                            </w:r>
                          </w:p>
                          <w:p w14:paraId="2B3ECE03" w14:textId="77777777" w:rsidR="009C4B1A" w:rsidRPr="00035BE2" w:rsidRDefault="009C4B1A" w:rsidP="006E305B">
                            <w:pPr>
                              <w:pStyle w:val="Liste2"/>
                              <w:numPr>
                                <w:ilvl w:val="0"/>
                                <w:numId w:val="28"/>
                              </w:numPr>
                              <w:ind w:left="851" w:hanging="425"/>
                              <w:rPr>
                                <w:sz w:val="20"/>
                                <w:szCs w:val="20"/>
                              </w:rPr>
                            </w:pPr>
                            <w:r w:rsidRPr="00035BE2">
                              <w:rPr>
                                <w:sz w:val="20"/>
                                <w:szCs w:val="20"/>
                              </w:rPr>
                              <w:t>Statistisk sentralbyrås lønnsstatistikker omfatter hele næringen industri iht. Standard for Næringsgruppering (nace).</w:t>
                            </w:r>
                          </w:p>
                          <w:p w14:paraId="23720688" w14:textId="77777777" w:rsidR="009C4B1A" w:rsidRDefault="009C4B1A" w:rsidP="006E305B">
                            <w:pPr>
                              <w:pStyle w:val="Listeavsnitt"/>
                              <w:numPr>
                                <w:ilvl w:val="0"/>
                                <w:numId w:val="28"/>
                              </w:numPr>
                              <w:spacing w:before="0"/>
                              <w:ind w:left="851" w:hanging="446"/>
                              <w:rPr>
                                <w:sz w:val="20"/>
                                <w:szCs w:val="20"/>
                              </w:rPr>
                            </w:pPr>
                            <w:r w:rsidRPr="00035BE2">
                              <w:rPr>
                                <w:sz w:val="20"/>
                                <w:szCs w:val="20"/>
                              </w:rPr>
                              <w:t>Endringer i offentlig næringsklassifikasjoner førte til at deler av spesielt oljebaserte industribedrifter ble tatt ut av industrien og plassert i blant annet "oljevirksomhet" i 2009/2010. Disse bedriftsenhetene er med i lønnstallene for industrifunksjonærer for NHO-bedrifter, fordi enhetene fortsatt er knyttet sammen med NHOs industribedrifter og/eller foretak.</w:t>
                            </w:r>
                          </w:p>
                          <w:p w14:paraId="68716725" w14:textId="77777777" w:rsidR="009C4B1A" w:rsidRPr="00035BE2" w:rsidRDefault="009C4B1A" w:rsidP="006E305B">
                            <w:pPr>
                              <w:pStyle w:val="Liste2"/>
                              <w:numPr>
                                <w:ilvl w:val="0"/>
                                <w:numId w:val="28"/>
                              </w:numPr>
                              <w:ind w:left="851" w:hanging="448"/>
                              <w:rPr>
                                <w:sz w:val="20"/>
                                <w:szCs w:val="20"/>
                              </w:rPr>
                            </w:pPr>
                            <w:r w:rsidRPr="00035BE2">
                              <w:rPr>
                                <w:sz w:val="20"/>
                                <w:szCs w:val="20"/>
                              </w:rPr>
                              <w:t xml:space="preserve">NHOs virksomheter/enheter er ikke i alle tilfeller sammenfallende med bedriftsinndelingen som Statistisk sentralbyrå benytter.  </w:t>
                            </w:r>
                          </w:p>
                          <w:p w14:paraId="618EEB2E" w14:textId="77777777" w:rsidR="009C4B1A" w:rsidRPr="00035BE2" w:rsidRDefault="009C4B1A" w:rsidP="006E305B">
                            <w:pPr>
                              <w:pStyle w:val="Liste2"/>
                              <w:numPr>
                                <w:ilvl w:val="0"/>
                                <w:numId w:val="28"/>
                              </w:numPr>
                              <w:ind w:left="851" w:hanging="448"/>
                              <w:rPr>
                                <w:sz w:val="20"/>
                                <w:szCs w:val="20"/>
                              </w:rPr>
                            </w:pPr>
                            <w:r w:rsidRPr="00035BE2">
                              <w:rPr>
                                <w:sz w:val="20"/>
                                <w:szCs w:val="20"/>
                              </w:rPr>
                              <w:t xml:space="preserve">Om lag ¾ av sysselsetting i industrien er i NHO-bedrifter. Organisasjonsgraden er særlig høy blant store bedrifter. </w:t>
                            </w:r>
                          </w:p>
                          <w:p w14:paraId="42E11D66" w14:textId="77777777" w:rsidR="009C4B1A" w:rsidRPr="00035BE2" w:rsidRDefault="009C4B1A" w:rsidP="006E305B">
                            <w:pPr>
                              <w:pStyle w:val="Listeavsnitt20"/>
                              <w:numPr>
                                <w:ilvl w:val="0"/>
                                <w:numId w:val="28"/>
                              </w:numPr>
                              <w:spacing w:before="0" w:after="240" w:line="240" w:lineRule="auto"/>
                              <w:ind w:left="851" w:hanging="448"/>
                              <w:rPr>
                                <w:sz w:val="20"/>
                                <w:szCs w:val="20"/>
                              </w:rPr>
                            </w:pPr>
                            <w:r w:rsidRPr="00035BE2">
                              <w:rPr>
                                <w:sz w:val="20"/>
                                <w:szCs w:val="20"/>
                              </w:rPr>
                              <w:t>Unge arbeidstakere (under 18 år) og lærlinger er ikke med i statistikken for NHO-bedrifter.</w:t>
                            </w:r>
                            <w:r w:rsidRPr="00035BE2">
                              <w:rPr>
                                <w:sz w:val="20"/>
                                <w:szCs w:val="20"/>
                              </w:rPr>
                              <w:tab/>
                            </w:r>
                          </w:p>
                          <w:p w14:paraId="5131BC27" w14:textId="77777777" w:rsidR="009C4B1A" w:rsidRPr="00035BE2" w:rsidRDefault="009C4B1A" w:rsidP="004B1A77">
                            <w:pPr>
                              <w:pStyle w:val="Listeavsnitt20"/>
                              <w:spacing w:before="0" w:after="120" w:line="240" w:lineRule="auto"/>
                              <w:ind w:left="405"/>
                              <w:contextualSpacing/>
                              <w:rPr>
                                <w:i/>
                                <w:sz w:val="20"/>
                                <w:szCs w:val="20"/>
                              </w:rPr>
                            </w:pPr>
                            <w:r w:rsidRPr="00035BE2">
                              <w:rPr>
                                <w:i/>
                                <w:sz w:val="20"/>
                                <w:szCs w:val="20"/>
                              </w:rPr>
                              <w:t>B. Beregningsforskjeller</w:t>
                            </w:r>
                            <w:r w:rsidRPr="00035BE2">
                              <w:rPr>
                                <w:b/>
                                <w:i/>
                                <w:sz w:val="20"/>
                                <w:szCs w:val="20"/>
                              </w:rPr>
                              <w:t xml:space="preserve"> </w:t>
                            </w:r>
                            <w:r w:rsidRPr="00035BE2">
                              <w:rPr>
                                <w:i/>
                                <w:sz w:val="20"/>
                                <w:szCs w:val="20"/>
                              </w:rPr>
                              <w:t>(se beskrivelse ovenfor)</w:t>
                            </w:r>
                          </w:p>
                          <w:p w14:paraId="7C0C05CC" w14:textId="77777777" w:rsidR="009C4B1A" w:rsidRPr="00035BE2" w:rsidRDefault="009C4B1A" w:rsidP="006E305B">
                            <w:pPr>
                              <w:pStyle w:val="Listeavsnitt20"/>
                              <w:numPr>
                                <w:ilvl w:val="0"/>
                                <w:numId w:val="29"/>
                              </w:numPr>
                              <w:spacing w:before="0" w:after="120" w:line="240" w:lineRule="auto"/>
                              <w:ind w:left="851" w:hanging="425"/>
                              <w:contextualSpacing/>
                              <w:rPr>
                                <w:sz w:val="20"/>
                                <w:szCs w:val="20"/>
                              </w:rPr>
                            </w:pPr>
                            <w:r w:rsidRPr="00035BE2">
                              <w:rPr>
                                <w:sz w:val="20"/>
                                <w:szCs w:val="20"/>
                              </w:rPr>
                              <w:t>Forskjellige metoder for plassering av lønnsvekst i løpet av året.</w:t>
                            </w:r>
                          </w:p>
                          <w:p w14:paraId="744756F2" w14:textId="77777777" w:rsidR="009C4B1A" w:rsidRPr="00035BE2" w:rsidRDefault="009C4B1A" w:rsidP="006E305B">
                            <w:pPr>
                              <w:pStyle w:val="Listeavsnitt20"/>
                              <w:numPr>
                                <w:ilvl w:val="0"/>
                                <w:numId w:val="29"/>
                              </w:numPr>
                              <w:spacing w:before="0" w:after="120" w:line="240" w:lineRule="auto"/>
                              <w:ind w:left="851" w:hanging="425"/>
                              <w:contextualSpacing/>
                              <w:rPr>
                                <w:sz w:val="20"/>
                                <w:szCs w:val="20"/>
                              </w:rPr>
                            </w:pPr>
                            <w:r w:rsidRPr="00035BE2">
                              <w:rPr>
                                <w:sz w:val="20"/>
                                <w:szCs w:val="20"/>
                              </w:rPr>
                              <w:t>Etterbetalinger av lønnstillegg er ulikt behandlet.</w:t>
                            </w:r>
                          </w:p>
                          <w:p w14:paraId="6FDF7B38" w14:textId="77777777" w:rsidR="009C4B1A" w:rsidRPr="00035BE2" w:rsidRDefault="009C4B1A" w:rsidP="006E305B">
                            <w:pPr>
                              <w:pStyle w:val="Listeavsnitt20"/>
                              <w:numPr>
                                <w:ilvl w:val="0"/>
                                <w:numId w:val="29"/>
                              </w:numPr>
                              <w:spacing w:before="0" w:after="120" w:line="240" w:lineRule="auto"/>
                              <w:ind w:left="851" w:hanging="425"/>
                              <w:contextualSpacing/>
                              <w:rPr>
                                <w:sz w:val="20"/>
                                <w:szCs w:val="20"/>
                              </w:rPr>
                            </w:pPr>
                            <w:r w:rsidRPr="00035BE2">
                              <w:rPr>
                                <w:sz w:val="20"/>
                                <w:szCs w:val="20"/>
                              </w:rPr>
                              <w:t>Beregningene av vekst i årslønn for industrien samlet i tabell 1.2 er for heltidsansatte i årene 2004 til 2009, men per årsverk fra og med 2010. For industriansatte i NHO-bedrifter er beregningene per årsverk i alle år, se tabell 1.1.</w:t>
                            </w:r>
                          </w:p>
                          <w:p w14:paraId="6B87168A" w14:textId="77777777" w:rsidR="009C4B1A" w:rsidRPr="00035BE2" w:rsidRDefault="009C4B1A" w:rsidP="006E305B">
                            <w:pPr>
                              <w:pStyle w:val="Listeavsnitt20"/>
                              <w:numPr>
                                <w:ilvl w:val="0"/>
                                <w:numId w:val="29"/>
                              </w:numPr>
                              <w:spacing w:before="0" w:after="120" w:line="240" w:lineRule="auto"/>
                              <w:ind w:left="851" w:hanging="425"/>
                              <w:contextualSpacing/>
                              <w:rPr>
                                <w:sz w:val="20"/>
                                <w:szCs w:val="20"/>
                              </w:rPr>
                            </w:pPr>
                            <w:r w:rsidRPr="00035BE2">
                              <w:rPr>
                                <w:sz w:val="20"/>
                                <w:szCs w:val="20"/>
                              </w:rPr>
                              <w:t xml:space="preserve">Strukturelle endringer, f. eks. forskyvninger i sysselsettingen mellom bedrifter med ulikt lønnsnivå kan slå ulikt ut for de to populasjonene. </w:t>
                            </w:r>
                          </w:p>
                          <w:p w14:paraId="3878AE6F" w14:textId="77777777" w:rsidR="009C4B1A" w:rsidRPr="00035BE2" w:rsidRDefault="009C4B1A" w:rsidP="006E305B">
                            <w:pPr>
                              <w:pStyle w:val="Listeavsnitt20"/>
                              <w:numPr>
                                <w:ilvl w:val="0"/>
                                <w:numId w:val="29"/>
                              </w:numPr>
                              <w:spacing w:before="0" w:after="120" w:line="240" w:lineRule="auto"/>
                              <w:ind w:left="851" w:hanging="425"/>
                              <w:contextualSpacing/>
                              <w:rPr>
                                <w:sz w:val="20"/>
                                <w:szCs w:val="20"/>
                              </w:rPr>
                            </w:pPr>
                            <w:r w:rsidRPr="00035BE2">
                              <w:rPr>
                                <w:sz w:val="20"/>
                                <w:szCs w:val="20"/>
                              </w:rPr>
                              <w:t>Forskjellige metoder for vekting.</w:t>
                            </w:r>
                          </w:p>
                          <w:p w14:paraId="08C8AD5F" w14:textId="24B49D7E" w:rsidR="009C4B1A" w:rsidRPr="00ED66D1" w:rsidRDefault="009C4B1A" w:rsidP="004B1A77">
                            <w:pPr>
                              <w:rPr>
                                <w:szCs w:val="24"/>
                              </w:rPr>
                            </w:pPr>
                            <w:r w:rsidRPr="00ED66D1">
                              <w:rPr>
                                <w:sz w:val="21"/>
                                <w:szCs w:val="21"/>
                              </w:rPr>
                              <w:t>De samme forholdene vil også gjelde når en sammenligner andre tariffområder med næringsområder, for eksempel årslønnsberegningene i varehandelen totalt versus beregningene for Virke</w:t>
                            </w:r>
                            <w:r>
                              <w:rPr>
                                <w:sz w:val="21"/>
                                <w:szCs w:val="21"/>
                              </w:rPr>
                              <w:t>-bedrifter i varehandel</w:t>
                            </w:r>
                            <w:r w:rsidRPr="00ED66D1">
                              <w:rPr>
                                <w:sz w:val="21"/>
                                <w:szCs w:val="21"/>
                              </w:rPr>
                              <w:t>.</w:t>
                            </w:r>
                          </w:p>
                          <w:p w14:paraId="15AFCF36" w14:textId="77777777" w:rsidR="009C4B1A" w:rsidRDefault="009C4B1A" w:rsidP="004B1A77"/>
                        </w:txbxContent>
                      </wps:txbx>
                      <wps:bodyPr rot="0" vert="horz" wrap="square" lIns="91440" tIns="45720" rIns="91440" bIns="45720" anchor="t" anchorCtr="0" upright="1">
                        <a:noAutofit/>
                      </wps:bodyPr>
                    </wps:wsp>
                  </a:graphicData>
                </a:graphic>
              </wp:inline>
            </w:drawing>
          </mc:Choice>
          <mc:Fallback>
            <w:pict>
              <v:shapetype w14:anchorId="203104B0" id="_x0000_t202" coordsize="21600,21600" o:spt="202" path="m,l,21600r21600,l21600,xe">
                <v:stroke joinstyle="miter"/>
                <v:path gradientshapeok="t" o:connecttype="rect"/>
              </v:shapetype>
              <v:shape id="Text Box 581" o:spid="_x0000_s1026" type="#_x0000_t202" style="width:421.75pt;height:70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">
                <v:textbox>
                  <w:txbxContent>
                    <w:p w14:paraId="125E23FD" w14:textId="77777777" w:rsidR="009C4B1A" w:rsidRDefault="009C4B1A" w:rsidP="004B1A77">
                      <w:pPr>
                        <w:pStyle w:val="tittel-ramme"/>
                        <w:numPr>
                          <w:ilvl w:val="0"/>
                          <w:numId w:val="0"/>
                        </w:numPr>
                        <w:spacing w:before="120"/>
                        <w:jc w:val="left"/>
                      </w:pPr>
                      <w:r>
                        <w:t xml:space="preserve">Boks 1.1 </w:t>
                      </w:r>
                      <w:r w:rsidRPr="009D3EFA">
                        <w:t>Beregning av årslønnsvekst i forhandlingsområder versus beregning av årslønnsvekst for næringsområder i privat sektor</w:t>
                      </w:r>
                    </w:p>
                    <w:p w14:paraId="40976013" w14:textId="77777777" w:rsidR="009C4B1A" w:rsidRPr="00035BE2" w:rsidRDefault="009C4B1A" w:rsidP="004B1A77">
                      <w:pPr>
                        <w:spacing w:after="0"/>
                        <w:rPr>
                          <w:rFonts w:ascii="Times New Roman" w:hAnsi="Times New Roman"/>
                          <w:i/>
                          <w:sz w:val="20"/>
                        </w:rPr>
                      </w:pPr>
                      <w:r w:rsidRPr="00035BE2">
                        <w:rPr>
                          <w:rFonts w:ascii="Times New Roman" w:hAnsi="Times New Roman"/>
                          <w:i/>
                          <w:sz w:val="20"/>
                        </w:rPr>
                        <w:t>Generelt</w:t>
                      </w:r>
                    </w:p>
                    <w:p w14:paraId="0A4D9777" w14:textId="510D62D4" w:rsidR="009C4B1A" w:rsidRPr="00035BE2" w:rsidRDefault="009C4B1A" w:rsidP="004B1A77">
                      <w:pPr>
                        <w:rPr>
                          <w:rFonts w:ascii="Times New Roman" w:eastAsia="Times New Roman" w:hAnsi="Times New Roman"/>
                          <w:sz w:val="20"/>
                        </w:rPr>
                      </w:pPr>
                      <w:r w:rsidRPr="00035BE2">
                        <w:rPr>
                          <w:rFonts w:ascii="Times New Roman" w:hAnsi="Times New Roman"/>
                          <w:sz w:val="20"/>
                        </w:rPr>
                        <w:t>Med utgangspunkt i lønnsstatistikken brukes det litt forskjellige prinsipper for beregning av årslønnsvekst i forhandlingsområdene i tabell 1.1 (nærmere beskrevet i vedlegg 2</w:t>
                      </w:r>
                      <w:r>
                        <w:rPr>
                          <w:rFonts w:ascii="Times New Roman" w:hAnsi="Times New Roman"/>
                          <w:sz w:val="20"/>
                        </w:rPr>
                        <w:t xml:space="preserve"> i NOU 2015: 6</w:t>
                      </w:r>
                      <w:r w:rsidRPr="00035BE2">
                        <w:rPr>
                          <w:rFonts w:ascii="Times New Roman" w:hAnsi="Times New Roman"/>
                          <w:sz w:val="20"/>
                        </w:rPr>
                        <w:t>) og i Statistisk sentralbyrås årslønnsberegninger for næringsområder i privat sektor (for eksempel i industrien). Innholdet i lønnsbegrepet er imidlertid det samme og begge tar utgangspunkt i flere årganger av lønnsstatistikken. I forhandlingsområdene bygger fordelingen av total lønnsøkning mellom to årganger av lønnsstatistikken på kunnskap om virkningstidspunkter for tarifftillegg (f. eks. 1. april eller 1. mai) og forutsetninger om når annen lønnsøkning (lønnsglidningen) kommer. I Statistisk sentralbyrås beregninger for næringsområder med utgangspunkt i lønnsstatistikken</w:t>
                      </w:r>
                      <w:r>
                        <w:rPr>
                          <w:rFonts w:ascii="Times New Roman" w:hAnsi="Times New Roman"/>
                          <w:sz w:val="20"/>
                        </w:rPr>
                        <w:t>,</w:t>
                      </w:r>
                      <w:r w:rsidRPr="00035BE2">
                        <w:rPr>
                          <w:rFonts w:ascii="Times New Roman" w:hAnsi="Times New Roman"/>
                          <w:sz w:val="20"/>
                        </w:rPr>
                        <w:t xml:space="preserve"> er det utviklingen i den</w:t>
                      </w:r>
                      <w:r w:rsidRPr="00035BE2">
                        <w:rPr>
                          <w:rFonts w:ascii="Times New Roman" w:eastAsia="Times New Roman" w:hAnsi="Times New Roman"/>
                          <w:sz w:val="20"/>
                        </w:rPr>
                        <w:t xml:space="preserve"> kvartalsvise lønnsindeksen for avtalt lønn som gir fordelingen av lønnsøkningen gjennom året.</w:t>
                      </w:r>
                      <w:r w:rsidRPr="00035BE2">
                        <w:rPr>
                          <w:rFonts w:ascii="Times New Roman" w:hAnsi="Times New Roman"/>
                          <w:sz w:val="20"/>
                        </w:rPr>
                        <w:t xml:space="preserve"> De faktiske utbetalinger uavhengig av virkningsdato legges til grunn.   </w:t>
                      </w:r>
                      <w:r w:rsidRPr="00035BE2">
                        <w:rPr>
                          <w:rFonts w:ascii="Times New Roman" w:eastAsia="Times New Roman" w:hAnsi="Times New Roman"/>
                          <w:sz w:val="20"/>
                        </w:rPr>
                        <w:t xml:space="preserve"> </w:t>
                      </w:r>
                    </w:p>
                    <w:p w14:paraId="5DB86C8C" w14:textId="77777777" w:rsidR="009C4B1A" w:rsidRPr="00035BE2" w:rsidRDefault="009C4B1A" w:rsidP="004B1A77">
                      <w:pPr>
                        <w:rPr>
                          <w:sz w:val="20"/>
                        </w:rPr>
                      </w:pPr>
                      <w:r w:rsidRPr="00035BE2">
                        <w:rPr>
                          <w:sz w:val="20"/>
                        </w:rPr>
                        <w:t xml:space="preserve">I år med konflikter i tariffoppgjørene, kan oppgjør trekke ut i tid. Dette kan medføre at det blir større tidsavstand enn året før mellom faktisk virkningstidspunkt og tidspunktet for utbetaling av lønnstillegg. Videre kan det at flere oppgjør trekker ut i tid medføre at etterbetalingene blir høyere enn året før. For eksempel var dette tilfelle i 2010-oppgjøret og kan ha medført at etterbetalingene samlet sett var høyere i 2010 enn i 2009. Disse to forholdene trakk isolert sett ned lønnsveksten fra 2009 til 2010 i Statistisk sentralbyrås beregning for næringsområder basert på lønnsstatistikken og den kvartalsvise lønnsindeksen. Dette kan også ha gjort seg gjeldende i andre år uten at utvalget har gått nærmere inn på dette. </w:t>
                      </w:r>
                    </w:p>
                    <w:p w14:paraId="0729192B" w14:textId="77777777" w:rsidR="009C4B1A" w:rsidRPr="00035BE2" w:rsidRDefault="009C4B1A" w:rsidP="004B1A77">
                      <w:pPr>
                        <w:rPr>
                          <w:i/>
                          <w:sz w:val="20"/>
                        </w:rPr>
                      </w:pPr>
                      <w:r w:rsidRPr="00035BE2">
                        <w:rPr>
                          <w:i/>
                          <w:sz w:val="20"/>
                        </w:rPr>
                        <w:t xml:space="preserve">Nærmere om forskjeller mellom beregningen av årslønn i industrien i NHO-bedrifter og industrien i alt.  </w:t>
                      </w:r>
                    </w:p>
                    <w:p w14:paraId="4EB74616" w14:textId="77777777" w:rsidR="009C4B1A" w:rsidRPr="00035BE2" w:rsidRDefault="009C4B1A" w:rsidP="004B1A77">
                      <w:pPr>
                        <w:rPr>
                          <w:sz w:val="20"/>
                        </w:rPr>
                      </w:pPr>
                      <w:r w:rsidRPr="00035BE2">
                        <w:rPr>
                          <w:sz w:val="20"/>
                        </w:rPr>
                        <w:t>Følgende forhold kan medvirke til at det blir forskjellig lønnsnivå og lønnsvekst i industri samlet og i NHO-bedrifter i industri:</w:t>
                      </w:r>
                    </w:p>
                    <w:p w14:paraId="68088E0F" w14:textId="77777777" w:rsidR="009C4B1A" w:rsidRPr="00035BE2" w:rsidRDefault="009C4B1A" w:rsidP="004B1A77">
                      <w:pPr>
                        <w:pStyle w:val="Liste2"/>
                        <w:numPr>
                          <w:ilvl w:val="0"/>
                          <w:numId w:val="0"/>
                        </w:numPr>
                        <w:ind w:left="397"/>
                        <w:rPr>
                          <w:i/>
                          <w:sz w:val="20"/>
                          <w:szCs w:val="20"/>
                        </w:rPr>
                      </w:pPr>
                      <w:r w:rsidRPr="00035BE2">
                        <w:rPr>
                          <w:i/>
                          <w:sz w:val="20"/>
                          <w:szCs w:val="20"/>
                        </w:rPr>
                        <w:t>A. Populasjonsforskjeller</w:t>
                      </w:r>
                    </w:p>
                    <w:p w14:paraId="2B3ECE03" w14:textId="77777777" w:rsidR="009C4B1A" w:rsidRPr="00035BE2" w:rsidRDefault="009C4B1A" w:rsidP="006E305B">
                      <w:pPr>
                        <w:pStyle w:val="Liste2"/>
                        <w:numPr>
                          <w:ilvl w:val="0"/>
                          <w:numId w:val="28"/>
                        </w:numPr>
                        <w:ind w:left="851" w:hanging="425"/>
                        <w:rPr>
                          <w:sz w:val="20"/>
                          <w:szCs w:val="20"/>
                        </w:rPr>
                      </w:pPr>
                      <w:r w:rsidRPr="00035BE2">
                        <w:rPr>
                          <w:sz w:val="20"/>
                          <w:szCs w:val="20"/>
                        </w:rPr>
                        <w:t>Statistisk sentralbyrås lønnsstatistikker omfatter hele næringen industri iht. Standard for Næringsgruppering (nace).</w:t>
                      </w:r>
                    </w:p>
                    <w:p w14:paraId="23720688" w14:textId="77777777" w:rsidR="009C4B1A" w:rsidRDefault="009C4B1A" w:rsidP="006E305B">
                      <w:pPr>
                        <w:pStyle w:val="Listeavsnitt"/>
                        <w:numPr>
                          <w:ilvl w:val="0"/>
                          <w:numId w:val="28"/>
                        </w:numPr>
                        <w:spacing w:before="0"/>
                        <w:ind w:left="851" w:hanging="446"/>
                        <w:rPr>
                          <w:sz w:val="20"/>
                          <w:szCs w:val="20"/>
                        </w:rPr>
                      </w:pPr>
                      <w:r w:rsidRPr="00035BE2">
                        <w:rPr>
                          <w:sz w:val="20"/>
                          <w:szCs w:val="20"/>
                        </w:rPr>
                        <w:t>Endringer i offentlig næringsklassifikasjoner førte til at deler av spesielt oljebaserte industribedrifter ble tatt ut av industrien og plassert i blant annet "oljevirksomhet" i 2009/2010. Disse bedriftsenhetene er med i lønnstallene for industrifunksjonærer for NHO-bedrifter, fordi enhetene fortsatt er knyttet sammen med NHOs industribedrifter og/eller foretak.</w:t>
                      </w:r>
                    </w:p>
                    <w:p w14:paraId="68716725" w14:textId="77777777" w:rsidR="009C4B1A" w:rsidRPr="00035BE2" w:rsidRDefault="009C4B1A" w:rsidP="006E305B">
                      <w:pPr>
                        <w:pStyle w:val="Liste2"/>
                        <w:numPr>
                          <w:ilvl w:val="0"/>
                          <w:numId w:val="28"/>
                        </w:numPr>
                        <w:ind w:left="851" w:hanging="448"/>
                        <w:rPr>
                          <w:sz w:val="20"/>
                          <w:szCs w:val="20"/>
                        </w:rPr>
                      </w:pPr>
                      <w:r w:rsidRPr="00035BE2">
                        <w:rPr>
                          <w:sz w:val="20"/>
                          <w:szCs w:val="20"/>
                        </w:rPr>
                        <w:t xml:space="preserve">NHOs virksomheter/enheter er ikke i alle tilfeller sammenfallende med bedriftsinndelingen som Statistisk sentralbyrå benytter.  </w:t>
                      </w:r>
                    </w:p>
                    <w:p w14:paraId="618EEB2E" w14:textId="77777777" w:rsidR="009C4B1A" w:rsidRPr="00035BE2" w:rsidRDefault="009C4B1A" w:rsidP="006E305B">
                      <w:pPr>
                        <w:pStyle w:val="Liste2"/>
                        <w:numPr>
                          <w:ilvl w:val="0"/>
                          <w:numId w:val="28"/>
                        </w:numPr>
                        <w:ind w:left="851" w:hanging="448"/>
                        <w:rPr>
                          <w:sz w:val="20"/>
                          <w:szCs w:val="20"/>
                        </w:rPr>
                      </w:pPr>
                      <w:r w:rsidRPr="00035BE2">
                        <w:rPr>
                          <w:sz w:val="20"/>
                          <w:szCs w:val="20"/>
                        </w:rPr>
                        <w:t xml:space="preserve">Om lag ¾ av sysselsetting i industrien er i NHO-bedrifter. Organisasjonsgraden er særlig høy blant store bedrifter. </w:t>
                      </w:r>
                    </w:p>
                    <w:p w14:paraId="42E11D66" w14:textId="77777777" w:rsidR="009C4B1A" w:rsidRPr="00035BE2" w:rsidRDefault="009C4B1A" w:rsidP="006E305B">
                      <w:pPr>
                        <w:pStyle w:val="Listeavsnitt20"/>
                        <w:numPr>
                          <w:ilvl w:val="0"/>
                          <w:numId w:val="28"/>
                        </w:numPr>
                        <w:spacing w:before="0" w:after="240" w:line="240" w:lineRule="auto"/>
                        <w:ind w:left="851" w:hanging="448"/>
                        <w:rPr>
                          <w:sz w:val="20"/>
                          <w:szCs w:val="20"/>
                        </w:rPr>
                      </w:pPr>
                      <w:r w:rsidRPr="00035BE2">
                        <w:rPr>
                          <w:sz w:val="20"/>
                          <w:szCs w:val="20"/>
                        </w:rPr>
                        <w:t>Unge arbeidstakere (under 18 år) og lærlinger er ikke med i statistikken for NHO-bedrifter.</w:t>
                      </w:r>
                      <w:r w:rsidRPr="00035BE2">
                        <w:rPr>
                          <w:sz w:val="20"/>
                          <w:szCs w:val="20"/>
                        </w:rPr>
                        <w:tab/>
                      </w:r>
                    </w:p>
                    <w:p w14:paraId="5131BC27" w14:textId="77777777" w:rsidR="009C4B1A" w:rsidRPr="00035BE2" w:rsidRDefault="009C4B1A" w:rsidP="004B1A77">
                      <w:pPr>
                        <w:pStyle w:val="Listeavsnitt20"/>
                        <w:spacing w:before="0" w:after="120" w:line="240" w:lineRule="auto"/>
                        <w:ind w:left="405"/>
                        <w:contextualSpacing/>
                        <w:rPr>
                          <w:i/>
                          <w:sz w:val="20"/>
                          <w:szCs w:val="20"/>
                        </w:rPr>
                      </w:pPr>
                      <w:r w:rsidRPr="00035BE2">
                        <w:rPr>
                          <w:i/>
                          <w:sz w:val="20"/>
                          <w:szCs w:val="20"/>
                        </w:rPr>
                        <w:t>B. Beregningsforskjeller</w:t>
                      </w:r>
                      <w:r w:rsidRPr="00035BE2">
                        <w:rPr>
                          <w:b/>
                          <w:i/>
                          <w:sz w:val="20"/>
                          <w:szCs w:val="20"/>
                        </w:rPr>
                        <w:t xml:space="preserve"> </w:t>
                      </w:r>
                      <w:r w:rsidRPr="00035BE2">
                        <w:rPr>
                          <w:i/>
                          <w:sz w:val="20"/>
                          <w:szCs w:val="20"/>
                        </w:rPr>
                        <w:t>(se beskrivelse ovenfor)</w:t>
                      </w:r>
                    </w:p>
                    <w:p w14:paraId="7C0C05CC" w14:textId="77777777" w:rsidR="009C4B1A" w:rsidRPr="00035BE2" w:rsidRDefault="009C4B1A" w:rsidP="006E305B">
                      <w:pPr>
                        <w:pStyle w:val="Listeavsnitt20"/>
                        <w:numPr>
                          <w:ilvl w:val="0"/>
                          <w:numId w:val="29"/>
                        </w:numPr>
                        <w:spacing w:before="0" w:after="120" w:line="240" w:lineRule="auto"/>
                        <w:ind w:left="851" w:hanging="425"/>
                        <w:contextualSpacing/>
                        <w:rPr>
                          <w:sz w:val="20"/>
                          <w:szCs w:val="20"/>
                        </w:rPr>
                      </w:pPr>
                      <w:r w:rsidRPr="00035BE2">
                        <w:rPr>
                          <w:sz w:val="20"/>
                          <w:szCs w:val="20"/>
                        </w:rPr>
                        <w:t>Forskjellige metoder for plassering av lønnsvekst i løpet av året.</w:t>
                      </w:r>
                    </w:p>
                    <w:p w14:paraId="744756F2" w14:textId="77777777" w:rsidR="009C4B1A" w:rsidRPr="00035BE2" w:rsidRDefault="009C4B1A" w:rsidP="006E305B">
                      <w:pPr>
                        <w:pStyle w:val="Listeavsnitt20"/>
                        <w:numPr>
                          <w:ilvl w:val="0"/>
                          <w:numId w:val="29"/>
                        </w:numPr>
                        <w:spacing w:before="0" w:after="120" w:line="240" w:lineRule="auto"/>
                        <w:ind w:left="851" w:hanging="425"/>
                        <w:contextualSpacing/>
                        <w:rPr>
                          <w:sz w:val="20"/>
                          <w:szCs w:val="20"/>
                        </w:rPr>
                      </w:pPr>
                      <w:r w:rsidRPr="00035BE2">
                        <w:rPr>
                          <w:sz w:val="20"/>
                          <w:szCs w:val="20"/>
                        </w:rPr>
                        <w:t>Etterbetalinger av lønnstillegg er ulikt behandlet.</w:t>
                      </w:r>
                    </w:p>
                    <w:p w14:paraId="6FDF7B38" w14:textId="77777777" w:rsidR="009C4B1A" w:rsidRPr="00035BE2" w:rsidRDefault="009C4B1A" w:rsidP="006E305B">
                      <w:pPr>
                        <w:pStyle w:val="Listeavsnitt20"/>
                        <w:numPr>
                          <w:ilvl w:val="0"/>
                          <w:numId w:val="29"/>
                        </w:numPr>
                        <w:spacing w:before="0" w:after="120" w:line="240" w:lineRule="auto"/>
                        <w:ind w:left="851" w:hanging="425"/>
                        <w:contextualSpacing/>
                        <w:rPr>
                          <w:sz w:val="20"/>
                          <w:szCs w:val="20"/>
                        </w:rPr>
                      </w:pPr>
                      <w:r w:rsidRPr="00035BE2">
                        <w:rPr>
                          <w:sz w:val="20"/>
                          <w:szCs w:val="20"/>
                        </w:rPr>
                        <w:t>Beregningene av vekst i årslønn for industrien samlet i tabell 1.2 er for heltidsansatte i årene 2004 til 2009, men per årsverk fra og med 2010. For industriansatte i NHO-bedrifter er beregningene per årsverk i alle år, se tabell 1.1.</w:t>
                      </w:r>
                    </w:p>
                    <w:p w14:paraId="6B87168A" w14:textId="77777777" w:rsidR="009C4B1A" w:rsidRPr="00035BE2" w:rsidRDefault="009C4B1A" w:rsidP="006E305B">
                      <w:pPr>
                        <w:pStyle w:val="Listeavsnitt20"/>
                        <w:numPr>
                          <w:ilvl w:val="0"/>
                          <w:numId w:val="29"/>
                        </w:numPr>
                        <w:spacing w:before="0" w:after="120" w:line="240" w:lineRule="auto"/>
                        <w:ind w:left="851" w:hanging="425"/>
                        <w:contextualSpacing/>
                        <w:rPr>
                          <w:sz w:val="20"/>
                          <w:szCs w:val="20"/>
                        </w:rPr>
                      </w:pPr>
                      <w:r w:rsidRPr="00035BE2">
                        <w:rPr>
                          <w:sz w:val="20"/>
                          <w:szCs w:val="20"/>
                        </w:rPr>
                        <w:t xml:space="preserve">Strukturelle endringer, f. eks. forskyvninger i sysselsettingen mellom bedrifter med ulikt lønnsnivå kan slå ulikt ut for de to populasjonene. </w:t>
                      </w:r>
                    </w:p>
                    <w:p w14:paraId="3878AE6F" w14:textId="77777777" w:rsidR="009C4B1A" w:rsidRPr="00035BE2" w:rsidRDefault="009C4B1A" w:rsidP="006E305B">
                      <w:pPr>
                        <w:pStyle w:val="Listeavsnitt20"/>
                        <w:numPr>
                          <w:ilvl w:val="0"/>
                          <w:numId w:val="29"/>
                        </w:numPr>
                        <w:spacing w:before="0" w:after="120" w:line="240" w:lineRule="auto"/>
                        <w:ind w:left="851" w:hanging="425"/>
                        <w:contextualSpacing/>
                        <w:rPr>
                          <w:sz w:val="20"/>
                          <w:szCs w:val="20"/>
                        </w:rPr>
                      </w:pPr>
                      <w:r w:rsidRPr="00035BE2">
                        <w:rPr>
                          <w:sz w:val="20"/>
                          <w:szCs w:val="20"/>
                        </w:rPr>
                        <w:t>Forskjellige metoder for vekting.</w:t>
                      </w:r>
                    </w:p>
                    <w:p w14:paraId="08C8AD5F" w14:textId="24B49D7E" w:rsidR="009C4B1A" w:rsidRPr="00ED66D1" w:rsidRDefault="009C4B1A" w:rsidP="004B1A77">
                      <w:pPr>
                        <w:rPr>
                          <w:szCs w:val="24"/>
                        </w:rPr>
                      </w:pPr>
                      <w:r w:rsidRPr="00ED66D1">
                        <w:rPr>
                          <w:sz w:val="21"/>
                          <w:szCs w:val="21"/>
                        </w:rPr>
                        <w:t>De samme forholdene vil også gjelde når en sammenligner andre tariffområder med næringsområder, for eksempel årslønnsberegningene i varehandelen totalt versus beregningene for Virke</w:t>
                      </w:r>
                      <w:r>
                        <w:rPr>
                          <w:sz w:val="21"/>
                          <w:szCs w:val="21"/>
                        </w:rPr>
                        <w:t>-bedrifter i varehandel</w:t>
                      </w:r>
                      <w:r w:rsidRPr="00ED66D1">
                        <w:rPr>
                          <w:sz w:val="21"/>
                          <w:szCs w:val="21"/>
                        </w:rPr>
                        <w:t>.</w:t>
                      </w:r>
                    </w:p>
                    <w:p w14:paraId="15AFCF36" w14:textId="77777777" w:rsidR="009C4B1A" w:rsidRDefault="009C4B1A" w:rsidP="004B1A77"/>
                  </w:txbxContent>
                </v:textbox>
                <w10:anchorlock/>
              </v:shape>
            </w:pict>
          </mc:Fallback>
        </mc:AlternateContent>
      </w:r>
    </w:p>
    <w:p w14:paraId="7E9D317B" w14:textId="77777777" w:rsidR="004B1A77" w:rsidRPr="00BA1C84" w:rsidRDefault="004B1A77" w:rsidP="004B1A77">
      <w:pPr>
        <w:pStyle w:val="Overskrift3"/>
      </w:pPr>
      <w:bookmarkStart w:id="39" w:name="_Toc320820658"/>
      <w:bookmarkStart w:id="40" w:name="_Toc351913427"/>
      <w:bookmarkStart w:id="41" w:name="_Toc380506121"/>
      <w:bookmarkStart w:id="42" w:name="_Toc422226814"/>
      <w:r w:rsidRPr="00BA1C84">
        <w:lastRenderedPageBreak/>
        <w:t>Nærmere om sammensetningen av årslønnsveksten i forhandlingsområdene</w:t>
      </w:r>
      <w:bookmarkEnd w:id="39"/>
      <w:bookmarkEnd w:id="40"/>
      <w:bookmarkEnd w:id="41"/>
      <w:bookmarkEnd w:id="42"/>
    </w:p>
    <w:p w14:paraId="6F802FE5" w14:textId="77777777" w:rsidR="00D8732A" w:rsidRDefault="004B1A77" w:rsidP="004B1A77">
      <w:pPr>
        <w:spacing w:after="0"/>
      </w:pPr>
      <w:r w:rsidRPr="00A705B4">
        <w:t>I tabell 1.3 er årslønnsveksten i årene 20</w:t>
      </w:r>
      <w:r>
        <w:t xml:space="preserve">10 til </w:t>
      </w:r>
      <w:r w:rsidRPr="00A705B4">
        <w:t>20</w:t>
      </w:r>
      <w:r>
        <w:t>14</w:t>
      </w:r>
      <w:r w:rsidRPr="00A705B4">
        <w:t xml:space="preserve"> for hovedgruppene i tabell 1.1 splittet opp i bidrag fra overheng, bidrag fra sentralt fastlagte tarifftillegg og bidrag fra lønnsglidning gjennom året. </w:t>
      </w:r>
      <w:r w:rsidRPr="001B22C3">
        <w:t>Normalt betyr lønnsglidningen mer for årslønnsveksten enn det som framgår av tabell 1.3 for alle forhandlingsområdene. Dette skyldes at lønnsglidningen i beregningsåret påvirker størrelsen på overhenget til neste år.</w:t>
      </w:r>
      <w:r>
        <w:t xml:space="preserve"> Samme betraktning gjelder også for tarifftilleggene. </w:t>
      </w:r>
      <w:r w:rsidRPr="00A705B4">
        <w:t>For ansatte i staten og i kommunene har bidraget fra lønnsglidningen i perioden ligget i størrelsesorden 0,</w:t>
      </w:r>
      <w:r w:rsidR="00CD521B">
        <w:t xml:space="preserve">5 </w:t>
      </w:r>
      <w:r>
        <w:t>til 0,7</w:t>
      </w:r>
      <w:r w:rsidRPr="00A705B4">
        <w:t xml:space="preserve"> prosentpoeng i året. For gruppene i privat sektor har den variert mellom 1 og vel </w:t>
      </w:r>
      <w:r>
        <w:t>3</w:t>
      </w:r>
      <w:r w:rsidRPr="00A705B4">
        <w:t xml:space="preserve"> prosentpoeng unntatt for ansatte i forretnings- og sparebanker og forsikring</w:t>
      </w:r>
      <w:r>
        <w:t xml:space="preserve"> (finanstjenester)</w:t>
      </w:r>
      <w:r w:rsidRPr="00A705B4">
        <w:t xml:space="preserve"> </w:t>
      </w:r>
      <w:r>
        <w:t>i</w:t>
      </w:r>
      <w:r w:rsidRPr="00A705B4">
        <w:t xml:space="preserve"> </w:t>
      </w:r>
      <w:r>
        <w:t>2010 og 2013. I disse årene</w:t>
      </w:r>
      <w:r w:rsidRPr="00A705B4">
        <w:t xml:space="preserve"> var lønnsglidningen særlig høy i </w:t>
      </w:r>
      <w:r>
        <w:t>finanstjenester</w:t>
      </w:r>
      <w:r w:rsidRPr="00A705B4">
        <w:t>, noe som skyldtes store bonusutbetalinger. For store grupper industrifunksjonærer avtales ikke sentrale tillegg. For disse avtales</w:t>
      </w:r>
      <w:r>
        <w:t xml:space="preserve"> stort sett alle tillegg lokalt, slik at lønnsveksten kan defineres som lønnsglidning.</w:t>
      </w:r>
    </w:p>
    <w:p w14:paraId="23BA59E8" w14:textId="77777777" w:rsidR="004B1A77" w:rsidRDefault="004B1A77" w:rsidP="004B1A77">
      <w:pPr>
        <w:pStyle w:val="tabell-tittel"/>
      </w:pPr>
      <w:r w:rsidRPr="00694A5C">
        <w:t>Årslønnsvekst fra året før i prosent dekomponert</w:t>
      </w:r>
      <w:r w:rsidRPr="00E92F9A">
        <w:rPr>
          <w:vertAlign w:val="superscript"/>
        </w:rPr>
        <w:t>1</w:t>
      </w:r>
      <w:r w:rsidRPr="00694A5C">
        <w:t xml:space="preserve"> i overheng, tarifftillegg og lønnsglidning.</w:t>
      </w:r>
    </w:p>
    <w:tbl>
      <w:tblPr>
        <w:tblW w:w="5000" w:type="pct"/>
        <w:tblCellSpacing w:w="0" w:type="dxa"/>
        <w:tblCellMar>
          <w:left w:w="0" w:type="dxa"/>
          <w:right w:w="0" w:type="dxa"/>
        </w:tblCellMar>
        <w:tblLook w:val="0000" w:firstRow="0" w:lastRow="0" w:firstColumn="0" w:lastColumn="0" w:noHBand="0" w:noVBand="0"/>
      </w:tblPr>
      <w:tblGrid>
        <w:gridCol w:w="4721"/>
        <w:gridCol w:w="595"/>
        <w:gridCol w:w="596"/>
        <w:gridCol w:w="596"/>
        <w:gridCol w:w="571"/>
        <w:gridCol w:w="571"/>
        <w:gridCol w:w="1420"/>
      </w:tblGrid>
      <w:tr w:rsidR="004B1A77" w:rsidRPr="008718E6" w14:paraId="60FD653B" w14:textId="77777777" w:rsidTr="00D8732A">
        <w:trPr>
          <w:tblHeader/>
          <w:tblCellSpacing w:w="0" w:type="dxa"/>
        </w:trPr>
        <w:tc>
          <w:tcPr>
            <w:tcW w:w="2522" w:type="pct"/>
            <w:tcBorders>
              <w:top w:val="single" w:sz="4" w:space="0" w:color="auto"/>
              <w:bottom w:val="single" w:sz="4" w:space="0" w:color="auto"/>
            </w:tcBorders>
            <w:shd w:val="clear" w:color="auto" w:fill="auto"/>
            <w:tcMar>
              <w:top w:w="0" w:type="dxa"/>
              <w:left w:w="51" w:type="dxa"/>
              <w:bottom w:w="0" w:type="dxa"/>
              <w:right w:w="51" w:type="dxa"/>
            </w:tcMar>
          </w:tcPr>
          <w:p w14:paraId="3F17DA8B" w14:textId="77777777" w:rsidR="004B1A77" w:rsidRPr="008718E6" w:rsidRDefault="004B1A77" w:rsidP="00795948">
            <w:pPr>
              <w:spacing w:after="34"/>
              <w:rPr>
                <w:rFonts w:ascii="Times New Roman" w:hAnsi="Times New Roman"/>
                <w:sz w:val="22"/>
                <w:szCs w:val="22"/>
              </w:rPr>
            </w:pPr>
          </w:p>
        </w:tc>
        <w:tc>
          <w:tcPr>
            <w:tcW w:w="342" w:type="pct"/>
            <w:tcBorders>
              <w:top w:val="single" w:sz="4" w:space="0" w:color="auto"/>
              <w:bottom w:val="single" w:sz="4" w:space="0" w:color="auto"/>
            </w:tcBorders>
            <w:shd w:val="clear" w:color="auto" w:fill="auto"/>
            <w:noWrap/>
            <w:tcMar>
              <w:top w:w="0" w:type="dxa"/>
              <w:left w:w="51" w:type="dxa"/>
              <w:bottom w:w="0" w:type="dxa"/>
              <w:right w:w="51" w:type="dxa"/>
            </w:tcMar>
            <w:vAlign w:val="bottom"/>
          </w:tcPr>
          <w:p w14:paraId="1127E85B"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2010</w:t>
            </w:r>
          </w:p>
        </w:tc>
        <w:tc>
          <w:tcPr>
            <w:tcW w:w="342" w:type="pct"/>
            <w:tcBorders>
              <w:top w:val="single" w:sz="4" w:space="0" w:color="auto"/>
              <w:bottom w:val="single" w:sz="4" w:space="0" w:color="auto"/>
            </w:tcBorders>
            <w:shd w:val="clear" w:color="auto" w:fill="auto"/>
            <w:noWrap/>
            <w:tcMar>
              <w:top w:w="0" w:type="dxa"/>
              <w:left w:w="51" w:type="dxa"/>
              <w:bottom w:w="0" w:type="dxa"/>
              <w:right w:w="51" w:type="dxa"/>
            </w:tcMar>
            <w:vAlign w:val="bottom"/>
          </w:tcPr>
          <w:p w14:paraId="4309A714"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2011</w:t>
            </w:r>
          </w:p>
        </w:tc>
        <w:tc>
          <w:tcPr>
            <w:tcW w:w="342" w:type="pct"/>
            <w:tcBorders>
              <w:top w:val="single" w:sz="4" w:space="0" w:color="auto"/>
              <w:bottom w:val="single" w:sz="4" w:space="0" w:color="auto"/>
            </w:tcBorders>
            <w:shd w:val="clear" w:color="auto" w:fill="auto"/>
            <w:noWrap/>
            <w:tcMar>
              <w:top w:w="0" w:type="dxa"/>
              <w:left w:w="51" w:type="dxa"/>
              <w:bottom w:w="0" w:type="dxa"/>
              <w:right w:w="51" w:type="dxa"/>
            </w:tcMar>
            <w:vAlign w:val="bottom"/>
          </w:tcPr>
          <w:p w14:paraId="645B70B2"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2012</w:t>
            </w:r>
          </w:p>
        </w:tc>
        <w:tc>
          <w:tcPr>
            <w:tcW w:w="328" w:type="pct"/>
            <w:tcBorders>
              <w:top w:val="single" w:sz="4" w:space="0" w:color="auto"/>
              <w:bottom w:val="single" w:sz="4" w:space="0" w:color="auto"/>
            </w:tcBorders>
            <w:vAlign w:val="bottom"/>
          </w:tcPr>
          <w:p w14:paraId="22FF52F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2013</w:t>
            </w:r>
          </w:p>
        </w:tc>
        <w:tc>
          <w:tcPr>
            <w:tcW w:w="328" w:type="pct"/>
            <w:tcBorders>
              <w:top w:val="single" w:sz="4" w:space="0" w:color="auto"/>
              <w:bottom w:val="single" w:sz="4" w:space="0" w:color="auto"/>
            </w:tcBorders>
            <w:vAlign w:val="bottom"/>
          </w:tcPr>
          <w:p w14:paraId="381F1364"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201</w:t>
            </w:r>
            <w:r>
              <w:rPr>
                <w:rFonts w:ascii="Times New Roman" w:hAnsi="Times New Roman"/>
                <w:color w:val="000000"/>
                <w:sz w:val="22"/>
                <w:szCs w:val="22"/>
              </w:rPr>
              <w:t>4</w:t>
            </w:r>
          </w:p>
        </w:tc>
        <w:tc>
          <w:tcPr>
            <w:tcW w:w="797" w:type="pct"/>
            <w:tcBorders>
              <w:top w:val="single" w:sz="4" w:space="0" w:color="auto"/>
              <w:bottom w:val="single" w:sz="4" w:space="0" w:color="auto"/>
            </w:tcBorders>
            <w:shd w:val="clear" w:color="auto" w:fill="auto"/>
            <w:noWrap/>
            <w:vAlign w:val="center"/>
          </w:tcPr>
          <w:p w14:paraId="1B37C39D" w14:textId="77777777" w:rsidR="004B1A77" w:rsidRPr="008718E6" w:rsidRDefault="004B1A77" w:rsidP="00795948">
            <w:pPr>
              <w:spacing w:after="34"/>
              <w:ind w:right="-15"/>
              <w:jc w:val="center"/>
              <w:rPr>
                <w:rFonts w:ascii="Times New Roman" w:hAnsi="Times New Roman"/>
                <w:color w:val="000000"/>
                <w:sz w:val="22"/>
                <w:szCs w:val="22"/>
              </w:rPr>
            </w:pPr>
            <w:r w:rsidRPr="00E27050">
              <w:rPr>
                <w:rFonts w:ascii="Times New Roman" w:hAnsi="Times New Roman"/>
                <w:color w:val="000000"/>
                <w:sz w:val="22"/>
                <w:szCs w:val="22"/>
              </w:rPr>
              <w:t xml:space="preserve">Gj.sn. </w:t>
            </w:r>
          </w:p>
          <w:p w14:paraId="4558212C" w14:textId="77777777" w:rsidR="004B1A77" w:rsidRPr="008718E6" w:rsidRDefault="004B1A77" w:rsidP="00795948">
            <w:pPr>
              <w:spacing w:after="34"/>
              <w:ind w:right="-15"/>
              <w:jc w:val="center"/>
              <w:rPr>
                <w:rFonts w:ascii="Times New Roman" w:hAnsi="Times New Roman"/>
                <w:color w:val="000000"/>
                <w:sz w:val="22"/>
                <w:szCs w:val="22"/>
              </w:rPr>
            </w:pPr>
            <w:r w:rsidRPr="00E27050">
              <w:rPr>
                <w:rFonts w:ascii="Times New Roman" w:hAnsi="Times New Roman"/>
                <w:color w:val="000000"/>
                <w:sz w:val="22"/>
                <w:szCs w:val="22"/>
              </w:rPr>
              <w:t>20</w:t>
            </w:r>
            <w:r>
              <w:rPr>
                <w:rFonts w:ascii="Times New Roman" w:hAnsi="Times New Roman"/>
                <w:color w:val="000000"/>
                <w:sz w:val="22"/>
                <w:szCs w:val="22"/>
              </w:rPr>
              <w:t>10</w:t>
            </w:r>
            <w:r w:rsidRPr="00E27050">
              <w:rPr>
                <w:rFonts w:ascii="Times New Roman" w:hAnsi="Times New Roman"/>
                <w:color w:val="000000"/>
                <w:sz w:val="22"/>
                <w:szCs w:val="22"/>
              </w:rPr>
              <w:t>-1</w:t>
            </w:r>
            <w:r>
              <w:rPr>
                <w:rFonts w:ascii="Times New Roman" w:hAnsi="Times New Roman"/>
                <w:color w:val="000000"/>
                <w:sz w:val="22"/>
                <w:szCs w:val="22"/>
              </w:rPr>
              <w:t>4</w:t>
            </w:r>
          </w:p>
        </w:tc>
      </w:tr>
      <w:tr w:rsidR="004B1A77" w:rsidRPr="008718E6" w14:paraId="74B05434" w14:textId="77777777" w:rsidTr="00D8732A">
        <w:trPr>
          <w:tblCellSpacing w:w="0" w:type="dxa"/>
        </w:trPr>
        <w:tc>
          <w:tcPr>
            <w:tcW w:w="2522" w:type="pct"/>
            <w:shd w:val="clear" w:color="auto" w:fill="auto"/>
            <w:tcMar>
              <w:top w:w="0" w:type="dxa"/>
              <w:left w:w="51" w:type="dxa"/>
              <w:bottom w:w="0" w:type="dxa"/>
              <w:right w:w="51" w:type="dxa"/>
            </w:tcMar>
            <w:vAlign w:val="bottom"/>
          </w:tcPr>
          <w:p w14:paraId="742176E0"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i/>
                <w:iCs/>
                <w:color w:val="000000"/>
                <w:sz w:val="22"/>
                <w:szCs w:val="22"/>
              </w:rPr>
              <w:t>Industriarbeidere i NHO-bedrifter:</w:t>
            </w:r>
            <w:r w:rsidRPr="00E27050">
              <w:rPr>
                <w:rFonts w:ascii="Times New Roman" w:hAnsi="Times New Roman"/>
                <w:color w:val="000000"/>
                <w:sz w:val="22"/>
                <w:szCs w:val="22"/>
              </w:rPr>
              <w:t xml:space="preserve"> </w:t>
            </w:r>
          </w:p>
        </w:tc>
        <w:tc>
          <w:tcPr>
            <w:tcW w:w="342" w:type="pct"/>
            <w:shd w:val="clear" w:color="auto" w:fill="auto"/>
            <w:tcMar>
              <w:top w:w="0" w:type="dxa"/>
              <w:left w:w="51" w:type="dxa"/>
              <w:bottom w:w="0" w:type="dxa"/>
              <w:right w:w="51" w:type="dxa"/>
            </w:tcMar>
          </w:tcPr>
          <w:p w14:paraId="42DA6589" w14:textId="77777777" w:rsidR="004B1A77" w:rsidRPr="008718E6" w:rsidRDefault="004B1A77" w:rsidP="00795948">
            <w:pPr>
              <w:spacing w:after="34"/>
              <w:ind w:right="-45"/>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4F7623D7" w14:textId="77777777" w:rsidR="004B1A77" w:rsidRPr="008718E6" w:rsidRDefault="004B1A77" w:rsidP="00795948">
            <w:pPr>
              <w:spacing w:after="34"/>
              <w:ind w:right="-45"/>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0249DE9A" w14:textId="77777777" w:rsidR="004B1A77" w:rsidRPr="008718E6" w:rsidRDefault="004B1A77" w:rsidP="00795948">
            <w:pPr>
              <w:spacing w:after="34"/>
              <w:ind w:right="-45"/>
              <w:jc w:val="center"/>
              <w:rPr>
                <w:rFonts w:ascii="Times New Roman" w:hAnsi="Times New Roman"/>
                <w:color w:val="000000"/>
                <w:sz w:val="22"/>
                <w:szCs w:val="22"/>
              </w:rPr>
            </w:pPr>
          </w:p>
        </w:tc>
        <w:tc>
          <w:tcPr>
            <w:tcW w:w="328" w:type="pct"/>
          </w:tcPr>
          <w:p w14:paraId="66ED7835" w14:textId="77777777" w:rsidR="004B1A77" w:rsidRPr="008718E6" w:rsidRDefault="004B1A77" w:rsidP="00795948">
            <w:pPr>
              <w:spacing w:after="34"/>
              <w:ind w:right="-45"/>
              <w:jc w:val="center"/>
              <w:rPr>
                <w:rFonts w:ascii="Times New Roman" w:hAnsi="Times New Roman"/>
                <w:color w:val="000000"/>
                <w:sz w:val="22"/>
                <w:szCs w:val="22"/>
              </w:rPr>
            </w:pPr>
          </w:p>
        </w:tc>
        <w:tc>
          <w:tcPr>
            <w:tcW w:w="328" w:type="pct"/>
          </w:tcPr>
          <w:p w14:paraId="3F298749" w14:textId="77777777" w:rsidR="004B1A77" w:rsidRPr="008718E6" w:rsidRDefault="004B1A77" w:rsidP="00795948">
            <w:pPr>
              <w:spacing w:after="34"/>
              <w:ind w:right="-45"/>
              <w:jc w:val="center"/>
              <w:rPr>
                <w:rFonts w:ascii="Times New Roman" w:hAnsi="Times New Roman"/>
                <w:color w:val="000000"/>
                <w:sz w:val="22"/>
                <w:szCs w:val="22"/>
              </w:rPr>
            </w:pPr>
          </w:p>
        </w:tc>
        <w:tc>
          <w:tcPr>
            <w:tcW w:w="797" w:type="pct"/>
            <w:shd w:val="clear" w:color="auto" w:fill="auto"/>
            <w:vAlign w:val="bottom"/>
          </w:tcPr>
          <w:p w14:paraId="3737D9EE"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625EBE4B"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2B9B3971"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Årslønnsvekst</w:t>
            </w:r>
          </w:p>
        </w:tc>
        <w:tc>
          <w:tcPr>
            <w:tcW w:w="342" w:type="pct"/>
            <w:shd w:val="clear" w:color="auto" w:fill="auto"/>
            <w:noWrap/>
            <w:tcMar>
              <w:top w:w="0" w:type="dxa"/>
              <w:left w:w="51" w:type="dxa"/>
              <w:bottom w:w="0" w:type="dxa"/>
              <w:right w:w="51" w:type="dxa"/>
            </w:tcMar>
          </w:tcPr>
          <w:p w14:paraId="7CF762EA" w14:textId="77777777" w:rsidR="004B1A77" w:rsidRPr="008718E6" w:rsidRDefault="004B1A77" w:rsidP="00795948">
            <w:pPr>
              <w:spacing w:after="34"/>
              <w:jc w:val="center"/>
              <w:rPr>
                <w:rFonts w:ascii="Times New Roman" w:hAnsi="Times New Roman"/>
                <w:color w:val="000000"/>
                <w:sz w:val="22"/>
                <w:szCs w:val="22"/>
                <w:vertAlign w:val="superscript"/>
              </w:rPr>
            </w:pPr>
            <w:r w:rsidRPr="00E27050">
              <w:rPr>
                <w:rFonts w:ascii="Times New Roman" w:hAnsi="Times New Roman"/>
                <w:color w:val="000000"/>
                <w:sz w:val="22"/>
                <w:szCs w:val="22"/>
              </w:rPr>
              <w:t>3,6</w:t>
            </w:r>
          </w:p>
        </w:tc>
        <w:tc>
          <w:tcPr>
            <w:tcW w:w="342" w:type="pct"/>
            <w:shd w:val="clear" w:color="auto" w:fill="auto"/>
            <w:noWrap/>
            <w:tcMar>
              <w:top w:w="0" w:type="dxa"/>
              <w:left w:w="51" w:type="dxa"/>
              <w:bottom w:w="0" w:type="dxa"/>
              <w:right w:w="51" w:type="dxa"/>
            </w:tcMar>
          </w:tcPr>
          <w:p w14:paraId="399A940F"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4,4 </w:t>
            </w:r>
          </w:p>
        </w:tc>
        <w:tc>
          <w:tcPr>
            <w:tcW w:w="342" w:type="pct"/>
            <w:shd w:val="clear" w:color="auto" w:fill="auto"/>
            <w:noWrap/>
            <w:tcMar>
              <w:top w:w="0" w:type="dxa"/>
              <w:left w:w="51" w:type="dxa"/>
              <w:bottom w:w="0" w:type="dxa"/>
              <w:right w:w="51" w:type="dxa"/>
            </w:tcMar>
          </w:tcPr>
          <w:p w14:paraId="7A2ED066"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4,1</w:t>
            </w:r>
          </w:p>
        </w:tc>
        <w:tc>
          <w:tcPr>
            <w:tcW w:w="328" w:type="pct"/>
          </w:tcPr>
          <w:p w14:paraId="70FDC7CC"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w:t>
            </w:r>
            <w:r>
              <w:rPr>
                <w:rFonts w:ascii="Times New Roman" w:hAnsi="Times New Roman"/>
                <w:color w:val="000000"/>
                <w:sz w:val="22"/>
                <w:szCs w:val="22"/>
              </w:rPr>
              <w:t>,5</w:t>
            </w:r>
          </w:p>
        </w:tc>
        <w:tc>
          <w:tcPr>
            <w:tcW w:w="328" w:type="pct"/>
          </w:tcPr>
          <w:p w14:paraId="52E6C8EE"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3</w:t>
            </w:r>
            <w:r w:rsidR="004E1C1A">
              <w:rPr>
                <w:rFonts w:ascii="Times New Roman" w:hAnsi="Times New Roman"/>
                <w:color w:val="000000"/>
                <w:sz w:val="22"/>
                <w:szCs w:val="22"/>
              </w:rPr>
              <w:t>,0</w:t>
            </w:r>
          </w:p>
        </w:tc>
        <w:tc>
          <w:tcPr>
            <w:tcW w:w="797" w:type="pct"/>
            <w:shd w:val="clear" w:color="auto" w:fill="auto"/>
            <w:vAlign w:val="bottom"/>
          </w:tcPr>
          <w:p w14:paraId="7AB73AFC"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32F46CAC"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67B7410C"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Herav:</w:t>
            </w:r>
          </w:p>
        </w:tc>
        <w:tc>
          <w:tcPr>
            <w:tcW w:w="342" w:type="pct"/>
            <w:shd w:val="clear" w:color="auto" w:fill="auto"/>
            <w:tcMar>
              <w:top w:w="0" w:type="dxa"/>
              <w:left w:w="51" w:type="dxa"/>
              <w:bottom w:w="0" w:type="dxa"/>
              <w:right w:w="51" w:type="dxa"/>
            </w:tcMar>
          </w:tcPr>
          <w:p w14:paraId="7C476896"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5A842CAA"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1BB25E6F"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24DD98A6"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6435E75A"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vAlign w:val="bottom"/>
          </w:tcPr>
          <w:p w14:paraId="02F959BD"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719AD949"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65F9C120" w14:textId="77777777" w:rsidR="004B1A77" w:rsidRPr="008718E6" w:rsidRDefault="004B1A77" w:rsidP="00795948">
            <w:pPr>
              <w:spacing w:after="34"/>
              <w:ind w:right="-36"/>
              <w:rPr>
                <w:rFonts w:ascii="Times New Roman" w:hAnsi="Times New Roman"/>
                <w:color w:val="000000"/>
                <w:sz w:val="22"/>
                <w:szCs w:val="22"/>
              </w:rPr>
            </w:pPr>
            <w:r w:rsidRPr="00E27050">
              <w:rPr>
                <w:rFonts w:ascii="Times New Roman" w:hAnsi="Times New Roman"/>
                <w:color w:val="000000"/>
                <w:sz w:val="22"/>
                <w:szCs w:val="22"/>
              </w:rPr>
              <w:t>- Overheng</w:t>
            </w:r>
          </w:p>
        </w:tc>
        <w:tc>
          <w:tcPr>
            <w:tcW w:w="342" w:type="pct"/>
            <w:shd w:val="clear" w:color="auto" w:fill="auto"/>
            <w:noWrap/>
            <w:tcMar>
              <w:top w:w="0" w:type="dxa"/>
              <w:left w:w="51" w:type="dxa"/>
              <w:bottom w:w="0" w:type="dxa"/>
              <w:right w:w="51" w:type="dxa"/>
            </w:tcMar>
            <w:vAlign w:val="bottom"/>
          </w:tcPr>
          <w:p w14:paraId="3972D3C6" w14:textId="77777777" w:rsidR="004B1A77" w:rsidRPr="008718E6" w:rsidRDefault="004B1A77" w:rsidP="00795948">
            <w:pPr>
              <w:spacing w:after="34"/>
              <w:jc w:val="center"/>
              <w:rPr>
                <w:rFonts w:ascii="Times New Roman" w:hAnsi="Times New Roman"/>
                <w:color w:val="000000"/>
                <w:sz w:val="22"/>
                <w:szCs w:val="22"/>
                <w:vertAlign w:val="superscript"/>
              </w:rPr>
            </w:pPr>
            <w:r w:rsidRPr="00E27050">
              <w:rPr>
                <w:rFonts w:ascii="Times New Roman" w:hAnsi="Times New Roman"/>
                <w:color w:val="000000"/>
                <w:sz w:val="22"/>
                <w:szCs w:val="22"/>
              </w:rPr>
              <w:t>1,0</w:t>
            </w:r>
          </w:p>
        </w:tc>
        <w:tc>
          <w:tcPr>
            <w:tcW w:w="342" w:type="pct"/>
            <w:shd w:val="clear" w:color="auto" w:fill="auto"/>
            <w:noWrap/>
            <w:tcMar>
              <w:top w:w="0" w:type="dxa"/>
              <w:left w:w="51" w:type="dxa"/>
              <w:bottom w:w="0" w:type="dxa"/>
              <w:right w:w="51" w:type="dxa"/>
            </w:tcMar>
            <w:vAlign w:val="bottom"/>
          </w:tcPr>
          <w:p w14:paraId="05332308" w14:textId="77777777" w:rsidR="004B1A77" w:rsidRPr="008718E6" w:rsidRDefault="004B1A77" w:rsidP="00795948">
            <w:pPr>
              <w:spacing w:after="34"/>
              <w:jc w:val="center"/>
              <w:rPr>
                <w:rFonts w:ascii="Times New Roman" w:hAnsi="Times New Roman"/>
                <w:sz w:val="22"/>
                <w:szCs w:val="22"/>
              </w:rPr>
            </w:pPr>
            <w:r w:rsidRPr="00E27050">
              <w:rPr>
                <w:rFonts w:ascii="Times New Roman" w:hAnsi="Times New Roman"/>
                <w:sz w:val="22"/>
                <w:szCs w:val="22"/>
              </w:rPr>
              <w:t>1,2</w:t>
            </w:r>
          </w:p>
        </w:tc>
        <w:tc>
          <w:tcPr>
            <w:tcW w:w="342" w:type="pct"/>
            <w:shd w:val="clear" w:color="auto" w:fill="auto"/>
            <w:noWrap/>
            <w:tcMar>
              <w:top w:w="0" w:type="dxa"/>
              <w:left w:w="51" w:type="dxa"/>
              <w:bottom w:w="0" w:type="dxa"/>
              <w:right w:w="51" w:type="dxa"/>
            </w:tcMar>
            <w:vAlign w:val="bottom"/>
          </w:tcPr>
          <w:p w14:paraId="15D3A40E" w14:textId="77777777" w:rsidR="004B1A77" w:rsidRPr="008718E6" w:rsidRDefault="004B1A77" w:rsidP="00795948">
            <w:pPr>
              <w:spacing w:after="34"/>
              <w:jc w:val="center"/>
              <w:rPr>
                <w:rFonts w:ascii="Times New Roman" w:hAnsi="Times New Roman"/>
                <w:sz w:val="22"/>
                <w:szCs w:val="22"/>
              </w:rPr>
            </w:pPr>
            <w:r w:rsidRPr="00E27050">
              <w:rPr>
                <w:rFonts w:ascii="Times New Roman" w:hAnsi="Times New Roman"/>
                <w:sz w:val="22"/>
                <w:szCs w:val="22"/>
              </w:rPr>
              <w:t>1,3</w:t>
            </w:r>
          </w:p>
        </w:tc>
        <w:tc>
          <w:tcPr>
            <w:tcW w:w="328" w:type="pct"/>
            <w:vAlign w:val="bottom"/>
          </w:tcPr>
          <w:p w14:paraId="73495EC3" w14:textId="77777777" w:rsidR="004B1A77" w:rsidRPr="008718E6" w:rsidRDefault="004B1A77" w:rsidP="00795948">
            <w:pPr>
              <w:spacing w:after="34"/>
              <w:jc w:val="center"/>
              <w:rPr>
                <w:rFonts w:ascii="Times New Roman" w:hAnsi="Times New Roman"/>
                <w:sz w:val="22"/>
                <w:szCs w:val="22"/>
              </w:rPr>
            </w:pPr>
            <w:r w:rsidRPr="00E27050">
              <w:rPr>
                <w:rFonts w:ascii="Times New Roman" w:hAnsi="Times New Roman"/>
                <w:sz w:val="22"/>
                <w:szCs w:val="22"/>
              </w:rPr>
              <w:t>1,2</w:t>
            </w:r>
          </w:p>
        </w:tc>
        <w:tc>
          <w:tcPr>
            <w:tcW w:w="328" w:type="pct"/>
            <w:vAlign w:val="bottom"/>
          </w:tcPr>
          <w:p w14:paraId="60C54916" w14:textId="77777777" w:rsidR="004B1A77" w:rsidRPr="008718E6" w:rsidRDefault="004B1A77" w:rsidP="00795948">
            <w:pPr>
              <w:spacing w:after="34"/>
              <w:jc w:val="center"/>
              <w:rPr>
                <w:rFonts w:ascii="Times New Roman" w:hAnsi="Times New Roman"/>
                <w:sz w:val="22"/>
                <w:szCs w:val="22"/>
              </w:rPr>
            </w:pPr>
            <w:r>
              <w:rPr>
                <w:rFonts w:ascii="Times New Roman" w:hAnsi="Times New Roman"/>
                <w:sz w:val="22"/>
                <w:szCs w:val="22"/>
              </w:rPr>
              <w:t>1,2</w:t>
            </w:r>
          </w:p>
        </w:tc>
        <w:tc>
          <w:tcPr>
            <w:tcW w:w="797" w:type="pct"/>
            <w:shd w:val="clear" w:color="auto" w:fill="auto"/>
            <w:vAlign w:val="bottom"/>
          </w:tcPr>
          <w:p w14:paraId="0B91C0B7" w14:textId="77777777" w:rsidR="004B1A77" w:rsidRPr="008718E6" w:rsidRDefault="004B1A77" w:rsidP="00795948">
            <w:pPr>
              <w:spacing w:after="34"/>
              <w:ind w:right="-15"/>
              <w:rPr>
                <w:rFonts w:ascii="Times New Roman" w:hAnsi="Times New Roman"/>
                <w:color w:val="000000"/>
                <w:sz w:val="22"/>
                <w:szCs w:val="22"/>
              </w:rPr>
            </w:pPr>
          </w:p>
        </w:tc>
      </w:tr>
      <w:tr w:rsidR="004B1A77" w:rsidRPr="008718E6" w14:paraId="1AAA81EF"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C8EB72F"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Tarifftillegg</w:t>
            </w:r>
          </w:p>
        </w:tc>
        <w:tc>
          <w:tcPr>
            <w:tcW w:w="342" w:type="pct"/>
            <w:shd w:val="clear" w:color="auto" w:fill="auto"/>
            <w:noWrap/>
            <w:tcMar>
              <w:top w:w="0" w:type="dxa"/>
              <w:left w:w="51" w:type="dxa"/>
              <w:bottom w:w="0" w:type="dxa"/>
              <w:right w:w="51" w:type="dxa"/>
            </w:tcMar>
          </w:tcPr>
          <w:p w14:paraId="6A16750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1,0</w:t>
            </w:r>
          </w:p>
        </w:tc>
        <w:tc>
          <w:tcPr>
            <w:tcW w:w="342" w:type="pct"/>
            <w:shd w:val="clear" w:color="auto" w:fill="auto"/>
            <w:noWrap/>
            <w:tcMar>
              <w:top w:w="0" w:type="dxa"/>
              <w:left w:w="51" w:type="dxa"/>
              <w:bottom w:w="0" w:type="dxa"/>
              <w:right w:w="51" w:type="dxa"/>
            </w:tcMar>
          </w:tcPr>
          <w:p w14:paraId="7A95013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0,9</w:t>
            </w:r>
          </w:p>
        </w:tc>
        <w:tc>
          <w:tcPr>
            <w:tcW w:w="342" w:type="pct"/>
            <w:shd w:val="clear" w:color="auto" w:fill="auto"/>
            <w:noWrap/>
            <w:tcMar>
              <w:top w:w="0" w:type="dxa"/>
              <w:left w:w="51" w:type="dxa"/>
              <w:bottom w:w="0" w:type="dxa"/>
              <w:right w:w="51" w:type="dxa"/>
            </w:tcMar>
          </w:tcPr>
          <w:p w14:paraId="415C42C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1,0</w:t>
            </w:r>
          </w:p>
        </w:tc>
        <w:tc>
          <w:tcPr>
            <w:tcW w:w="328" w:type="pct"/>
          </w:tcPr>
          <w:p w14:paraId="0B7A446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0,4</w:t>
            </w:r>
          </w:p>
        </w:tc>
        <w:tc>
          <w:tcPr>
            <w:tcW w:w="328" w:type="pct"/>
          </w:tcPr>
          <w:p w14:paraId="6C9FE0A9"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0,7</w:t>
            </w:r>
          </w:p>
        </w:tc>
        <w:tc>
          <w:tcPr>
            <w:tcW w:w="797" w:type="pct"/>
            <w:shd w:val="clear" w:color="auto" w:fill="auto"/>
            <w:vAlign w:val="bottom"/>
          </w:tcPr>
          <w:p w14:paraId="4C7AB625"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3AD83C8C"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1A477529"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Lønnsglidning</w:t>
            </w:r>
          </w:p>
        </w:tc>
        <w:tc>
          <w:tcPr>
            <w:tcW w:w="342" w:type="pct"/>
            <w:shd w:val="clear" w:color="auto" w:fill="auto"/>
            <w:noWrap/>
            <w:tcMar>
              <w:top w:w="0" w:type="dxa"/>
              <w:left w:w="51" w:type="dxa"/>
              <w:bottom w:w="0" w:type="dxa"/>
              <w:right w:w="51" w:type="dxa"/>
            </w:tcMar>
          </w:tcPr>
          <w:p w14:paraId="4266566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1,6 </w:t>
            </w:r>
          </w:p>
        </w:tc>
        <w:tc>
          <w:tcPr>
            <w:tcW w:w="342" w:type="pct"/>
            <w:shd w:val="clear" w:color="auto" w:fill="auto"/>
            <w:noWrap/>
            <w:tcMar>
              <w:top w:w="0" w:type="dxa"/>
              <w:left w:w="51" w:type="dxa"/>
              <w:bottom w:w="0" w:type="dxa"/>
              <w:right w:w="51" w:type="dxa"/>
            </w:tcMar>
          </w:tcPr>
          <w:p w14:paraId="6B0C685B"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2,3</w:t>
            </w:r>
          </w:p>
        </w:tc>
        <w:tc>
          <w:tcPr>
            <w:tcW w:w="342" w:type="pct"/>
            <w:shd w:val="clear" w:color="auto" w:fill="auto"/>
            <w:noWrap/>
            <w:tcMar>
              <w:top w:w="0" w:type="dxa"/>
              <w:left w:w="51" w:type="dxa"/>
              <w:bottom w:w="0" w:type="dxa"/>
              <w:right w:w="51" w:type="dxa"/>
            </w:tcMar>
          </w:tcPr>
          <w:p w14:paraId="560C4FD6"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1,8 </w:t>
            </w:r>
          </w:p>
        </w:tc>
        <w:tc>
          <w:tcPr>
            <w:tcW w:w="328" w:type="pct"/>
          </w:tcPr>
          <w:p w14:paraId="315FAA6C"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w:t>
            </w:r>
            <w:r>
              <w:rPr>
                <w:rFonts w:ascii="Times New Roman" w:hAnsi="Times New Roman"/>
                <w:color w:val="000000"/>
                <w:sz w:val="22"/>
                <w:szCs w:val="22"/>
              </w:rPr>
              <w:t>,9</w:t>
            </w:r>
            <w:r w:rsidRPr="00E27050">
              <w:rPr>
                <w:rFonts w:ascii="Times New Roman" w:hAnsi="Times New Roman"/>
                <w:color w:val="000000"/>
                <w:sz w:val="22"/>
                <w:szCs w:val="22"/>
              </w:rPr>
              <w:t xml:space="preserve"> </w:t>
            </w:r>
          </w:p>
        </w:tc>
        <w:tc>
          <w:tcPr>
            <w:tcW w:w="328" w:type="pct"/>
          </w:tcPr>
          <w:p w14:paraId="3E19B75E"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1</w:t>
            </w:r>
            <w:r w:rsidR="004E1C1A">
              <w:rPr>
                <w:rFonts w:ascii="Times New Roman" w:hAnsi="Times New Roman"/>
                <w:color w:val="000000"/>
                <w:sz w:val="22"/>
                <w:szCs w:val="22"/>
              </w:rPr>
              <w:t>,1</w:t>
            </w:r>
          </w:p>
        </w:tc>
        <w:tc>
          <w:tcPr>
            <w:tcW w:w="797" w:type="pct"/>
            <w:shd w:val="clear" w:color="auto" w:fill="auto"/>
            <w:noWrap/>
            <w:vAlign w:val="bottom"/>
          </w:tcPr>
          <w:p w14:paraId="7B9C6B95" w14:textId="77777777" w:rsidR="004B1A77" w:rsidRPr="008718E6" w:rsidRDefault="004B1A77" w:rsidP="00795948">
            <w:pPr>
              <w:spacing w:after="34"/>
              <w:ind w:right="-15"/>
              <w:jc w:val="center"/>
              <w:rPr>
                <w:rFonts w:ascii="Times New Roman" w:hAnsi="Times New Roman"/>
                <w:color w:val="000000"/>
                <w:sz w:val="22"/>
                <w:szCs w:val="22"/>
              </w:rPr>
            </w:pPr>
            <w:r>
              <w:rPr>
                <w:rFonts w:ascii="Times New Roman" w:hAnsi="Times New Roman"/>
                <w:color w:val="000000"/>
                <w:sz w:val="22"/>
                <w:szCs w:val="22"/>
              </w:rPr>
              <w:t>1,7</w:t>
            </w:r>
          </w:p>
        </w:tc>
      </w:tr>
      <w:tr w:rsidR="004B1A77" w:rsidRPr="008718E6" w14:paraId="49A7479A" w14:textId="77777777" w:rsidTr="00D8732A">
        <w:trPr>
          <w:trHeight w:val="281"/>
          <w:tblCellSpacing w:w="0" w:type="dxa"/>
        </w:trPr>
        <w:tc>
          <w:tcPr>
            <w:tcW w:w="2522" w:type="pct"/>
            <w:tcBorders>
              <w:top w:val="single" w:sz="4" w:space="0" w:color="auto"/>
            </w:tcBorders>
            <w:shd w:val="clear" w:color="auto" w:fill="auto"/>
            <w:tcMar>
              <w:top w:w="0" w:type="dxa"/>
              <w:left w:w="51" w:type="dxa"/>
              <w:bottom w:w="0" w:type="dxa"/>
              <w:right w:w="51" w:type="dxa"/>
            </w:tcMar>
            <w:vAlign w:val="bottom"/>
          </w:tcPr>
          <w:p w14:paraId="1497A5CC"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i/>
                <w:iCs/>
                <w:color w:val="000000"/>
                <w:sz w:val="22"/>
                <w:szCs w:val="22"/>
              </w:rPr>
              <w:t>Industrifunksjonærer i NHO-bedrifter:</w:t>
            </w:r>
            <w:r w:rsidRPr="00E27050">
              <w:rPr>
                <w:rFonts w:ascii="Times New Roman" w:hAnsi="Times New Roman"/>
                <w:color w:val="000000"/>
                <w:sz w:val="22"/>
                <w:szCs w:val="22"/>
              </w:rPr>
              <w:t xml:space="preserve"> </w:t>
            </w:r>
          </w:p>
        </w:tc>
        <w:tc>
          <w:tcPr>
            <w:tcW w:w="342" w:type="pct"/>
            <w:tcBorders>
              <w:top w:val="single" w:sz="4" w:space="0" w:color="auto"/>
            </w:tcBorders>
            <w:shd w:val="clear" w:color="auto" w:fill="auto"/>
            <w:tcMar>
              <w:top w:w="0" w:type="dxa"/>
              <w:left w:w="51" w:type="dxa"/>
              <w:bottom w:w="0" w:type="dxa"/>
              <w:right w:w="51" w:type="dxa"/>
            </w:tcMar>
          </w:tcPr>
          <w:p w14:paraId="18C03BE8"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tcMar>
              <w:top w:w="0" w:type="dxa"/>
              <w:left w:w="51" w:type="dxa"/>
              <w:bottom w:w="0" w:type="dxa"/>
              <w:right w:w="51" w:type="dxa"/>
            </w:tcMar>
          </w:tcPr>
          <w:p w14:paraId="21C700FC"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tcMar>
              <w:top w:w="0" w:type="dxa"/>
              <w:left w:w="51" w:type="dxa"/>
              <w:bottom w:w="0" w:type="dxa"/>
              <w:right w:w="51" w:type="dxa"/>
            </w:tcMar>
          </w:tcPr>
          <w:p w14:paraId="6A7D84E2"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6C5FBAED"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2F92F45C" w14:textId="77777777" w:rsidR="004B1A77" w:rsidRPr="008718E6" w:rsidRDefault="004B1A77" w:rsidP="00795948">
            <w:pPr>
              <w:spacing w:after="34"/>
              <w:jc w:val="center"/>
              <w:rPr>
                <w:rFonts w:ascii="Times New Roman" w:hAnsi="Times New Roman"/>
                <w:color w:val="000000"/>
                <w:sz w:val="22"/>
                <w:szCs w:val="22"/>
              </w:rPr>
            </w:pPr>
          </w:p>
        </w:tc>
        <w:tc>
          <w:tcPr>
            <w:tcW w:w="797" w:type="pct"/>
            <w:tcBorders>
              <w:top w:val="single" w:sz="4" w:space="0" w:color="auto"/>
            </w:tcBorders>
            <w:shd w:val="clear" w:color="auto" w:fill="auto"/>
            <w:vAlign w:val="bottom"/>
          </w:tcPr>
          <w:p w14:paraId="33B53461"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30B5A097"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3172BB09"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Årslønnsvekst</w:t>
            </w:r>
          </w:p>
        </w:tc>
        <w:tc>
          <w:tcPr>
            <w:tcW w:w="342" w:type="pct"/>
            <w:shd w:val="clear" w:color="auto" w:fill="auto"/>
            <w:noWrap/>
            <w:tcMar>
              <w:top w:w="0" w:type="dxa"/>
              <w:left w:w="51" w:type="dxa"/>
              <w:bottom w:w="0" w:type="dxa"/>
              <w:right w:w="51" w:type="dxa"/>
            </w:tcMar>
          </w:tcPr>
          <w:p w14:paraId="197E04D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4,3</w:t>
            </w:r>
          </w:p>
        </w:tc>
        <w:tc>
          <w:tcPr>
            <w:tcW w:w="342" w:type="pct"/>
            <w:shd w:val="clear" w:color="auto" w:fill="auto"/>
            <w:noWrap/>
            <w:tcMar>
              <w:top w:w="0" w:type="dxa"/>
              <w:left w:w="51" w:type="dxa"/>
              <w:bottom w:w="0" w:type="dxa"/>
              <w:right w:w="51" w:type="dxa"/>
            </w:tcMar>
          </w:tcPr>
          <w:p w14:paraId="128B706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4,7 </w:t>
            </w:r>
          </w:p>
        </w:tc>
        <w:tc>
          <w:tcPr>
            <w:tcW w:w="342" w:type="pct"/>
            <w:shd w:val="clear" w:color="auto" w:fill="auto"/>
            <w:noWrap/>
            <w:tcMar>
              <w:top w:w="0" w:type="dxa"/>
              <w:left w:w="51" w:type="dxa"/>
              <w:bottom w:w="0" w:type="dxa"/>
              <w:right w:w="51" w:type="dxa"/>
            </w:tcMar>
          </w:tcPr>
          <w:p w14:paraId="0A64459D"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4,1</w:t>
            </w:r>
          </w:p>
        </w:tc>
        <w:tc>
          <w:tcPr>
            <w:tcW w:w="328" w:type="pct"/>
          </w:tcPr>
          <w:p w14:paraId="43CF46D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w:t>
            </w:r>
            <w:r>
              <w:rPr>
                <w:rFonts w:ascii="Times New Roman" w:hAnsi="Times New Roman"/>
                <w:color w:val="000000"/>
                <w:sz w:val="22"/>
                <w:szCs w:val="22"/>
              </w:rPr>
              <w:t>,3</w:t>
            </w:r>
            <w:r w:rsidRPr="00E27050">
              <w:rPr>
                <w:rFonts w:ascii="Times New Roman" w:hAnsi="Times New Roman"/>
                <w:color w:val="000000"/>
                <w:sz w:val="22"/>
                <w:szCs w:val="22"/>
              </w:rPr>
              <w:t xml:space="preserve"> </w:t>
            </w:r>
          </w:p>
        </w:tc>
        <w:tc>
          <w:tcPr>
            <w:tcW w:w="328" w:type="pct"/>
          </w:tcPr>
          <w:p w14:paraId="01DE7A49" w14:textId="77777777" w:rsidR="004B1A77" w:rsidRPr="008718E6" w:rsidRDefault="004B1A77" w:rsidP="004E1C1A">
            <w:pPr>
              <w:spacing w:after="34"/>
              <w:jc w:val="center"/>
              <w:rPr>
                <w:rFonts w:ascii="Times New Roman" w:hAnsi="Times New Roman"/>
                <w:color w:val="000000"/>
                <w:sz w:val="22"/>
                <w:szCs w:val="22"/>
              </w:rPr>
            </w:pPr>
            <w:r>
              <w:rPr>
                <w:rFonts w:ascii="Times New Roman" w:hAnsi="Times New Roman"/>
                <w:color w:val="000000"/>
                <w:sz w:val="22"/>
                <w:szCs w:val="22"/>
              </w:rPr>
              <w:t>3</w:t>
            </w:r>
            <w:r w:rsidR="004E1C1A">
              <w:rPr>
                <w:rFonts w:ascii="Times New Roman" w:hAnsi="Times New Roman"/>
                <w:color w:val="000000"/>
                <w:sz w:val="22"/>
                <w:szCs w:val="22"/>
              </w:rPr>
              <w:t>,2</w:t>
            </w:r>
            <w:r>
              <w:rPr>
                <w:rFonts w:ascii="Times New Roman" w:hAnsi="Times New Roman"/>
                <w:color w:val="000000"/>
                <w:sz w:val="22"/>
                <w:szCs w:val="22"/>
              </w:rPr>
              <w:t xml:space="preserve"> </w:t>
            </w:r>
          </w:p>
        </w:tc>
        <w:tc>
          <w:tcPr>
            <w:tcW w:w="797" w:type="pct"/>
            <w:shd w:val="clear" w:color="auto" w:fill="auto"/>
            <w:vAlign w:val="bottom"/>
          </w:tcPr>
          <w:p w14:paraId="4F05E882"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00CE22C0"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42DE97C6"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Herav:</w:t>
            </w:r>
          </w:p>
        </w:tc>
        <w:tc>
          <w:tcPr>
            <w:tcW w:w="342" w:type="pct"/>
            <w:shd w:val="clear" w:color="auto" w:fill="auto"/>
            <w:tcMar>
              <w:top w:w="0" w:type="dxa"/>
              <w:left w:w="51" w:type="dxa"/>
              <w:bottom w:w="0" w:type="dxa"/>
              <w:right w:w="51" w:type="dxa"/>
            </w:tcMar>
          </w:tcPr>
          <w:p w14:paraId="70715561"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46E54AE5"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65771951"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2513285F"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6B008639"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vAlign w:val="bottom"/>
          </w:tcPr>
          <w:p w14:paraId="0E2A1E03"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38F83A46"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7F17C210"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Overheng</w:t>
            </w:r>
          </w:p>
        </w:tc>
        <w:tc>
          <w:tcPr>
            <w:tcW w:w="342" w:type="pct"/>
            <w:shd w:val="clear" w:color="auto" w:fill="auto"/>
            <w:noWrap/>
            <w:tcMar>
              <w:top w:w="0" w:type="dxa"/>
              <w:left w:w="51" w:type="dxa"/>
              <w:bottom w:w="0" w:type="dxa"/>
              <w:right w:w="51" w:type="dxa"/>
            </w:tcMar>
          </w:tcPr>
          <w:p w14:paraId="4D7CE75C"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1,7</w:t>
            </w:r>
          </w:p>
        </w:tc>
        <w:tc>
          <w:tcPr>
            <w:tcW w:w="342" w:type="pct"/>
            <w:shd w:val="clear" w:color="auto" w:fill="auto"/>
            <w:noWrap/>
            <w:tcMar>
              <w:top w:w="0" w:type="dxa"/>
              <w:left w:w="51" w:type="dxa"/>
              <w:bottom w:w="0" w:type="dxa"/>
              <w:right w:w="51" w:type="dxa"/>
            </w:tcMar>
          </w:tcPr>
          <w:p w14:paraId="4BC48A1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1,9</w:t>
            </w:r>
          </w:p>
        </w:tc>
        <w:tc>
          <w:tcPr>
            <w:tcW w:w="342" w:type="pct"/>
            <w:shd w:val="clear" w:color="auto" w:fill="auto"/>
            <w:noWrap/>
            <w:tcMar>
              <w:top w:w="0" w:type="dxa"/>
              <w:left w:w="51" w:type="dxa"/>
              <w:bottom w:w="0" w:type="dxa"/>
              <w:right w:w="51" w:type="dxa"/>
            </w:tcMar>
          </w:tcPr>
          <w:p w14:paraId="4DF1794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1,8</w:t>
            </w:r>
          </w:p>
        </w:tc>
        <w:tc>
          <w:tcPr>
            <w:tcW w:w="328" w:type="pct"/>
          </w:tcPr>
          <w:p w14:paraId="43C58C9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2,1</w:t>
            </w:r>
          </w:p>
        </w:tc>
        <w:tc>
          <w:tcPr>
            <w:tcW w:w="328" w:type="pct"/>
          </w:tcPr>
          <w:p w14:paraId="0CAFCF8F"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1,4</w:t>
            </w:r>
          </w:p>
        </w:tc>
        <w:tc>
          <w:tcPr>
            <w:tcW w:w="797" w:type="pct"/>
            <w:shd w:val="clear" w:color="auto" w:fill="auto"/>
            <w:vAlign w:val="bottom"/>
          </w:tcPr>
          <w:p w14:paraId="4FBA4BBC"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36109EC0"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25E05424"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Lønnsglidning</w:t>
            </w:r>
          </w:p>
        </w:tc>
        <w:tc>
          <w:tcPr>
            <w:tcW w:w="342" w:type="pct"/>
            <w:shd w:val="clear" w:color="auto" w:fill="auto"/>
            <w:noWrap/>
            <w:tcMar>
              <w:top w:w="0" w:type="dxa"/>
              <w:left w:w="51" w:type="dxa"/>
              <w:bottom w:w="0" w:type="dxa"/>
              <w:right w:w="51" w:type="dxa"/>
            </w:tcMar>
          </w:tcPr>
          <w:p w14:paraId="2A08B236"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2,6 </w:t>
            </w:r>
          </w:p>
        </w:tc>
        <w:tc>
          <w:tcPr>
            <w:tcW w:w="342" w:type="pct"/>
            <w:shd w:val="clear" w:color="auto" w:fill="auto"/>
            <w:noWrap/>
            <w:tcMar>
              <w:top w:w="0" w:type="dxa"/>
              <w:left w:w="51" w:type="dxa"/>
              <w:bottom w:w="0" w:type="dxa"/>
              <w:right w:w="51" w:type="dxa"/>
            </w:tcMar>
          </w:tcPr>
          <w:p w14:paraId="2AA97FE2"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2,8 </w:t>
            </w:r>
          </w:p>
        </w:tc>
        <w:tc>
          <w:tcPr>
            <w:tcW w:w="342" w:type="pct"/>
            <w:shd w:val="clear" w:color="auto" w:fill="auto"/>
            <w:noWrap/>
            <w:tcMar>
              <w:top w:w="0" w:type="dxa"/>
              <w:left w:w="51" w:type="dxa"/>
              <w:bottom w:w="0" w:type="dxa"/>
              <w:right w:w="51" w:type="dxa"/>
            </w:tcMar>
          </w:tcPr>
          <w:p w14:paraId="439BD8C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2,3</w:t>
            </w:r>
          </w:p>
        </w:tc>
        <w:tc>
          <w:tcPr>
            <w:tcW w:w="328" w:type="pct"/>
          </w:tcPr>
          <w:p w14:paraId="4CD7C4F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w:t>
            </w:r>
            <w:r>
              <w:rPr>
                <w:rFonts w:ascii="Times New Roman" w:hAnsi="Times New Roman"/>
                <w:color w:val="000000"/>
                <w:sz w:val="22"/>
                <w:szCs w:val="22"/>
              </w:rPr>
              <w:t>,2</w:t>
            </w:r>
            <w:r w:rsidRPr="00E27050">
              <w:rPr>
                <w:rFonts w:ascii="Times New Roman" w:hAnsi="Times New Roman"/>
                <w:color w:val="000000"/>
                <w:sz w:val="22"/>
                <w:szCs w:val="22"/>
              </w:rPr>
              <w:t xml:space="preserve"> </w:t>
            </w:r>
          </w:p>
        </w:tc>
        <w:tc>
          <w:tcPr>
            <w:tcW w:w="328" w:type="pct"/>
          </w:tcPr>
          <w:p w14:paraId="0CAC6245" w14:textId="77777777" w:rsidR="004B1A77" w:rsidRPr="008718E6" w:rsidRDefault="004B1A77" w:rsidP="004E1C1A">
            <w:pPr>
              <w:spacing w:after="34"/>
              <w:jc w:val="center"/>
              <w:rPr>
                <w:rFonts w:ascii="Times New Roman" w:hAnsi="Times New Roman"/>
                <w:color w:val="000000"/>
                <w:sz w:val="22"/>
                <w:szCs w:val="22"/>
              </w:rPr>
            </w:pPr>
            <w:r>
              <w:rPr>
                <w:rFonts w:ascii="Times New Roman" w:hAnsi="Times New Roman"/>
                <w:color w:val="000000"/>
                <w:sz w:val="22"/>
                <w:szCs w:val="22"/>
              </w:rPr>
              <w:t>1</w:t>
            </w:r>
            <w:r w:rsidR="004E1C1A">
              <w:rPr>
                <w:rFonts w:ascii="Times New Roman" w:hAnsi="Times New Roman"/>
                <w:color w:val="000000"/>
                <w:sz w:val="22"/>
                <w:szCs w:val="22"/>
              </w:rPr>
              <w:t>,8</w:t>
            </w:r>
            <w:r>
              <w:rPr>
                <w:rFonts w:ascii="Times New Roman" w:hAnsi="Times New Roman"/>
                <w:color w:val="000000"/>
                <w:sz w:val="22"/>
                <w:szCs w:val="22"/>
              </w:rPr>
              <w:t xml:space="preserve"> </w:t>
            </w:r>
          </w:p>
        </w:tc>
        <w:tc>
          <w:tcPr>
            <w:tcW w:w="797" w:type="pct"/>
            <w:shd w:val="clear" w:color="auto" w:fill="auto"/>
            <w:noWrap/>
            <w:vAlign w:val="bottom"/>
          </w:tcPr>
          <w:p w14:paraId="4C42B46D" w14:textId="77777777" w:rsidR="004B1A77" w:rsidRPr="008718E6" w:rsidRDefault="004B1A77" w:rsidP="00795948">
            <w:pPr>
              <w:spacing w:after="34"/>
              <w:ind w:right="-15"/>
              <w:jc w:val="center"/>
              <w:rPr>
                <w:rFonts w:ascii="Times New Roman" w:hAnsi="Times New Roman"/>
                <w:color w:val="000000"/>
                <w:sz w:val="22"/>
                <w:szCs w:val="22"/>
              </w:rPr>
            </w:pPr>
            <w:r>
              <w:rPr>
                <w:rFonts w:ascii="Times New Roman" w:hAnsi="Times New Roman"/>
                <w:color w:val="000000"/>
                <w:sz w:val="22"/>
                <w:szCs w:val="22"/>
              </w:rPr>
              <w:t>2,3</w:t>
            </w:r>
          </w:p>
        </w:tc>
      </w:tr>
      <w:tr w:rsidR="004B1A77" w:rsidRPr="008718E6" w14:paraId="09E2D319" w14:textId="77777777" w:rsidTr="00D8732A">
        <w:trPr>
          <w:tblCellSpacing w:w="0" w:type="dxa"/>
        </w:trPr>
        <w:tc>
          <w:tcPr>
            <w:tcW w:w="2522" w:type="pct"/>
            <w:tcBorders>
              <w:top w:val="single" w:sz="4" w:space="0" w:color="auto"/>
            </w:tcBorders>
            <w:shd w:val="clear" w:color="auto" w:fill="auto"/>
            <w:tcMar>
              <w:top w:w="0" w:type="dxa"/>
              <w:left w:w="51" w:type="dxa"/>
              <w:bottom w:w="0" w:type="dxa"/>
              <w:right w:w="51" w:type="dxa"/>
            </w:tcMar>
            <w:vAlign w:val="bottom"/>
          </w:tcPr>
          <w:p w14:paraId="36A70DD5"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i/>
                <w:iCs/>
                <w:color w:val="000000"/>
                <w:sz w:val="22"/>
                <w:szCs w:val="22"/>
              </w:rPr>
              <w:t>Virke-bedrifter i varehandel:</w:t>
            </w:r>
            <w:r w:rsidRPr="00E27050">
              <w:rPr>
                <w:rFonts w:ascii="Times New Roman" w:hAnsi="Times New Roman"/>
                <w:color w:val="000000"/>
                <w:sz w:val="22"/>
                <w:szCs w:val="22"/>
              </w:rPr>
              <w:t xml:space="preserve"> </w:t>
            </w:r>
          </w:p>
        </w:tc>
        <w:tc>
          <w:tcPr>
            <w:tcW w:w="342" w:type="pct"/>
            <w:tcBorders>
              <w:top w:val="single" w:sz="4" w:space="0" w:color="auto"/>
            </w:tcBorders>
            <w:shd w:val="clear" w:color="auto" w:fill="auto"/>
            <w:tcMar>
              <w:top w:w="0" w:type="dxa"/>
              <w:left w:w="51" w:type="dxa"/>
              <w:bottom w:w="0" w:type="dxa"/>
              <w:right w:w="51" w:type="dxa"/>
            </w:tcMar>
          </w:tcPr>
          <w:p w14:paraId="41CA754D"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tcMar>
              <w:top w:w="0" w:type="dxa"/>
              <w:left w:w="51" w:type="dxa"/>
              <w:bottom w:w="0" w:type="dxa"/>
              <w:right w:w="51" w:type="dxa"/>
            </w:tcMar>
          </w:tcPr>
          <w:p w14:paraId="0F02EB69"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tcMar>
              <w:top w:w="0" w:type="dxa"/>
              <w:left w:w="51" w:type="dxa"/>
              <w:bottom w:w="0" w:type="dxa"/>
              <w:right w:w="51" w:type="dxa"/>
            </w:tcMar>
          </w:tcPr>
          <w:p w14:paraId="7E0DC5DA"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716C2A90"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5DA9C594" w14:textId="77777777" w:rsidR="004B1A77" w:rsidRPr="008718E6" w:rsidRDefault="004B1A77" w:rsidP="00795948">
            <w:pPr>
              <w:spacing w:after="34"/>
              <w:jc w:val="center"/>
              <w:rPr>
                <w:rFonts w:ascii="Times New Roman" w:hAnsi="Times New Roman"/>
                <w:color w:val="000000"/>
                <w:sz w:val="22"/>
                <w:szCs w:val="22"/>
              </w:rPr>
            </w:pPr>
          </w:p>
        </w:tc>
        <w:tc>
          <w:tcPr>
            <w:tcW w:w="797" w:type="pct"/>
            <w:tcBorders>
              <w:top w:val="single" w:sz="4" w:space="0" w:color="auto"/>
            </w:tcBorders>
            <w:shd w:val="clear" w:color="auto" w:fill="auto"/>
            <w:vAlign w:val="bottom"/>
          </w:tcPr>
          <w:p w14:paraId="550DB4ED"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40D2CC24"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DC9283E"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Årslønnsvekst</w:t>
            </w:r>
          </w:p>
        </w:tc>
        <w:tc>
          <w:tcPr>
            <w:tcW w:w="342" w:type="pct"/>
            <w:shd w:val="clear" w:color="auto" w:fill="auto"/>
            <w:noWrap/>
            <w:tcMar>
              <w:top w:w="0" w:type="dxa"/>
              <w:left w:w="51" w:type="dxa"/>
              <w:bottom w:w="0" w:type="dxa"/>
              <w:right w:w="51" w:type="dxa"/>
            </w:tcMar>
          </w:tcPr>
          <w:p w14:paraId="0919BB4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3,6</w:t>
            </w:r>
          </w:p>
        </w:tc>
        <w:tc>
          <w:tcPr>
            <w:tcW w:w="342" w:type="pct"/>
            <w:shd w:val="clear" w:color="auto" w:fill="auto"/>
            <w:noWrap/>
            <w:tcMar>
              <w:top w:w="0" w:type="dxa"/>
              <w:left w:w="51" w:type="dxa"/>
              <w:bottom w:w="0" w:type="dxa"/>
              <w:right w:w="51" w:type="dxa"/>
            </w:tcMar>
          </w:tcPr>
          <w:p w14:paraId="3B3243B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3,6</w:t>
            </w:r>
          </w:p>
        </w:tc>
        <w:tc>
          <w:tcPr>
            <w:tcW w:w="342" w:type="pct"/>
            <w:shd w:val="clear" w:color="auto" w:fill="auto"/>
            <w:noWrap/>
            <w:tcMar>
              <w:top w:w="0" w:type="dxa"/>
              <w:left w:w="51" w:type="dxa"/>
              <w:bottom w:w="0" w:type="dxa"/>
              <w:right w:w="51" w:type="dxa"/>
            </w:tcMar>
          </w:tcPr>
          <w:p w14:paraId="125CDB23"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3,3</w:t>
            </w:r>
          </w:p>
        </w:tc>
        <w:tc>
          <w:tcPr>
            <w:tcW w:w="328" w:type="pct"/>
          </w:tcPr>
          <w:p w14:paraId="0F4F99C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4,0</w:t>
            </w:r>
          </w:p>
        </w:tc>
        <w:tc>
          <w:tcPr>
            <w:tcW w:w="328" w:type="pct"/>
          </w:tcPr>
          <w:p w14:paraId="7BCADC0D"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3,5</w:t>
            </w:r>
          </w:p>
        </w:tc>
        <w:tc>
          <w:tcPr>
            <w:tcW w:w="797" w:type="pct"/>
            <w:shd w:val="clear" w:color="auto" w:fill="auto"/>
            <w:vAlign w:val="bottom"/>
          </w:tcPr>
          <w:p w14:paraId="3068D57C"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5B336B33"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71EE4F9A"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Herav:</w:t>
            </w:r>
          </w:p>
        </w:tc>
        <w:tc>
          <w:tcPr>
            <w:tcW w:w="342" w:type="pct"/>
            <w:shd w:val="clear" w:color="auto" w:fill="auto"/>
            <w:tcMar>
              <w:top w:w="0" w:type="dxa"/>
              <w:left w:w="51" w:type="dxa"/>
              <w:bottom w:w="0" w:type="dxa"/>
              <w:right w:w="51" w:type="dxa"/>
            </w:tcMar>
          </w:tcPr>
          <w:p w14:paraId="5E70AE92"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23E5F8F9"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488D2B71"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6AC876B9"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277F8DE5"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vAlign w:val="bottom"/>
          </w:tcPr>
          <w:p w14:paraId="6373593D"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1DD65204"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EA46EE6"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Overheng</w:t>
            </w:r>
          </w:p>
        </w:tc>
        <w:tc>
          <w:tcPr>
            <w:tcW w:w="342" w:type="pct"/>
            <w:shd w:val="clear" w:color="auto" w:fill="auto"/>
            <w:noWrap/>
            <w:tcMar>
              <w:top w:w="0" w:type="dxa"/>
              <w:left w:w="51" w:type="dxa"/>
              <w:bottom w:w="0" w:type="dxa"/>
              <w:right w:w="51" w:type="dxa"/>
            </w:tcMar>
          </w:tcPr>
          <w:p w14:paraId="653F528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0,7</w:t>
            </w:r>
            <w:r w:rsidRPr="00E27050">
              <w:rPr>
                <w:rFonts w:ascii="Times New Roman" w:hAnsi="Times New Roman"/>
                <w:color w:val="000000"/>
                <w:sz w:val="22"/>
                <w:szCs w:val="22"/>
                <w:vertAlign w:val="superscript"/>
              </w:rPr>
              <w:t xml:space="preserve"> </w:t>
            </w:r>
          </w:p>
        </w:tc>
        <w:tc>
          <w:tcPr>
            <w:tcW w:w="342" w:type="pct"/>
            <w:shd w:val="clear" w:color="auto" w:fill="auto"/>
            <w:noWrap/>
            <w:tcMar>
              <w:top w:w="0" w:type="dxa"/>
              <w:left w:w="51" w:type="dxa"/>
              <w:bottom w:w="0" w:type="dxa"/>
              <w:right w:w="51" w:type="dxa"/>
            </w:tcMar>
          </w:tcPr>
          <w:p w14:paraId="494F0C18"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1,2</w:t>
            </w:r>
          </w:p>
        </w:tc>
        <w:tc>
          <w:tcPr>
            <w:tcW w:w="342" w:type="pct"/>
            <w:shd w:val="clear" w:color="auto" w:fill="auto"/>
            <w:noWrap/>
            <w:tcMar>
              <w:top w:w="0" w:type="dxa"/>
              <w:left w:w="51" w:type="dxa"/>
              <w:bottom w:w="0" w:type="dxa"/>
              <w:right w:w="51" w:type="dxa"/>
            </w:tcMar>
          </w:tcPr>
          <w:p w14:paraId="788FCDE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1,0</w:t>
            </w:r>
          </w:p>
        </w:tc>
        <w:tc>
          <w:tcPr>
            <w:tcW w:w="328" w:type="pct"/>
          </w:tcPr>
          <w:p w14:paraId="3FDA36C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0,7</w:t>
            </w:r>
          </w:p>
        </w:tc>
        <w:tc>
          <w:tcPr>
            <w:tcW w:w="328" w:type="pct"/>
          </w:tcPr>
          <w:p w14:paraId="31749536"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1,0</w:t>
            </w:r>
          </w:p>
        </w:tc>
        <w:tc>
          <w:tcPr>
            <w:tcW w:w="797" w:type="pct"/>
            <w:shd w:val="clear" w:color="auto" w:fill="auto"/>
            <w:vAlign w:val="bottom"/>
          </w:tcPr>
          <w:p w14:paraId="608D0A70"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4C2AA923"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42152970"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Tarifftillegg</w:t>
            </w:r>
          </w:p>
        </w:tc>
        <w:tc>
          <w:tcPr>
            <w:tcW w:w="342" w:type="pct"/>
            <w:shd w:val="clear" w:color="auto" w:fill="auto"/>
            <w:noWrap/>
            <w:tcMar>
              <w:top w:w="0" w:type="dxa"/>
              <w:left w:w="51" w:type="dxa"/>
              <w:bottom w:w="0" w:type="dxa"/>
              <w:right w:w="51" w:type="dxa"/>
            </w:tcMar>
          </w:tcPr>
          <w:p w14:paraId="40E37A3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0,7</w:t>
            </w:r>
          </w:p>
        </w:tc>
        <w:tc>
          <w:tcPr>
            <w:tcW w:w="342" w:type="pct"/>
            <w:shd w:val="clear" w:color="auto" w:fill="auto"/>
            <w:noWrap/>
            <w:tcMar>
              <w:top w:w="0" w:type="dxa"/>
              <w:left w:w="51" w:type="dxa"/>
              <w:bottom w:w="0" w:type="dxa"/>
              <w:right w:w="51" w:type="dxa"/>
            </w:tcMar>
          </w:tcPr>
          <w:p w14:paraId="71D36EBB"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0,6</w:t>
            </w:r>
          </w:p>
        </w:tc>
        <w:tc>
          <w:tcPr>
            <w:tcW w:w="342" w:type="pct"/>
            <w:shd w:val="clear" w:color="auto" w:fill="auto"/>
            <w:noWrap/>
            <w:tcMar>
              <w:top w:w="0" w:type="dxa"/>
              <w:left w:w="51" w:type="dxa"/>
              <w:bottom w:w="0" w:type="dxa"/>
              <w:right w:w="51" w:type="dxa"/>
            </w:tcMar>
          </w:tcPr>
          <w:p w14:paraId="574C005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1,2</w:t>
            </w:r>
          </w:p>
        </w:tc>
        <w:tc>
          <w:tcPr>
            <w:tcW w:w="328" w:type="pct"/>
          </w:tcPr>
          <w:p w14:paraId="19B5953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1,1</w:t>
            </w:r>
          </w:p>
        </w:tc>
        <w:tc>
          <w:tcPr>
            <w:tcW w:w="328" w:type="pct"/>
          </w:tcPr>
          <w:p w14:paraId="662A651A"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0,5</w:t>
            </w:r>
          </w:p>
        </w:tc>
        <w:tc>
          <w:tcPr>
            <w:tcW w:w="797" w:type="pct"/>
            <w:shd w:val="clear" w:color="auto" w:fill="auto"/>
            <w:vAlign w:val="bottom"/>
          </w:tcPr>
          <w:p w14:paraId="03757589"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2064D37E" w14:textId="77777777" w:rsidTr="00D8732A">
        <w:trPr>
          <w:tblCellSpacing w:w="0" w:type="dxa"/>
        </w:trPr>
        <w:tc>
          <w:tcPr>
            <w:tcW w:w="2522" w:type="pct"/>
            <w:shd w:val="clear" w:color="auto" w:fill="auto"/>
            <w:tcMar>
              <w:top w:w="0" w:type="dxa"/>
              <w:left w:w="51" w:type="dxa"/>
              <w:bottom w:w="0" w:type="dxa"/>
              <w:right w:w="51" w:type="dxa"/>
            </w:tcMar>
            <w:vAlign w:val="bottom"/>
          </w:tcPr>
          <w:p w14:paraId="1BA78F8A"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Garantitillegg</w:t>
            </w:r>
          </w:p>
        </w:tc>
        <w:tc>
          <w:tcPr>
            <w:tcW w:w="342" w:type="pct"/>
            <w:shd w:val="clear" w:color="auto" w:fill="auto"/>
            <w:noWrap/>
            <w:tcMar>
              <w:top w:w="0" w:type="dxa"/>
              <w:left w:w="51" w:type="dxa"/>
              <w:bottom w:w="0" w:type="dxa"/>
              <w:right w:w="51" w:type="dxa"/>
            </w:tcMar>
          </w:tcPr>
          <w:p w14:paraId="063A633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0,3</w:t>
            </w:r>
          </w:p>
        </w:tc>
        <w:tc>
          <w:tcPr>
            <w:tcW w:w="342" w:type="pct"/>
            <w:shd w:val="clear" w:color="auto" w:fill="auto"/>
            <w:noWrap/>
            <w:tcMar>
              <w:top w:w="0" w:type="dxa"/>
              <w:left w:w="51" w:type="dxa"/>
              <w:bottom w:w="0" w:type="dxa"/>
              <w:right w:w="51" w:type="dxa"/>
            </w:tcMar>
          </w:tcPr>
          <w:p w14:paraId="08FD3D2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0,4</w:t>
            </w:r>
          </w:p>
        </w:tc>
        <w:tc>
          <w:tcPr>
            <w:tcW w:w="342" w:type="pct"/>
            <w:shd w:val="clear" w:color="auto" w:fill="auto"/>
            <w:noWrap/>
            <w:tcMar>
              <w:top w:w="0" w:type="dxa"/>
              <w:left w:w="51" w:type="dxa"/>
              <w:bottom w:w="0" w:type="dxa"/>
              <w:right w:w="51" w:type="dxa"/>
            </w:tcMar>
          </w:tcPr>
          <w:p w14:paraId="761ED00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0,3</w:t>
            </w:r>
          </w:p>
        </w:tc>
        <w:tc>
          <w:tcPr>
            <w:tcW w:w="328" w:type="pct"/>
          </w:tcPr>
          <w:p w14:paraId="171FDA3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0,2</w:t>
            </w:r>
          </w:p>
        </w:tc>
        <w:tc>
          <w:tcPr>
            <w:tcW w:w="328" w:type="pct"/>
          </w:tcPr>
          <w:p w14:paraId="3C023316"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0,6</w:t>
            </w:r>
          </w:p>
        </w:tc>
        <w:tc>
          <w:tcPr>
            <w:tcW w:w="797" w:type="pct"/>
            <w:shd w:val="clear" w:color="auto" w:fill="auto"/>
            <w:vAlign w:val="bottom"/>
          </w:tcPr>
          <w:p w14:paraId="3B6EB00E"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76DB37DB"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7124A69"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Lønnsglidning</w:t>
            </w:r>
          </w:p>
        </w:tc>
        <w:tc>
          <w:tcPr>
            <w:tcW w:w="342" w:type="pct"/>
            <w:shd w:val="clear" w:color="auto" w:fill="auto"/>
            <w:noWrap/>
            <w:tcMar>
              <w:top w:w="0" w:type="dxa"/>
              <w:left w:w="51" w:type="dxa"/>
              <w:bottom w:w="0" w:type="dxa"/>
              <w:right w:w="51" w:type="dxa"/>
            </w:tcMar>
          </w:tcPr>
          <w:p w14:paraId="73BD7C7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1,9</w:t>
            </w:r>
          </w:p>
        </w:tc>
        <w:tc>
          <w:tcPr>
            <w:tcW w:w="342" w:type="pct"/>
            <w:shd w:val="clear" w:color="auto" w:fill="auto"/>
            <w:noWrap/>
            <w:tcMar>
              <w:top w:w="0" w:type="dxa"/>
              <w:left w:w="51" w:type="dxa"/>
              <w:bottom w:w="0" w:type="dxa"/>
              <w:right w:w="51" w:type="dxa"/>
            </w:tcMar>
          </w:tcPr>
          <w:p w14:paraId="475D4876"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1,4</w:t>
            </w:r>
          </w:p>
        </w:tc>
        <w:tc>
          <w:tcPr>
            <w:tcW w:w="342" w:type="pct"/>
            <w:shd w:val="clear" w:color="auto" w:fill="auto"/>
            <w:noWrap/>
            <w:tcMar>
              <w:top w:w="0" w:type="dxa"/>
              <w:left w:w="51" w:type="dxa"/>
              <w:bottom w:w="0" w:type="dxa"/>
              <w:right w:w="51" w:type="dxa"/>
            </w:tcMar>
          </w:tcPr>
          <w:p w14:paraId="60B19F52"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0,8</w:t>
            </w:r>
          </w:p>
        </w:tc>
        <w:tc>
          <w:tcPr>
            <w:tcW w:w="328" w:type="pct"/>
          </w:tcPr>
          <w:p w14:paraId="1939FF6F"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2,0</w:t>
            </w:r>
          </w:p>
        </w:tc>
        <w:tc>
          <w:tcPr>
            <w:tcW w:w="328" w:type="pct"/>
          </w:tcPr>
          <w:p w14:paraId="6108F55A"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1,4</w:t>
            </w:r>
          </w:p>
        </w:tc>
        <w:tc>
          <w:tcPr>
            <w:tcW w:w="797" w:type="pct"/>
            <w:shd w:val="clear" w:color="auto" w:fill="auto"/>
            <w:noWrap/>
            <w:vAlign w:val="bottom"/>
          </w:tcPr>
          <w:p w14:paraId="2FB96818" w14:textId="77777777" w:rsidR="004B1A77" w:rsidRPr="008718E6" w:rsidRDefault="004B1A77" w:rsidP="00795948">
            <w:pPr>
              <w:spacing w:after="34"/>
              <w:ind w:right="-15"/>
              <w:jc w:val="center"/>
              <w:rPr>
                <w:rFonts w:ascii="Times New Roman" w:hAnsi="Times New Roman"/>
                <w:color w:val="000000"/>
                <w:sz w:val="22"/>
                <w:szCs w:val="22"/>
              </w:rPr>
            </w:pPr>
            <w:r>
              <w:rPr>
                <w:rFonts w:ascii="Times New Roman" w:hAnsi="Times New Roman"/>
                <w:color w:val="000000"/>
                <w:sz w:val="22"/>
                <w:szCs w:val="22"/>
              </w:rPr>
              <w:t>1,5</w:t>
            </w:r>
          </w:p>
        </w:tc>
      </w:tr>
      <w:tr w:rsidR="004B1A77" w:rsidRPr="008718E6" w14:paraId="6DB16EE2" w14:textId="77777777" w:rsidTr="00D8732A">
        <w:trPr>
          <w:trHeight w:val="223"/>
          <w:tblCellSpacing w:w="0" w:type="dxa"/>
        </w:trPr>
        <w:tc>
          <w:tcPr>
            <w:tcW w:w="2522" w:type="pct"/>
            <w:tcBorders>
              <w:top w:val="single" w:sz="4" w:space="0" w:color="auto"/>
            </w:tcBorders>
            <w:shd w:val="clear" w:color="auto" w:fill="auto"/>
            <w:tcMar>
              <w:top w:w="0" w:type="dxa"/>
              <w:left w:w="51" w:type="dxa"/>
              <w:bottom w:w="0" w:type="dxa"/>
              <w:right w:w="51" w:type="dxa"/>
            </w:tcMar>
            <w:vAlign w:val="bottom"/>
          </w:tcPr>
          <w:p w14:paraId="52FAD647"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i/>
                <w:iCs/>
                <w:color w:val="000000"/>
                <w:sz w:val="22"/>
                <w:szCs w:val="22"/>
              </w:rPr>
              <w:t>Finanstjenester:</w:t>
            </w:r>
            <w:r w:rsidRPr="00E27050">
              <w:rPr>
                <w:rFonts w:ascii="Times New Roman" w:hAnsi="Times New Roman"/>
                <w:color w:val="000000"/>
                <w:sz w:val="22"/>
                <w:szCs w:val="22"/>
              </w:rPr>
              <w:t xml:space="preserve"> </w:t>
            </w:r>
          </w:p>
        </w:tc>
        <w:tc>
          <w:tcPr>
            <w:tcW w:w="342" w:type="pct"/>
            <w:tcBorders>
              <w:top w:val="single" w:sz="4" w:space="0" w:color="auto"/>
            </w:tcBorders>
            <w:shd w:val="clear" w:color="auto" w:fill="auto"/>
            <w:tcMar>
              <w:top w:w="0" w:type="dxa"/>
              <w:left w:w="51" w:type="dxa"/>
              <w:bottom w:w="0" w:type="dxa"/>
              <w:right w:w="51" w:type="dxa"/>
            </w:tcMar>
          </w:tcPr>
          <w:p w14:paraId="7BFB363C"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tcMar>
              <w:top w:w="0" w:type="dxa"/>
              <w:left w:w="51" w:type="dxa"/>
              <w:bottom w:w="0" w:type="dxa"/>
              <w:right w:w="51" w:type="dxa"/>
            </w:tcMar>
          </w:tcPr>
          <w:p w14:paraId="6F5C90D5"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tcMar>
              <w:top w:w="0" w:type="dxa"/>
              <w:left w:w="51" w:type="dxa"/>
              <w:bottom w:w="0" w:type="dxa"/>
              <w:right w:w="51" w:type="dxa"/>
            </w:tcMar>
          </w:tcPr>
          <w:p w14:paraId="4D2D3117"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59C126FB"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62014D0A" w14:textId="77777777" w:rsidR="004B1A77" w:rsidRPr="008718E6" w:rsidRDefault="004B1A77" w:rsidP="00795948">
            <w:pPr>
              <w:spacing w:after="34"/>
              <w:jc w:val="center"/>
              <w:rPr>
                <w:rFonts w:ascii="Times New Roman" w:hAnsi="Times New Roman"/>
                <w:color w:val="000000"/>
                <w:sz w:val="22"/>
                <w:szCs w:val="22"/>
              </w:rPr>
            </w:pPr>
          </w:p>
        </w:tc>
        <w:tc>
          <w:tcPr>
            <w:tcW w:w="797" w:type="pct"/>
            <w:tcBorders>
              <w:top w:val="single" w:sz="4" w:space="0" w:color="auto"/>
            </w:tcBorders>
            <w:shd w:val="clear" w:color="auto" w:fill="auto"/>
            <w:vAlign w:val="bottom"/>
          </w:tcPr>
          <w:p w14:paraId="66F55B03" w14:textId="77777777" w:rsidR="004B1A77" w:rsidRPr="008718E6" w:rsidRDefault="004B1A77" w:rsidP="00795948">
            <w:pPr>
              <w:spacing w:after="34"/>
              <w:ind w:right="-15"/>
              <w:rPr>
                <w:rFonts w:ascii="Times New Roman" w:hAnsi="Times New Roman"/>
                <w:color w:val="000000"/>
                <w:sz w:val="22"/>
                <w:szCs w:val="22"/>
              </w:rPr>
            </w:pPr>
          </w:p>
        </w:tc>
      </w:tr>
      <w:tr w:rsidR="004B1A77" w:rsidRPr="008718E6" w14:paraId="66C8401B"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4AF7CA6A"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Årslønnsvekst</w:t>
            </w:r>
          </w:p>
        </w:tc>
        <w:tc>
          <w:tcPr>
            <w:tcW w:w="342" w:type="pct"/>
            <w:shd w:val="clear" w:color="auto" w:fill="auto"/>
            <w:noWrap/>
            <w:tcMar>
              <w:top w:w="0" w:type="dxa"/>
              <w:left w:w="51" w:type="dxa"/>
              <w:bottom w:w="0" w:type="dxa"/>
              <w:right w:w="51" w:type="dxa"/>
            </w:tcMar>
          </w:tcPr>
          <w:p w14:paraId="1F1D1728"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5,9 </w:t>
            </w:r>
          </w:p>
        </w:tc>
        <w:tc>
          <w:tcPr>
            <w:tcW w:w="342" w:type="pct"/>
            <w:shd w:val="clear" w:color="auto" w:fill="auto"/>
            <w:noWrap/>
            <w:tcMar>
              <w:top w:w="0" w:type="dxa"/>
              <w:left w:w="51" w:type="dxa"/>
              <w:bottom w:w="0" w:type="dxa"/>
              <w:right w:w="51" w:type="dxa"/>
            </w:tcMar>
          </w:tcPr>
          <w:p w14:paraId="3A0E1A6B"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4,9</w:t>
            </w:r>
          </w:p>
        </w:tc>
        <w:tc>
          <w:tcPr>
            <w:tcW w:w="342" w:type="pct"/>
            <w:shd w:val="clear" w:color="auto" w:fill="auto"/>
            <w:noWrap/>
            <w:tcMar>
              <w:top w:w="0" w:type="dxa"/>
              <w:left w:w="51" w:type="dxa"/>
              <w:bottom w:w="0" w:type="dxa"/>
              <w:right w:w="51" w:type="dxa"/>
            </w:tcMar>
          </w:tcPr>
          <w:p w14:paraId="4A18604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3,0</w:t>
            </w:r>
          </w:p>
        </w:tc>
        <w:tc>
          <w:tcPr>
            <w:tcW w:w="328" w:type="pct"/>
          </w:tcPr>
          <w:p w14:paraId="243147E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6,7</w:t>
            </w:r>
          </w:p>
        </w:tc>
        <w:tc>
          <w:tcPr>
            <w:tcW w:w="328" w:type="pct"/>
          </w:tcPr>
          <w:p w14:paraId="119F20F0"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2,9</w:t>
            </w:r>
          </w:p>
        </w:tc>
        <w:tc>
          <w:tcPr>
            <w:tcW w:w="797" w:type="pct"/>
            <w:shd w:val="clear" w:color="auto" w:fill="auto"/>
            <w:vAlign w:val="bottom"/>
          </w:tcPr>
          <w:p w14:paraId="20BF5262"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3C17FEA7"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2B504917"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Herav:</w:t>
            </w:r>
          </w:p>
        </w:tc>
        <w:tc>
          <w:tcPr>
            <w:tcW w:w="342" w:type="pct"/>
            <w:shd w:val="clear" w:color="auto" w:fill="auto"/>
            <w:tcMar>
              <w:top w:w="0" w:type="dxa"/>
              <w:left w:w="51" w:type="dxa"/>
              <w:bottom w:w="0" w:type="dxa"/>
              <w:right w:w="51" w:type="dxa"/>
            </w:tcMar>
          </w:tcPr>
          <w:p w14:paraId="4210C5CE"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1881507F"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33F9D7C0"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12D6C2C2"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53FA566E"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vAlign w:val="bottom"/>
          </w:tcPr>
          <w:p w14:paraId="45D29E84"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7D0F8A07"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7F911831"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Overheng</w:t>
            </w:r>
          </w:p>
        </w:tc>
        <w:tc>
          <w:tcPr>
            <w:tcW w:w="342" w:type="pct"/>
            <w:shd w:val="clear" w:color="auto" w:fill="auto"/>
            <w:noWrap/>
            <w:tcMar>
              <w:top w:w="0" w:type="dxa"/>
              <w:left w:w="51" w:type="dxa"/>
              <w:bottom w:w="0" w:type="dxa"/>
              <w:right w:w="51" w:type="dxa"/>
            </w:tcMar>
          </w:tcPr>
          <w:p w14:paraId="7C5A139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1,0</w:t>
            </w:r>
          </w:p>
        </w:tc>
        <w:tc>
          <w:tcPr>
            <w:tcW w:w="342" w:type="pct"/>
            <w:shd w:val="clear" w:color="auto" w:fill="auto"/>
            <w:noWrap/>
            <w:tcMar>
              <w:top w:w="0" w:type="dxa"/>
              <w:left w:w="51" w:type="dxa"/>
              <w:bottom w:w="0" w:type="dxa"/>
              <w:right w:w="51" w:type="dxa"/>
            </w:tcMar>
          </w:tcPr>
          <w:p w14:paraId="26AEC1E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1,2</w:t>
            </w:r>
          </w:p>
        </w:tc>
        <w:tc>
          <w:tcPr>
            <w:tcW w:w="342" w:type="pct"/>
            <w:shd w:val="clear" w:color="auto" w:fill="auto"/>
            <w:noWrap/>
            <w:tcMar>
              <w:top w:w="0" w:type="dxa"/>
              <w:left w:w="51" w:type="dxa"/>
              <w:bottom w:w="0" w:type="dxa"/>
              <w:right w:w="51" w:type="dxa"/>
            </w:tcMar>
          </w:tcPr>
          <w:p w14:paraId="1951955C"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1,3</w:t>
            </w:r>
          </w:p>
        </w:tc>
        <w:tc>
          <w:tcPr>
            <w:tcW w:w="328" w:type="pct"/>
          </w:tcPr>
          <w:p w14:paraId="69DBA71D"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1,4</w:t>
            </w:r>
          </w:p>
        </w:tc>
        <w:tc>
          <w:tcPr>
            <w:tcW w:w="328" w:type="pct"/>
          </w:tcPr>
          <w:p w14:paraId="2AA6E252"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1,0</w:t>
            </w:r>
          </w:p>
        </w:tc>
        <w:tc>
          <w:tcPr>
            <w:tcW w:w="797" w:type="pct"/>
            <w:shd w:val="clear" w:color="auto" w:fill="auto"/>
            <w:vAlign w:val="bottom"/>
          </w:tcPr>
          <w:p w14:paraId="5F453502"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619CAA13"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82F3BDB"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Tarifftillegg</w:t>
            </w:r>
          </w:p>
        </w:tc>
        <w:tc>
          <w:tcPr>
            <w:tcW w:w="342" w:type="pct"/>
            <w:shd w:val="clear" w:color="auto" w:fill="auto"/>
            <w:noWrap/>
            <w:tcMar>
              <w:top w:w="0" w:type="dxa"/>
              <w:left w:w="51" w:type="dxa"/>
              <w:bottom w:w="0" w:type="dxa"/>
              <w:right w:w="51" w:type="dxa"/>
            </w:tcMar>
          </w:tcPr>
          <w:p w14:paraId="27183094"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1,0</w:t>
            </w:r>
          </w:p>
        </w:tc>
        <w:tc>
          <w:tcPr>
            <w:tcW w:w="342" w:type="pct"/>
            <w:shd w:val="clear" w:color="auto" w:fill="auto"/>
            <w:noWrap/>
            <w:tcMar>
              <w:top w:w="0" w:type="dxa"/>
              <w:left w:w="51" w:type="dxa"/>
              <w:bottom w:w="0" w:type="dxa"/>
              <w:right w:w="51" w:type="dxa"/>
            </w:tcMar>
          </w:tcPr>
          <w:p w14:paraId="660C6672"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1,0</w:t>
            </w:r>
          </w:p>
        </w:tc>
        <w:tc>
          <w:tcPr>
            <w:tcW w:w="342" w:type="pct"/>
            <w:shd w:val="clear" w:color="auto" w:fill="auto"/>
            <w:noWrap/>
            <w:tcMar>
              <w:top w:w="0" w:type="dxa"/>
              <w:left w:w="51" w:type="dxa"/>
              <w:bottom w:w="0" w:type="dxa"/>
              <w:right w:w="51" w:type="dxa"/>
            </w:tcMar>
          </w:tcPr>
          <w:p w14:paraId="04C3049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1,2</w:t>
            </w:r>
          </w:p>
        </w:tc>
        <w:tc>
          <w:tcPr>
            <w:tcW w:w="328" w:type="pct"/>
          </w:tcPr>
          <w:p w14:paraId="48942B9C"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0,4</w:t>
            </w:r>
          </w:p>
        </w:tc>
        <w:tc>
          <w:tcPr>
            <w:tcW w:w="328" w:type="pct"/>
          </w:tcPr>
          <w:p w14:paraId="7759EB31"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1,0</w:t>
            </w:r>
          </w:p>
        </w:tc>
        <w:tc>
          <w:tcPr>
            <w:tcW w:w="797" w:type="pct"/>
            <w:shd w:val="clear" w:color="auto" w:fill="auto"/>
            <w:vAlign w:val="bottom"/>
          </w:tcPr>
          <w:p w14:paraId="4FA0A9BD"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38CCB39D"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23582C1"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Lønnsglidning</w:t>
            </w:r>
          </w:p>
        </w:tc>
        <w:tc>
          <w:tcPr>
            <w:tcW w:w="342" w:type="pct"/>
            <w:shd w:val="clear" w:color="auto" w:fill="auto"/>
            <w:noWrap/>
            <w:tcMar>
              <w:top w:w="0" w:type="dxa"/>
              <w:left w:w="51" w:type="dxa"/>
              <w:bottom w:w="0" w:type="dxa"/>
              <w:right w:w="51" w:type="dxa"/>
            </w:tcMar>
          </w:tcPr>
          <w:p w14:paraId="69E5F682"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3,9</w:t>
            </w:r>
          </w:p>
        </w:tc>
        <w:tc>
          <w:tcPr>
            <w:tcW w:w="342" w:type="pct"/>
            <w:shd w:val="clear" w:color="auto" w:fill="auto"/>
            <w:noWrap/>
            <w:tcMar>
              <w:top w:w="0" w:type="dxa"/>
              <w:left w:w="51" w:type="dxa"/>
              <w:bottom w:w="0" w:type="dxa"/>
              <w:right w:w="51" w:type="dxa"/>
            </w:tcMar>
          </w:tcPr>
          <w:p w14:paraId="362ED59C"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2,7</w:t>
            </w:r>
          </w:p>
        </w:tc>
        <w:tc>
          <w:tcPr>
            <w:tcW w:w="342" w:type="pct"/>
            <w:shd w:val="clear" w:color="auto" w:fill="auto"/>
            <w:noWrap/>
            <w:tcMar>
              <w:top w:w="0" w:type="dxa"/>
              <w:left w:w="51" w:type="dxa"/>
              <w:bottom w:w="0" w:type="dxa"/>
              <w:right w:w="51" w:type="dxa"/>
            </w:tcMar>
          </w:tcPr>
          <w:p w14:paraId="3DC5893B"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0,5</w:t>
            </w:r>
          </w:p>
        </w:tc>
        <w:tc>
          <w:tcPr>
            <w:tcW w:w="328" w:type="pct"/>
          </w:tcPr>
          <w:p w14:paraId="5E2E61D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4,9</w:t>
            </w:r>
          </w:p>
        </w:tc>
        <w:tc>
          <w:tcPr>
            <w:tcW w:w="328" w:type="pct"/>
          </w:tcPr>
          <w:p w14:paraId="346B7069"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0,9</w:t>
            </w:r>
          </w:p>
        </w:tc>
        <w:tc>
          <w:tcPr>
            <w:tcW w:w="797" w:type="pct"/>
            <w:shd w:val="clear" w:color="auto" w:fill="auto"/>
            <w:noWrap/>
            <w:vAlign w:val="bottom"/>
          </w:tcPr>
          <w:p w14:paraId="18C42BB0" w14:textId="77777777" w:rsidR="004B1A77" w:rsidRPr="008718E6" w:rsidRDefault="004B1A77" w:rsidP="00795948">
            <w:pPr>
              <w:spacing w:after="34"/>
              <w:ind w:right="-15"/>
              <w:jc w:val="center"/>
              <w:rPr>
                <w:rFonts w:ascii="Times New Roman" w:hAnsi="Times New Roman"/>
                <w:color w:val="000000"/>
                <w:sz w:val="22"/>
                <w:szCs w:val="22"/>
              </w:rPr>
            </w:pPr>
            <w:r>
              <w:rPr>
                <w:rFonts w:ascii="Times New Roman" w:hAnsi="Times New Roman"/>
                <w:color w:val="000000"/>
                <w:sz w:val="22"/>
                <w:szCs w:val="22"/>
              </w:rPr>
              <w:t>2,6</w:t>
            </w:r>
          </w:p>
        </w:tc>
      </w:tr>
      <w:tr w:rsidR="004B1A77" w:rsidRPr="008718E6" w14:paraId="3FFBA5BA" w14:textId="77777777" w:rsidTr="00D8732A">
        <w:trPr>
          <w:tblCellSpacing w:w="0" w:type="dxa"/>
        </w:trPr>
        <w:tc>
          <w:tcPr>
            <w:tcW w:w="2522" w:type="pct"/>
            <w:tcBorders>
              <w:top w:val="single" w:sz="4" w:space="0" w:color="auto"/>
            </w:tcBorders>
            <w:shd w:val="clear" w:color="auto" w:fill="auto"/>
            <w:tcMar>
              <w:top w:w="0" w:type="dxa"/>
              <w:left w:w="51" w:type="dxa"/>
              <w:bottom w:w="0" w:type="dxa"/>
              <w:right w:w="51" w:type="dxa"/>
            </w:tcMar>
            <w:vAlign w:val="bottom"/>
          </w:tcPr>
          <w:p w14:paraId="20135C1D"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i/>
                <w:iCs/>
                <w:color w:val="000000"/>
                <w:sz w:val="22"/>
                <w:szCs w:val="22"/>
              </w:rPr>
              <w:t>Statsansatte:</w:t>
            </w:r>
            <w:r w:rsidRPr="00E27050">
              <w:rPr>
                <w:rFonts w:ascii="Times New Roman" w:hAnsi="Times New Roman"/>
                <w:color w:val="000000"/>
                <w:sz w:val="22"/>
                <w:szCs w:val="22"/>
              </w:rPr>
              <w:t xml:space="preserve"> </w:t>
            </w:r>
          </w:p>
        </w:tc>
        <w:tc>
          <w:tcPr>
            <w:tcW w:w="342" w:type="pct"/>
            <w:tcBorders>
              <w:top w:val="single" w:sz="4" w:space="0" w:color="auto"/>
            </w:tcBorders>
            <w:shd w:val="clear" w:color="auto" w:fill="auto"/>
            <w:tcMar>
              <w:top w:w="0" w:type="dxa"/>
              <w:left w:w="51" w:type="dxa"/>
              <w:bottom w:w="0" w:type="dxa"/>
              <w:right w:w="51" w:type="dxa"/>
            </w:tcMar>
          </w:tcPr>
          <w:p w14:paraId="21C1825A"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tcMar>
              <w:top w:w="0" w:type="dxa"/>
              <w:left w:w="51" w:type="dxa"/>
              <w:bottom w:w="0" w:type="dxa"/>
              <w:right w:w="51" w:type="dxa"/>
            </w:tcMar>
          </w:tcPr>
          <w:p w14:paraId="17B28AEB"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tcMar>
              <w:top w:w="0" w:type="dxa"/>
              <w:left w:w="51" w:type="dxa"/>
              <w:bottom w:w="0" w:type="dxa"/>
              <w:right w:w="51" w:type="dxa"/>
            </w:tcMar>
          </w:tcPr>
          <w:p w14:paraId="37881324"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7A5327A3"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63249711" w14:textId="77777777" w:rsidR="004B1A77" w:rsidRPr="008718E6" w:rsidRDefault="004B1A77" w:rsidP="00795948">
            <w:pPr>
              <w:spacing w:after="34"/>
              <w:jc w:val="center"/>
              <w:rPr>
                <w:rFonts w:ascii="Times New Roman" w:hAnsi="Times New Roman"/>
                <w:color w:val="000000"/>
                <w:sz w:val="22"/>
                <w:szCs w:val="22"/>
              </w:rPr>
            </w:pPr>
          </w:p>
        </w:tc>
        <w:tc>
          <w:tcPr>
            <w:tcW w:w="797" w:type="pct"/>
            <w:tcBorders>
              <w:top w:val="single" w:sz="4" w:space="0" w:color="auto"/>
            </w:tcBorders>
            <w:shd w:val="clear" w:color="auto" w:fill="auto"/>
            <w:vAlign w:val="bottom"/>
          </w:tcPr>
          <w:p w14:paraId="0DC454F3"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221AEA17"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341193EF"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Årslønnsvekst</w:t>
            </w:r>
          </w:p>
        </w:tc>
        <w:tc>
          <w:tcPr>
            <w:tcW w:w="342" w:type="pct"/>
            <w:shd w:val="clear" w:color="auto" w:fill="auto"/>
            <w:noWrap/>
            <w:tcMar>
              <w:top w:w="0" w:type="dxa"/>
              <w:left w:w="51" w:type="dxa"/>
              <w:bottom w:w="0" w:type="dxa"/>
              <w:right w:w="51" w:type="dxa"/>
            </w:tcMar>
          </w:tcPr>
          <w:p w14:paraId="2164F69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4,5 </w:t>
            </w:r>
          </w:p>
        </w:tc>
        <w:tc>
          <w:tcPr>
            <w:tcW w:w="342" w:type="pct"/>
            <w:shd w:val="clear" w:color="auto" w:fill="auto"/>
            <w:noWrap/>
            <w:tcMar>
              <w:top w:w="0" w:type="dxa"/>
              <w:left w:w="51" w:type="dxa"/>
              <w:bottom w:w="0" w:type="dxa"/>
              <w:right w:w="51" w:type="dxa"/>
            </w:tcMar>
          </w:tcPr>
          <w:p w14:paraId="3955C71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4,2</w:t>
            </w:r>
          </w:p>
        </w:tc>
        <w:tc>
          <w:tcPr>
            <w:tcW w:w="342" w:type="pct"/>
            <w:shd w:val="clear" w:color="auto" w:fill="auto"/>
            <w:noWrap/>
            <w:tcMar>
              <w:top w:w="0" w:type="dxa"/>
              <w:left w:w="51" w:type="dxa"/>
              <w:bottom w:w="0" w:type="dxa"/>
              <w:right w:w="51" w:type="dxa"/>
            </w:tcMar>
          </w:tcPr>
          <w:p w14:paraId="2AC49AD3"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4,1</w:t>
            </w:r>
          </w:p>
        </w:tc>
        <w:tc>
          <w:tcPr>
            <w:tcW w:w="328" w:type="pct"/>
          </w:tcPr>
          <w:p w14:paraId="53744AB9"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3,5</w:t>
            </w:r>
          </w:p>
        </w:tc>
        <w:tc>
          <w:tcPr>
            <w:tcW w:w="328" w:type="pct"/>
          </w:tcPr>
          <w:p w14:paraId="2F636C48" w14:textId="77777777" w:rsidR="004B1A77" w:rsidRPr="008718E6" w:rsidRDefault="004B1A77" w:rsidP="004E1C1A">
            <w:pPr>
              <w:spacing w:after="34"/>
              <w:jc w:val="center"/>
              <w:rPr>
                <w:rFonts w:ascii="Times New Roman" w:hAnsi="Times New Roman"/>
                <w:color w:val="000000"/>
                <w:sz w:val="22"/>
                <w:szCs w:val="22"/>
              </w:rPr>
            </w:pPr>
            <w:r>
              <w:rPr>
                <w:rFonts w:ascii="Times New Roman" w:hAnsi="Times New Roman"/>
                <w:color w:val="000000"/>
                <w:sz w:val="22"/>
                <w:szCs w:val="22"/>
              </w:rPr>
              <w:t>3</w:t>
            </w:r>
            <w:r w:rsidR="004E1C1A">
              <w:rPr>
                <w:rFonts w:ascii="Times New Roman" w:hAnsi="Times New Roman"/>
                <w:color w:val="000000"/>
                <w:sz w:val="22"/>
                <w:szCs w:val="22"/>
              </w:rPr>
              <w:t>,4</w:t>
            </w:r>
            <w:r>
              <w:rPr>
                <w:rFonts w:ascii="Times New Roman" w:hAnsi="Times New Roman"/>
                <w:color w:val="000000"/>
                <w:sz w:val="22"/>
                <w:szCs w:val="22"/>
              </w:rPr>
              <w:t xml:space="preserve"> </w:t>
            </w:r>
          </w:p>
        </w:tc>
        <w:tc>
          <w:tcPr>
            <w:tcW w:w="797" w:type="pct"/>
            <w:shd w:val="clear" w:color="auto" w:fill="auto"/>
            <w:vAlign w:val="bottom"/>
          </w:tcPr>
          <w:p w14:paraId="143DCE2A"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6DFD88DA"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7D933D1B"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Herav:</w:t>
            </w:r>
          </w:p>
        </w:tc>
        <w:tc>
          <w:tcPr>
            <w:tcW w:w="342" w:type="pct"/>
            <w:shd w:val="clear" w:color="auto" w:fill="auto"/>
            <w:tcMar>
              <w:top w:w="0" w:type="dxa"/>
              <w:left w:w="51" w:type="dxa"/>
              <w:bottom w:w="0" w:type="dxa"/>
              <w:right w:w="51" w:type="dxa"/>
            </w:tcMar>
          </w:tcPr>
          <w:p w14:paraId="149C4353"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49CF8D36"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3A692417"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6E9A472A"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2FA91B08"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vAlign w:val="bottom"/>
          </w:tcPr>
          <w:p w14:paraId="057ED6A7"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6BB358A2"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3277F846"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Overheng</w:t>
            </w:r>
          </w:p>
        </w:tc>
        <w:tc>
          <w:tcPr>
            <w:tcW w:w="342" w:type="pct"/>
            <w:shd w:val="clear" w:color="auto" w:fill="auto"/>
            <w:noWrap/>
            <w:tcMar>
              <w:top w:w="0" w:type="dxa"/>
              <w:left w:w="51" w:type="dxa"/>
              <w:bottom w:w="0" w:type="dxa"/>
              <w:right w:w="51" w:type="dxa"/>
            </w:tcMar>
          </w:tcPr>
          <w:p w14:paraId="3F7C709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0,9</w:t>
            </w:r>
            <w:r>
              <w:rPr>
                <w:rFonts w:ascii="Times New Roman" w:hAnsi="Times New Roman"/>
                <w:color w:val="000000"/>
                <w:sz w:val="22"/>
                <w:szCs w:val="22"/>
                <w:vertAlign w:val="superscript"/>
              </w:rPr>
              <w:t>3</w:t>
            </w:r>
          </w:p>
        </w:tc>
        <w:tc>
          <w:tcPr>
            <w:tcW w:w="342" w:type="pct"/>
            <w:shd w:val="clear" w:color="auto" w:fill="auto"/>
            <w:noWrap/>
            <w:tcMar>
              <w:top w:w="0" w:type="dxa"/>
              <w:left w:w="51" w:type="dxa"/>
              <w:bottom w:w="0" w:type="dxa"/>
              <w:right w:w="51" w:type="dxa"/>
            </w:tcMar>
          </w:tcPr>
          <w:p w14:paraId="23F9396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2,3</w:t>
            </w:r>
          </w:p>
        </w:tc>
        <w:tc>
          <w:tcPr>
            <w:tcW w:w="342" w:type="pct"/>
            <w:shd w:val="clear" w:color="auto" w:fill="auto"/>
            <w:noWrap/>
            <w:tcMar>
              <w:top w:w="0" w:type="dxa"/>
              <w:left w:w="51" w:type="dxa"/>
              <w:bottom w:w="0" w:type="dxa"/>
              <w:right w:w="51" w:type="dxa"/>
            </w:tcMar>
          </w:tcPr>
          <w:p w14:paraId="2B1C4D1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1,1</w:t>
            </w:r>
          </w:p>
        </w:tc>
        <w:tc>
          <w:tcPr>
            <w:tcW w:w="328" w:type="pct"/>
          </w:tcPr>
          <w:p w14:paraId="77C5F398"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2,2</w:t>
            </w:r>
          </w:p>
        </w:tc>
        <w:tc>
          <w:tcPr>
            <w:tcW w:w="328" w:type="pct"/>
          </w:tcPr>
          <w:p w14:paraId="001F0DAD"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0,8</w:t>
            </w:r>
          </w:p>
        </w:tc>
        <w:tc>
          <w:tcPr>
            <w:tcW w:w="797" w:type="pct"/>
            <w:shd w:val="clear" w:color="auto" w:fill="auto"/>
            <w:vAlign w:val="bottom"/>
          </w:tcPr>
          <w:p w14:paraId="425C5846"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0AE45CE3"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A5C39F5"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Tarifftillegg</w:t>
            </w:r>
          </w:p>
        </w:tc>
        <w:tc>
          <w:tcPr>
            <w:tcW w:w="342" w:type="pct"/>
            <w:shd w:val="clear" w:color="auto" w:fill="auto"/>
            <w:noWrap/>
            <w:tcMar>
              <w:top w:w="0" w:type="dxa"/>
              <w:left w:w="51" w:type="dxa"/>
              <w:bottom w:w="0" w:type="dxa"/>
              <w:right w:w="51" w:type="dxa"/>
            </w:tcMar>
          </w:tcPr>
          <w:p w14:paraId="1F2856A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2,3</w:t>
            </w:r>
          </w:p>
        </w:tc>
        <w:tc>
          <w:tcPr>
            <w:tcW w:w="342" w:type="pct"/>
            <w:shd w:val="clear" w:color="auto" w:fill="auto"/>
            <w:noWrap/>
            <w:tcMar>
              <w:top w:w="0" w:type="dxa"/>
              <w:left w:w="51" w:type="dxa"/>
              <w:bottom w:w="0" w:type="dxa"/>
              <w:right w:w="51" w:type="dxa"/>
            </w:tcMar>
          </w:tcPr>
          <w:p w14:paraId="6990242B"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1,2</w:t>
            </w:r>
          </w:p>
        </w:tc>
        <w:tc>
          <w:tcPr>
            <w:tcW w:w="342" w:type="pct"/>
            <w:shd w:val="clear" w:color="auto" w:fill="auto"/>
            <w:noWrap/>
            <w:tcMar>
              <w:top w:w="0" w:type="dxa"/>
              <w:left w:w="51" w:type="dxa"/>
              <w:bottom w:w="0" w:type="dxa"/>
              <w:right w:w="51" w:type="dxa"/>
            </w:tcMar>
          </w:tcPr>
          <w:p w14:paraId="59C882F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2,4</w:t>
            </w:r>
          </w:p>
        </w:tc>
        <w:tc>
          <w:tcPr>
            <w:tcW w:w="328" w:type="pct"/>
          </w:tcPr>
          <w:p w14:paraId="7C55863C"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0,7</w:t>
            </w:r>
          </w:p>
        </w:tc>
        <w:tc>
          <w:tcPr>
            <w:tcW w:w="328" w:type="pct"/>
          </w:tcPr>
          <w:p w14:paraId="780BAEB2"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2,0</w:t>
            </w:r>
          </w:p>
        </w:tc>
        <w:tc>
          <w:tcPr>
            <w:tcW w:w="797" w:type="pct"/>
            <w:shd w:val="clear" w:color="auto" w:fill="auto"/>
            <w:vAlign w:val="bottom"/>
          </w:tcPr>
          <w:p w14:paraId="7339C917"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68FE5711"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75CC28BC"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lastRenderedPageBreak/>
              <w:t>- Ny arbeidstidsavtale for politi- og lensmannsetaten</w:t>
            </w:r>
          </w:p>
        </w:tc>
        <w:tc>
          <w:tcPr>
            <w:tcW w:w="342" w:type="pct"/>
            <w:shd w:val="clear" w:color="auto" w:fill="auto"/>
            <w:noWrap/>
            <w:tcMar>
              <w:top w:w="0" w:type="dxa"/>
              <w:left w:w="51" w:type="dxa"/>
              <w:bottom w:w="0" w:type="dxa"/>
              <w:right w:w="51" w:type="dxa"/>
            </w:tcMar>
          </w:tcPr>
          <w:p w14:paraId="34439DF2"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0,6</w:t>
            </w:r>
          </w:p>
        </w:tc>
        <w:tc>
          <w:tcPr>
            <w:tcW w:w="342" w:type="pct"/>
            <w:shd w:val="clear" w:color="auto" w:fill="auto"/>
            <w:noWrap/>
            <w:tcMar>
              <w:top w:w="0" w:type="dxa"/>
              <w:left w:w="51" w:type="dxa"/>
              <w:bottom w:w="0" w:type="dxa"/>
              <w:right w:w="51" w:type="dxa"/>
            </w:tcMar>
          </w:tcPr>
          <w:p w14:paraId="210F2B40"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noWrap/>
            <w:tcMar>
              <w:top w:w="0" w:type="dxa"/>
              <w:left w:w="51" w:type="dxa"/>
              <w:bottom w:w="0" w:type="dxa"/>
              <w:right w:w="51" w:type="dxa"/>
            </w:tcMar>
          </w:tcPr>
          <w:p w14:paraId="5DFB0406"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01D648DA"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14B5918A"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vAlign w:val="bottom"/>
          </w:tcPr>
          <w:p w14:paraId="149D1369"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782B500D"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005F22A9"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Lønnsglidning</w:t>
            </w:r>
          </w:p>
        </w:tc>
        <w:tc>
          <w:tcPr>
            <w:tcW w:w="342" w:type="pct"/>
            <w:shd w:val="clear" w:color="auto" w:fill="auto"/>
            <w:noWrap/>
            <w:tcMar>
              <w:top w:w="0" w:type="dxa"/>
              <w:left w:w="51" w:type="dxa"/>
              <w:bottom w:w="0" w:type="dxa"/>
              <w:right w:w="51" w:type="dxa"/>
            </w:tcMar>
          </w:tcPr>
          <w:p w14:paraId="5CC16E0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0,7</w:t>
            </w:r>
          </w:p>
        </w:tc>
        <w:tc>
          <w:tcPr>
            <w:tcW w:w="342" w:type="pct"/>
            <w:shd w:val="clear" w:color="auto" w:fill="auto"/>
            <w:noWrap/>
            <w:tcMar>
              <w:top w:w="0" w:type="dxa"/>
              <w:left w:w="51" w:type="dxa"/>
              <w:bottom w:w="0" w:type="dxa"/>
              <w:right w:w="51" w:type="dxa"/>
            </w:tcMar>
          </w:tcPr>
          <w:p w14:paraId="03A805ED"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0,7 </w:t>
            </w:r>
          </w:p>
        </w:tc>
        <w:tc>
          <w:tcPr>
            <w:tcW w:w="342" w:type="pct"/>
            <w:shd w:val="clear" w:color="auto" w:fill="auto"/>
            <w:noWrap/>
            <w:tcMar>
              <w:top w:w="0" w:type="dxa"/>
              <w:left w:w="51" w:type="dxa"/>
              <w:bottom w:w="0" w:type="dxa"/>
              <w:right w:w="51" w:type="dxa"/>
            </w:tcMar>
          </w:tcPr>
          <w:p w14:paraId="5FF81A1B"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0,6</w:t>
            </w:r>
          </w:p>
        </w:tc>
        <w:tc>
          <w:tcPr>
            <w:tcW w:w="328" w:type="pct"/>
          </w:tcPr>
          <w:p w14:paraId="4C0E62D0"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0,6</w:t>
            </w:r>
          </w:p>
        </w:tc>
        <w:tc>
          <w:tcPr>
            <w:tcW w:w="328" w:type="pct"/>
          </w:tcPr>
          <w:p w14:paraId="5EF199B5" w14:textId="77777777" w:rsidR="004B1A77" w:rsidRPr="008718E6" w:rsidRDefault="004E1C1A" w:rsidP="003A64B4">
            <w:pPr>
              <w:spacing w:after="34"/>
              <w:jc w:val="center"/>
              <w:rPr>
                <w:rFonts w:ascii="Times New Roman" w:hAnsi="Times New Roman"/>
                <w:color w:val="000000"/>
                <w:sz w:val="22"/>
                <w:szCs w:val="22"/>
              </w:rPr>
            </w:pPr>
            <w:r>
              <w:rPr>
                <w:rFonts w:ascii="Times New Roman" w:hAnsi="Times New Roman"/>
                <w:color w:val="000000"/>
                <w:sz w:val="22"/>
                <w:szCs w:val="22"/>
              </w:rPr>
              <w:t>0,</w:t>
            </w:r>
            <w:r w:rsidR="003A64B4">
              <w:rPr>
                <w:rFonts w:ascii="Times New Roman" w:hAnsi="Times New Roman"/>
                <w:color w:val="000000"/>
                <w:sz w:val="22"/>
                <w:szCs w:val="22"/>
              </w:rPr>
              <w:t>5</w:t>
            </w:r>
            <w:r>
              <w:rPr>
                <w:rFonts w:ascii="Times New Roman" w:hAnsi="Times New Roman"/>
                <w:color w:val="000000"/>
                <w:sz w:val="22"/>
                <w:szCs w:val="22"/>
              </w:rPr>
              <w:t xml:space="preserve"> </w:t>
            </w:r>
          </w:p>
        </w:tc>
        <w:tc>
          <w:tcPr>
            <w:tcW w:w="797" w:type="pct"/>
            <w:shd w:val="clear" w:color="auto" w:fill="auto"/>
            <w:noWrap/>
            <w:vAlign w:val="bottom"/>
          </w:tcPr>
          <w:p w14:paraId="75A28DEA" w14:textId="77777777" w:rsidR="004B1A77" w:rsidRPr="008718E6" w:rsidRDefault="004B1A77" w:rsidP="00795948">
            <w:pPr>
              <w:spacing w:after="34"/>
              <w:ind w:right="-15"/>
              <w:jc w:val="center"/>
              <w:rPr>
                <w:rFonts w:ascii="Times New Roman" w:hAnsi="Times New Roman"/>
                <w:color w:val="000000"/>
                <w:sz w:val="22"/>
                <w:szCs w:val="22"/>
              </w:rPr>
            </w:pPr>
            <w:r>
              <w:rPr>
                <w:rFonts w:ascii="Times New Roman" w:hAnsi="Times New Roman"/>
                <w:color w:val="000000"/>
                <w:sz w:val="22"/>
                <w:szCs w:val="22"/>
              </w:rPr>
              <w:t>0,6</w:t>
            </w:r>
          </w:p>
        </w:tc>
      </w:tr>
      <w:tr w:rsidR="004B1A77" w:rsidRPr="008718E6" w14:paraId="111A71B2" w14:textId="77777777" w:rsidTr="00D8732A">
        <w:trPr>
          <w:tblCellSpacing w:w="0" w:type="dxa"/>
        </w:trPr>
        <w:tc>
          <w:tcPr>
            <w:tcW w:w="2522" w:type="pct"/>
            <w:tcBorders>
              <w:top w:val="single" w:sz="4" w:space="0" w:color="auto"/>
            </w:tcBorders>
            <w:shd w:val="clear" w:color="auto" w:fill="auto"/>
            <w:tcMar>
              <w:top w:w="0" w:type="dxa"/>
              <w:left w:w="51" w:type="dxa"/>
              <w:bottom w:w="0" w:type="dxa"/>
              <w:right w:w="51" w:type="dxa"/>
            </w:tcMar>
            <w:vAlign w:val="bottom"/>
          </w:tcPr>
          <w:p w14:paraId="30AB0147"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i/>
                <w:iCs/>
                <w:color w:val="000000"/>
                <w:sz w:val="22"/>
                <w:szCs w:val="22"/>
              </w:rPr>
              <w:t>Kommuneansatt</w:t>
            </w:r>
            <w:r>
              <w:rPr>
                <w:rFonts w:ascii="Times New Roman" w:hAnsi="Times New Roman"/>
                <w:i/>
                <w:iCs/>
                <w:color w:val="000000"/>
                <w:sz w:val="22"/>
                <w:szCs w:val="22"/>
              </w:rPr>
              <w:t>e</w:t>
            </w:r>
            <w:r>
              <w:rPr>
                <w:rFonts w:ascii="Times New Roman" w:hAnsi="Times New Roman"/>
                <w:i/>
                <w:iCs/>
                <w:color w:val="000000"/>
                <w:sz w:val="22"/>
                <w:szCs w:val="22"/>
                <w:vertAlign w:val="superscript"/>
              </w:rPr>
              <w:t>2</w:t>
            </w:r>
            <w:r w:rsidRPr="00E92F9A">
              <w:rPr>
                <w:rFonts w:ascii="Times New Roman" w:hAnsi="Times New Roman"/>
                <w:i/>
                <w:iCs/>
                <w:color w:val="000000"/>
                <w:sz w:val="22"/>
                <w:szCs w:val="22"/>
              </w:rPr>
              <w:t>:</w:t>
            </w:r>
          </w:p>
        </w:tc>
        <w:tc>
          <w:tcPr>
            <w:tcW w:w="342" w:type="pct"/>
            <w:tcBorders>
              <w:top w:val="single" w:sz="4" w:space="0" w:color="auto"/>
            </w:tcBorders>
            <w:shd w:val="clear" w:color="auto" w:fill="auto"/>
            <w:tcMar>
              <w:top w:w="0" w:type="dxa"/>
              <w:left w:w="51" w:type="dxa"/>
              <w:bottom w:w="0" w:type="dxa"/>
              <w:right w:w="51" w:type="dxa"/>
            </w:tcMar>
          </w:tcPr>
          <w:p w14:paraId="2B5CD2B1"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tcMar>
              <w:top w:w="0" w:type="dxa"/>
              <w:left w:w="51" w:type="dxa"/>
              <w:bottom w:w="0" w:type="dxa"/>
              <w:right w:w="51" w:type="dxa"/>
            </w:tcMar>
          </w:tcPr>
          <w:p w14:paraId="230B983C"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tcMar>
              <w:top w:w="0" w:type="dxa"/>
              <w:left w:w="51" w:type="dxa"/>
              <w:bottom w:w="0" w:type="dxa"/>
              <w:right w:w="51" w:type="dxa"/>
            </w:tcMar>
          </w:tcPr>
          <w:p w14:paraId="0EDBF7AA"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27B8DB46"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79C0CDD7" w14:textId="77777777" w:rsidR="004B1A77" w:rsidRPr="008718E6" w:rsidRDefault="004B1A77" w:rsidP="00795948">
            <w:pPr>
              <w:spacing w:after="34"/>
              <w:jc w:val="center"/>
              <w:rPr>
                <w:rFonts w:ascii="Times New Roman" w:hAnsi="Times New Roman"/>
                <w:color w:val="000000"/>
                <w:sz w:val="22"/>
                <w:szCs w:val="22"/>
              </w:rPr>
            </w:pPr>
          </w:p>
        </w:tc>
        <w:tc>
          <w:tcPr>
            <w:tcW w:w="797" w:type="pct"/>
            <w:tcBorders>
              <w:top w:val="single" w:sz="4" w:space="0" w:color="auto"/>
            </w:tcBorders>
            <w:shd w:val="clear" w:color="auto" w:fill="auto"/>
            <w:vAlign w:val="bottom"/>
          </w:tcPr>
          <w:p w14:paraId="74A5A0E5"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116D6D71"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3E8880EC"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Årslønnsvekst</w:t>
            </w:r>
          </w:p>
        </w:tc>
        <w:tc>
          <w:tcPr>
            <w:tcW w:w="342" w:type="pct"/>
            <w:shd w:val="clear" w:color="auto" w:fill="auto"/>
            <w:noWrap/>
            <w:tcMar>
              <w:top w:w="0" w:type="dxa"/>
              <w:left w:w="51" w:type="dxa"/>
              <w:bottom w:w="0" w:type="dxa"/>
              <w:right w:w="51" w:type="dxa"/>
            </w:tcMar>
          </w:tcPr>
          <w:p w14:paraId="15C6AD9C"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3,7 </w:t>
            </w:r>
          </w:p>
        </w:tc>
        <w:tc>
          <w:tcPr>
            <w:tcW w:w="342" w:type="pct"/>
            <w:shd w:val="clear" w:color="auto" w:fill="auto"/>
            <w:noWrap/>
            <w:tcMar>
              <w:top w:w="0" w:type="dxa"/>
              <w:left w:w="51" w:type="dxa"/>
              <w:bottom w:w="0" w:type="dxa"/>
              <w:right w:w="51" w:type="dxa"/>
            </w:tcMar>
          </w:tcPr>
          <w:p w14:paraId="01FF054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4,3 </w:t>
            </w:r>
          </w:p>
        </w:tc>
        <w:tc>
          <w:tcPr>
            <w:tcW w:w="342" w:type="pct"/>
            <w:shd w:val="clear" w:color="auto" w:fill="auto"/>
            <w:noWrap/>
            <w:tcMar>
              <w:top w:w="0" w:type="dxa"/>
              <w:left w:w="51" w:type="dxa"/>
              <w:bottom w:w="0" w:type="dxa"/>
              <w:right w:w="51" w:type="dxa"/>
            </w:tcMar>
          </w:tcPr>
          <w:p w14:paraId="2F7A32D6"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4,1</w:t>
            </w:r>
          </w:p>
        </w:tc>
        <w:tc>
          <w:tcPr>
            <w:tcW w:w="328" w:type="pct"/>
          </w:tcPr>
          <w:p w14:paraId="7DFCFE8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w:t>
            </w:r>
            <w:r>
              <w:rPr>
                <w:rFonts w:ascii="Times New Roman" w:hAnsi="Times New Roman"/>
                <w:color w:val="000000"/>
                <w:sz w:val="22"/>
                <w:szCs w:val="22"/>
              </w:rPr>
              <w:t>,7</w:t>
            </w:r>
            <w:r w:rsidRPr="00E27050">
              <w:rPr>
                <w:rFonts w:ascii="Times New Roman" w:hAnsi="Times New Roman"/>
                <w:color w:val="000000"/>
                <w:sz w:val="22"/>
                <w:szCs w:val="22"/>
              </w:rPr>
              <w:t xml:space="preserve"> </w:t>
            </w:r>
          </w:p>
        </w:tc>
        <w:tc>
          <w:tcPr>
            <w:tcW w:w="328" w:type="pct"/>
          </w:tcPr>
          <w:p w14:paraId="6DBC85A2"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3</w:t>
            </w:r>
            <w:r w:rsidR="004E1C1A">
              <w:rPr>
                <w:rFonts w:ascii="Times New Roman" w:hAnsi="Times New Roman"/>
                <w:color w:val="000000"/>
                <w:sz w:val="22"/>
                <w:szCs w:val="22"/>
              </w:rPr>
              <w:t>,2</w:t>
            </w:r>
            <w:r w:rsidRPr="00AD4327">
              <w:rPr>
                <w:rFonts w:ascii="Times New Roman" w:hAnsi="Times New Roman"/>
                <w:color w:val="000000"/>
                <w:sz w:val="22"/>
                <w:szCs w:val="22"/>
                <w:vertAlign w:val="superscript"/>
              </w:rPr>
              <w:t>2</w:t>
            </w:r>
          </w:p>
        </w:tc>
        <w:tc>
          <w:tcPr>
            <w:tcW w:w="797" w:type="pct"/>
            <w:shd w:val="clear" w:color="auto" w:fill="auto"/>
            <w:vAlign w:val="bottom"/>
          </w:tcPr>
          <w:p w14:paraId="745F91E8"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5B32F73F"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2E0C3AC7"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Herav:</w:t>
            </w:r>
          </w:p>
        </w:tc>
        <w:tc>
          <w:tcPr>
            <w:tcW w:w="342" w:type="pct"/>
            <w:shd w:val="clear" w:color="auto" w:fill="auto"/>
            <w:tcMar>
              <w:top w:w="0" w:type="dxa"/>
              <w:left w:w="51" w:type="dxa"/>
              <w:bottom w:w="0" w:type="dxa"/>
              <w:right w:w="51" w:type="dxa"/>
            </w:tcMar>
          </w:tcPr>
          <w:p w14:paraId="2637BD03"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435AD1F7"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tcMar>
              <w:top w:w="0" w:type="dxa"/>
              <w:left w:w="51" w:type="dxa"/>
              <w:bottom w:w="0" w:type="dxa"/>
              <w:right w:w="51" w:type="dxa"/>
            </w:tcMar>
          </w:tcPr>
          <w:p w14:paraId="0E35BB36"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3E5BCF39"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632997EB"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vAlign w:val="bottom"/>
          </w:tcPr>
          <w:p w14:paraId="4DB606E2"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56AD144A"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4D442259"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Overheng</w:t>
            </w:r>
          </w:p>
        </w:tc>
        <w:tc>
          <w:tcPr>
            <w:tcW w:w="342" w:type="pct"/>
            <w:shd w:val="clear" w:color="auto" w:fill="auto"/>
            <w:noWrap/>
            <w:tcMar>
              <w:top w:w="0" w:type="dxa"/>
              <w:left w:w="51" w:type="dxa"/>
              <w:bottom w:w="0" w:type="dxa"/>
              <w:right w:w="51" w:type="dxa"/>
            </w:tcMar>
          </w:tcPr>
          <w:p w14:paraId="49E690D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1,1</w:t>
            </w:r>
          </w:p>
        </w:tc>
        <w:tc>
          <w:tcPr>
            <w:tcW w:w="342" w:type="pct"/>
            <w:shd w:val="clear" w:color="auto" w:fill="auto"/>
            <w:noWrap/>
            <w:tcMar>
              <w:top w:w="0" w:type="dxa"/>
              <w:left w:w="51" w:type="dxa"/>
              <w:bottom w:w="0" w:type="dxa"/>
              <w:right w:w="51" w:type="dxa"/>
            </w:tcMar>
          </w:tcPr>
          <w:p w14:paraId="2D4F6026"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2,4</w:t>
            </w:r>
          </w:p>
        </w:tc>
        <w:tc>
          <w:tcPr>
            <w:tcW w:w="342" w:type="pct"/>
            <w:shd w:val="clear" w:color="auto" w:fill="auto"/>
            <w:noWrap/>
            <w:tcMar>
              <w:top w:w="0" w:type="dxa"/>
              <w:left w:w="51" w:type="dxa"/>
              <w:bottom w:w="0" w:type="dxa"/>
              <w:right w:w="51" w:type="dxa"/>
            </w:tcMar>
          </w:tcPr>
          <w:p w14:paraId="592855B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0,8</w:t>
            </w:r>
          </w:p>
        </w:tc>
        <w:tc>
          <w:tcPr>
            <w:tcW w:w="328" w:type="pct"/>
          </w:tcPr>
          <w:p w14:paraId="7B6C308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2,4</w:t>
            </w:r>
          </w:p>
        </w:tc>
        <w:tc>
          <w:tcPr>
            <w:tcW w:w="328" w:type="pct"/>
          </w:tcPr>
          <w:p w14:paraId="008DB077" w14:textId="77777777" w:rsidR="004B1A77" w:rsidRPr="008718E6" w:rsidRDefault="004B1A77" w:rsidP="0051408B">
            <w:pPr>
              <w:spacing w:after="34"/>
              <w:jc w:val="center"/>
              <w:rPr>
                <w:rFonts w:ascii="Times New Roman" w:hAnsi="Times New Roman"/>
                <w:color w:val="000000"/>
                <w:sz w:val="22"/>
                <w:szCs w:val="22"/>
              </w:rPr>
            </w:pPr>
            <w:r>
              <w:rPr>
                <w:rFonts w:ascii="Times New Roman" w:hAnsi="Times New Roman"/>
                <w:color w:val="000000"/>
                <w:sz w:val="22"/>
                <w:szCs w:val="22"/>
              </w:rPr>
              <w:t>0,</w:t>
            </w:r>
            <w:r w:rsidR="0051408B">
              <w:rPr>
                <w:rFonts w:ascii="Times New Roman" w:hAnsi="Times New Roman"/>
                <w:color w:val="000000"/>
                <w:sz w:val="22"/>
                <w:szCs w:val="22"/>
              </w:rPr>
              <w:t>6</w:t>
            </w:r>
          </w:p>
        </w:tc>
        <w:tc>
          <w:tcPr>
            <w:tcW w:w="797" w:type="pct"/>
            <w:shd w:val="clear" w:color="auto" w:fill="auto"/>
            <w:vAlign w:val="bottom"/>
          </w:tcPr>
          <w:p w14:paraId="56B77269"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1225FE5C"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48F040A3"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Tarifftillegg</w:t>
            </w:r>
          </w:p>
        </w:tc>
        <w:tc>
          <w:tcPr>
            <w:tcW w:w="342" w:type="pct"/>
            <w:shd w:val="clear" w:color="auto" w:fill="auto"/>
            <w:noWrap/>
            <w:tcMar>
              <w:top w:w="0" w:type="dxa"/>
              <w:left w:w="51" w:type="dxa"/>
              <w:bottom w:w="0" w:type="dxa"/>
              <w:right w:w="51" w:type="dxa"/>
            </w:tcMar>
          </w:tcPr>
          <w:p w14:paraId="43EC7A5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2,1</w:t>
            </w:r>
          </w:p>
        </w:tc>
        <w:tc>
          <w:tcPr>
            <w:tcW w:w="342" w:type="pct"/>
            <w:shd w:val="clear" w:color="auto" w:fill="auto"/>
            <w:noWrap/>
            <w:tcMar>
              <w:top w:w="0" w:type="dxa"/>
              <w:left w:w="51" w:type="dxa"/>
              <w:bottom w:w="0" w:type="dxa"/>
              <w:right w:w="51" w:type="dxa"/>
            </w:tcMar>
          </w:tcPr>
          <w:p w14:paraId="621D4BB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1,4</w:t>
            </w:r>
          </w:p>
        </w:tc>
        <w:tc>
          <w:tcPr>
            <w:tcW w:w="342" w:type="pct"/>
            <w:shd w:val="clear" w:color="auto" w:fill="auto"/>
            <w:noWrap/>
            <w:tcMar>
              <w:top w:w="0" w:type="dxa"/>
              <w:left w:w="51" w:type="dxa"/>
              <w:bottom w:w="0" w:type="dxa"/>
              <w:right w:w="51" w:type="dxa"/>
            </w:tcMar>
          </w:tcPr>
          <w:p w14:paraId="18EF9B7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2,6 </w:t>
            </w:r>
          </w:p>
        </w:tc>
        <w:tc>
          <w:tcPr>
            <w:tcW w:w="328" w:type="pct"/>
          </w:tcPr>
          <w:p w14:paraId="3B2B8C67"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0,7</w:t>
            </w:r>
          </w:p>
        </w:tc>
        <w:tc>
          <w:tcPr>
            <w:tcW w:w="328" w:type="pct"/>
          </w:tcPr>
          <w:p w14:paraId="10B62E67" w14:textId="77777777" w:rsidR="004B1A77" w:rsidRPr="008718E6" w:rsidRDefault="004B1A77" w:rsidP="0051408B">
            <w:pPr>
              <w:spacing w:after="34"/>
              <w:jc w:val="center"/>
              <w:rPr>
                <w:rFonts w:ascii="Times New Roman" w:hAnsi="Times New Roman"/>
                <w:color w:val="000000"/>
                <w:sz w:val="22"/>
                <w:szCs w:val="22"/>
              </w:rPr>
            </w:pPr>
            <w:r>
              <w:rPr>
                <w:rFonts w:ascii="Times New Roman" w:hAnsi="Times New Roman"/>
                <w:color w:val="000000"/>
                <w:sz w:val="22"/>
                <w:szCs w:val="22"/>
              </w:rPr>
              <w:t>2</w:t>
            </w:r>
            <w:r w:rsidR="0051408B">
              <w:rPr>
                <w:rFonts w:ascii="Times New Roman" w:hAnsi="Times New Roman"/>
                <w:color w:val="000000"/>
                <w:sz w:val="22"/>
                <w:szCs w:val="22"/>
              </w:rPr>
              <w:t>,1</w:t>
            </w:r>
            <w:r>
              <w:rPr>
                <w:rFonts w:ascii="Times New Roman" w:hAnsi="Times New Roman"/>
                <w:color w:val="000000"/>
                <w:sz w:val="22"/>
                <w:szCs w:val="22"/>
              </w:rPr>
              <w:t xml:space="preserve"> </w:t>
            </w:r>
          </w:p>
        </w:tc>
        <w:tc>
          <w:tcPr>
            <w:tcW w:w="797" w:type="pct"/>
            <w:shd w:val="clear" w:color="auto" w:fill="auto"/>
            <w:vAlign w:val="bottom"/>
          </w:tcPr>
          <w:p w14:paraId="381ED6DF"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185EA3A9"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69BBEA0"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Lønnsglidning</w:t>
            </w:r>
          </w:p>
        </w:tc>
        <w:tc>
          <w:tcPr>
            <w:tcW w:w="342" w:type="pct"/>
            <w:shd w:val="clear" w:color="auto" w:fill="auto"/>
            <w:noWrap/>
            <w:tcMar>
              <w:top w:w="0" w:type="dxa"/>
              <w:left w:w="51" w:type="dxa"/>
              <w:bottom w:w="0" w:type="dxa"/>
              <w:right w:w="51" w:type="dxa"/>
            </w:tcMar>
            <w:vAlign w:val="center"/>
          </w:tcPr>
          <w:p w14:paraId="2FECEA9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0,5 </w:t>
            </w:r>
          </w:p>
        </w:tc>
        <w:tc>
          <w:tcPr>
            <w:tcW w:w="342" w:type="pct"/>
            <w:shd w:val="clear" w:color="auto" w:fill="auto"/>
            <w:noWrap/>
            <w:tcMar>
              <w:top w:w="0" w:type="dxa"/>
              <w:left w:w="51" w:type="dxa"/>
              <w:bottom w:w="0" w:type="dxa"/>
              <w:right w:w="51" w:type="dxa"/>
            </w:tcMar>
            <w:vAlign w:val="center"/>
          </w:tcPr>
          <w:p w14:paraId="2EF0CDB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0,5</w:t>
            </w:r>
          </w:p>
        </w:tc>
        <w:tc>
          <w:tcPr>
            <w:tcW w:w="342" w:type="pct"/>
            <w:shd w:val="clear" w:color="auto" w:fill="auto"/>
            <w:noWrap/>
            <w:tcMar>
              <w:top w:w="0" w:type="dxa"/>
              <w:left w:w="51" w:type="dxa"/>
              <w:bottom w:w="0" w:type="dxa"/>
              <w:right w:w="51" w:type="dxa"/>
            </w:tcMar>
            <w:vAlign w:val="center"/>
          </w:tcPr>
          <w:p w14:paraId="670FDE88"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0,6</w:t>
            </w:r>
          </w:p>
        </w:tc>
        <w:tc>
          <w:tcPr>
            <w:tcW w:w="328" w:type="pct"/>
            <w:vAlign w:val="center"/>
          </w:tcPr>
          <w:p w14:paraId="66D90270"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0,6</w:t>
            </w:r>
            <w:r w:rsidRPr="00E27050">
              <w:rPr>
                <w:rFonts w:ascii="Times New Roman" w:hAnsi="Times New Roman"/>
                <w:color w:val="000000"/>
                <w:sz w:val="22"/>
                <w:szCs w:val="22"/>
              </w:rPr>
              <w:t xml:space="preserve">  </w:t>
            </w:r>
          </w:p>
        </w:tc>
        <w:tc>
          <w:tcPr>
            <w:tcW w:w="328" w:type="pct"/>
            <w:vAlign w:val="center"/>
          </w:tcPr>
          <w:p w14:paraId="2E3F6645" w14:textId="77777777" w:rsidR="004B1A77" w:rsidRPr="008718E6" w:rsidRDefault="0051408B" w:rsidP="00795948">
            <w:pPr>
              <w:spacing w:after="34"/>
              <w:jc w:val="center"/>
              <w:rPr>
                <w:rFonts w:ascii="Times New Roman" w:hAnsi="Times New Roman"/>
                <w:color w:val="000000"/>
                <w:sz w:val="22"/>
                <w:szCs w:val="22"/>
              </w:rPr>
            </w:pPr>
            <w:r>
              <w:rPr>
                <w:rFonts w:ascii="Times New Roman" w:hAnsi="Times New Roman"/>
                <w:color w:val="000000"/>
                <w:sz w:val="22"/>
                <w:szCs w:val="22"/>
              </w:rPr>
              <w:t>0,6</w:t>
            </w:r>
            <w:r w:rsidR="004B1A77">
              <w:rPr>
                <w:rFonts w:ascii="Times New Roman" w:hAnsi="Times New Roman"/>
                <w:color w:val="000000"/>
                <w:sz w:val="22"/>
                <w:szCs w:val="22"/>
              </w:rPr>
              <w:t xml:space="preserve"> </w:t>
            </w:r>
          </w:p>
        </w:tc>
        <w:tc>
          <w:tcPr>
            <w:tcW w:w="797" w:type="pct"/>
            <w:shd w:val="clear" w:color="auto" w:fill="auto"/>
            <w:noWrap/>
            <w:vAlign w:val="bottom"/>
          </w:tcPr>
          <w:p w14:paraId="514327E7" w14:textId="77777777" w:rsidR="004B1A77" w:rsidRPr="008718E6" w:rsidRDefault="004B1A77" w:rsidP="0051408B">
            <w:pPr>
              <w:spacing w:after="34"/>
              <w:ind w:right="-15"/>
              <w:jc w:val="center"/>
              <w:rPr>
                <w:rFonts w:ascii="Times New Roman" w:hAnsi="Times New Roman"/>
                <w:color w:val="000000"/>
                <w:sz w:val="22"/>
                <w:szCs w:val="22"/>
              </w:rPr>
            </w:pPr>
            <w:r>
              <w:rPr>
                <w:rFonts w:ascii="Times New Roman" w:hAnsi="Times New Roman"/>
                <w:color w:val="000000"/>
                <w:sz w:val="22"/>
                <w:szCs w:val="22"/>
              </w:rPr>
              <w:t>0,</w:t>
            </w:r>
            <w:r w:rsidR="0051408B">
              <w:rPr>
                <w:rFonts w:ascii="Times New Roman" w:hAnsi="Times New Roman"/>
                <w:color w:val="000000"/>
                <w:sz w:val="22"/>
                <w:szCs w:val="22"/>
              </w:rPr>
              <w:t>6</w:t>
            </w:r>
          </w:p>
        </w:tc>
      </w:tr>
      <w:tr w:rsidR="004B1A77" w:rsidRPr="008718E6" w14:paraId="4591DC4A" w14:textId="77777777" w:rsidTr="00D8732A">
        <w:trPr>
          <w:tblCellSpacing w:w="0" w:type="dxa"/>
        </w:trPr>
        <w:tc>
          <w:tcPr>
            <w:tcW w:w="2522" w:type="pct"/>
            <w:tcBorders>
              <w:top w:val="single" w:sz="4" w:space="0" w:color="auto"/>
            </w:tcBorders>
            <w:shd w:val="clear" w:color="auto" w:fill="auto"/>
            <w:noWrap/>
            <w:tcMar>
              <w:top w:w="0" w:type="dxa"/>
              <w:left w:w="51" w:type="dxa"/>
              <w:bottom w:w="0" w:type="dxa"/>
              <w:right w:w="51" w:type="dxa"/>
            </w:tcMar>
            <w:vAlign w:val="bottom"/>
          </w:tcPr>
          <w:p w14:paraId="01B93C9A"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i/>
                <w:iCs/>
                <w:color w:val="000000"/>
                <w:sz w:val="22"/>
                <w:szCs w:val="22"/>
              </w:rPr>
              <w:t>Undervisningspersonell i kommunene:</w:t>
            </w:r>
            <w:r w:rsidRPr="00E27050">
              <w:rPr>
                <w:rFonts w:ascii="Times New Roman" w:hAnsi="Times New Roman"/>
                <w:color w:val="000000"/>
                <w:sz w:val="22"/>
                <w:szCs w:val="22"/>
              </w:rPr>
              <w:t xml:space="preserve"> </w:t>
            </w:r>
          </w:p>
        </w:tc>
        <w:tc>
          <w:tcPr>
            <w:tcW w:w="342" w:type="pct"/>
            <w:tcBorders>
              <w:top w:val="single" w:sz="4" w:space="0" w:color="auto"/>
            </w:tcBorders>
            <w:shd w:val="clear" w:color="auto" w:fill="auto"/>
            <w:noWrap/>
            <w:tcMar>
              <w:top w:w="0" w:type="dxa"/>
              <w:left w:w="51" w:type="dxa"/>
              <w:bottom w:w="0" w:type="dxa"/>
              <w:right w:w="51" w:type="dxa"/>
            </w:tcMar>
          </w:tcPr>
          <w:p w14:paraId="3A5687E2"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noWrap/>
            <w:tcMar>
              <w:top w:w="0" w:type="dxa"/>
              <w:left w:w="51" w:type="dxa"/>
              <w:bottom w:w="0" w:type="dxa"/>
              <w:right w:w="51" w:type="dxa"/>
            </w:tcMar>
          </w:tcPr>
          <w:p w14:paraId="24A7BBD4"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noWrap/>
            <w:tcMar>
              <w:top w:w="0" w:type="dxa"/>
              <w:left w:w="51" w:type="dxa"/>
              <w:bottom w:w="0" w:type="dxa"/>
              <w:right w:w="51" w:type="dxa"/>
            </w:tcMar>
          </w:tcPr>
          <w:p w14:paraId="51DD6C83"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3698B5C8"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1B828B7B" w14:textId="77777777" w:rsidR="004B1A77" w:rsidRPr="008718E6" w:rsidRDefault="004B1A77" w:rsidP="00795948">
            <w:pPr>
              <w:spacing w:after="34"/>
              <w:jc w:val="center"/>
              <w:rPr>
                <w:rFonts w:ascii="Times New Roman" w:hAnsi="Times New Roman"/>
                <w:color w:val="000000"/>
                <w:sz w:val="22"/>
                <w:szCs w:val="22"/>
              </w:rPr>
            </w:pPr>
          </w:p>
        </w:tc>
        <w:tc>
          <w:tcPr>
            <w:tcW w:w="797" w:type="pct"/>
            <w:tcBorders>
              <w:top w:val="single" w:sz="4" w:space="0" w:color="auto"/>
            </w:tcBorders>
            <w:shd w:val="clear" w:color="auto" w:fill="auto"/>
            <w:noWrap/>
            <w:vAlign w:val="bottom"/>
          </w:tcPr>
          <w:p w14:paraId="7A2DAEA5"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2DE5547C"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07BCCF8A"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Årslønnsvekst</w:t>
            </w:r>
          </w:p>
        </w:tc>
        <w:tc>
          <w:tcPr>
            <w:tcW w:w="342" w:type="pct"/>
            <w:shd w:val="clear" w:color="auto" w:fill="auto"/>
            <w:noWrap/>
            <w:tcMar>
              <w:top w:w="0" w:type="dxa"/>
              <w:left w:w="51" w:type="dxa"/>
              <w:bottom w:w="0" w:type="dxa"/>
              <w:right w:w="51" w:type="dxa"/>
            </w:tcMar>
          </w:tcPr>
          <w:p w14:paraId="71728DA3"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3,6 </w:t>
            </w:r>
          </w:p>
        </w:tc>
        <w:tc>
          <w:tcPr>
            <w:tcW w:w="342" w:type="pct"/>
            <w:shd w:val="clear" w:color="auto" w:fill="auto"/>
            <w:noWrap/>
            <w:tcMar>
              <w:top w:w="0" w:type="dxa"/>
              <w:left w:w="51" w:type="dxa"/>
              <w:bottom w:w="0" w:type="dxa"/>
              <w:right w:w="51" w:type="dxa"/>
            </w:tcMar>
          </w:tcPr>
          <w:p w14:paraId="52B0A25F"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4,3 </w:t>
            </w:r>
          </w:p>
        </w:tc>
        <w:tc>
          <w:tcPr>
            <w:tcW w:w="342" w:type="pct"/>
            <w:shd w:val="clear" w:color="auto" w:fill="auto"/>
            <w:noWrap/>
            <w:tcMar>
              <w:top w:w="0" w:type="dxa"/>
              <w:left w:w="51" w:type="dxa"/>
              <w:bottom w:w="0" w:type="dxa"/>
              <w:right w:w="51" w:type="dxa"/>
            </w:tcMar>
          </w:tcPr>
          <w:p w14:paraId="5D51EF9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4,0</w:t>
            </w:r>
          </w:p>
        </w:tc>
        <w:tc>
          <w:tcPr>
            <w:tcW w:w="328" w:type="pct"/>
          </w:tcPr>
          <w:p w14:paraId="2B61BFA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w:t>
            </w:r>
            <w:r>
              <w:rPr>
                <w:rFonts w:ascii="Times New Roman" w:hAnsi="Times New Roman"/>
                <w:color w:val="000000"/>
                <w:sz w:val="22"/>
                <w:szCs w:val="22"/>
              </w:rPr>
              <w:t>,2</w:t>
            </w:r>
            <w:r w:rsidRPr="00E27050">
              <w:rPr>
                <w:rFonts w:ascii="Times New Roman" w:hAnsi="Times New Roman"/>
                <w:color w:val="000000"/>
                <w:sz w:val="22"/>
                <w:szCs w:val="22"/>
              </w:rPr>
              <w:t xml:space="preserve"> </w:t>
            </w:r>
          </w:p>
        </w:tc>
        <w:tc>
          <w:tcPr>
            <w:tcW w:w="328" w:type="pct"/>
          </w:tcPr>
          <w:p w14:paraId="600292A1" w14:textId="77777777" w:rsidR="004B1A77" w:rsidRPr="008718E6" w:rsidRDefault="004B1A77" w:rsidP="0051408B">
            <w:pPr>
              <w:spacing w:after="34"/>
              <w:jc w:val="center"/>
              <w:rPr>
                <w:rFonts w:ascii="Times New Roman" w:hAnsi="Times New Roman"/>
                <w:color w:val="000000"/>
                <w:sz w:val="22"/>
                <w:szCs w:val="22"/>
              </w:rPr>
            </w:pPr>
            <w:r>
              <w:rPr>
                <w:rFonts w:ascii="Times New Roman" w:hAnsi="Times New Roman"/>
                <w:color w:val="000000"/>
                <w:sz w:val="22"/>
                <w:szCs w:val="22"/>
              </w:rPr>
              <w:t>2</w:t>
            </w:r>
            <w:r w:rsidR="0051408B">
              <w:rPr>
                <w:rFonts w:ascii="Times New Roman" w:hAnsi="Times New Roman"/>
                <w:color w:val="000000"/>
                <w:sz w:val="22"/>
                <w:szCs w:val="22"/>
              </w:rPr>
              <w:t>,3</w:t>
            </w:r>
            <w:r w:rsidRPr="00A11D7D">
              <w:rPr>
                <w:rFonts w:ascii="Times New Roman" w:hAnsi="Times New Roman"/>
                <w:color w:val="000000"/>
                <w:sz w:val="22"/>
                <w:szCs w:val="22"/>
                <w:vertAlign w:val="superscript"/>
              </w:rPr>
              <w:t>2</w:t>
            </w:r>
            <w:r>
              <w:rPr>
                <w:rFonts w:ascii="Times New Roman" w:hAnsi="Times New Roman"/>
                <w:color w:val="000000"/>
                <w:sz w:val="22"/>
                <w:szCs w:val="22"/>
              </w:rPr>
              <w:t xml:space="preserve"> </w:t>
            </w:r>
          </w:p>
        </w:tc>
        <w:tc>
          <w:tcPr>
            <w:tcW w:w="797" w:type="pct"/>
            <w:shd w:val="clear" w:color="auto" w:fill="auto"/>
            <w:noWrap/>
            <w:vAlign w:val="bottom"/>
          </w:tcPr>
          <w:p w14:paraId="5DC01B54"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1DF0D7EC"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1E6F343"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Herav:</w:t>
            </w:r>
          </w:p>
        </w:tc>
        <w:tc>
          <w:tcPr>
            <w:tcW w:w="342" w:type="pct"/>
            <w:shd w:val="clear" w:color="auto" w:fill="auto"/>
            <w:noWrap/>
            <w:tcMar>
              <w:top w:w="0" w:type="dxa"/>
              <w:left w:w="51" w:type="dxa"/>
              <w:bottom w:w="0" w:type="dxa"/>
              <w:right w:w="51" w:type="dxa"/>
            </w:tcMar>
          </w:tcPr>
          <w:p w14:paraId="240F1F7E"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noWrap/>
            <w:tcMar>
              <w:top w:w="0" w:type="dxa"/>
              <w:left w:w="51" w:type="dxa"/>
              <w:bottom w:w="0" w:type="dxa"/>
              <w:right w:w="51" w:type="dxa"/>
            </w:tcMar>
          </w:tcPr>
          <w:p w14:paraId="7337E98E"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noWrap/>
            <w:tcMar>
              <w:top w:w="0" w:type="dxa"/>
              <w:left w:w="51" w:type="dxa"/>
              <w:bottom w:w="0" w:type="dxa"/>
              <w:right w:w="51" w:type="dxa"/>
            </w:tcMar>
          </w:tcPr>
          <w:p w14:paraId="4307E30C"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209E23F2"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6DD5B38F"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noWrap/>
            <w:vAlign w:val="bottom"/>
          </w:tcPr>
          <w:p w14:paraId="3A565B14"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736A2D6C"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3B98416A"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Overheng</w:t>
            </w:r>
          </w:p>
        </w:tc>
        <w:tc>
          <w:tcPr>
            <w:tcW w:w="342" w:type="pct"/>
            <w:shd w:val="clear" w:color="auto" w:fill="auto"/>
            <w:noWrap/>
            <w:tcMar>
              <w:top w:w="0" w:type="dxa"/>
              <w:left w:w="51" w:type="dxa"/>
              <w:bottom w:w="0" w:type="dxa"/>
              <w:right w:w="51" w:type="dxa"/>
            </w:tcMar>
          </w:tcPr>
          <w:p w14:paraId="5B1260B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1,0</w:t>
            </w:r>
          </w:p>
        </w:tc>
        <w:tc>
          <w:tcPr>
            <w:tcW w:w="342" w:type="pct"/>
            <w:shd w:val="clear" w:color="auto" w:fill="auto"/>
            <w:noWrap/>
            <w:tcMar>
              <w:top w:w="0" w:type="dxa"/>
              <w:left w:w="51" w:type="dxa"/>
              <w:bottom w:w="0" w:type="dxa"/>
              <w:right w:w="51" w:type="dxa"/>
            </w:tcMar>
          </w:tcPr>
          <w:p w14:paraId="6B143054"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2,4</w:t>
            </w:r>
          </w:p>
        </w:tc>
        <w:tc>
          <w:tcPr>
            <w:tcW w:w="342" w:type="pct"/>
            <w:shd w:val="clear" w:color="auto" w:fill="auto"/>
            <w:noWrap/>
            <w:tcMar>
              <w:top w:w="0" w:type="dxa"/>
              <w:left w:w="51" w:type="dxa"/>
              <w:bottom w:w="0" w:type="dxa"/>
              <w:right w:w="51" w:type="dxa"/>
            </w:tcMar>
          </w:tcPr>
          <w:p w14:paraId="008EF20B"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0,7</w:t>
            </w:r>
          </w:p>
        </w:tc>
        <w:tc>
          <w:tcPr>
            <w:tcW w:w="328" w:type="pct"/>
          </w:tcPr>
          <w:p w14:paraId="06E8364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2,5</w:t>
            </w:r>
          </w:p>
        </w:tc>
        <w:tc>
          <w:tcPr>
            <w:tcW w:w="328" w:type="pct"/>
          </w:tcPr>
          <w:p w14:paraId="15776165"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0,3</w:t>
            </w:r>
          </w:p>
        </w:tc>
        <w:tc>
          <w:tcPr>
            <w:tcW w:w="797" w:type="pct"/>
            <w:shd w:val="clear" w:color="auto" w:fill="auto"/>
            <w:noWrap/>
            <w:vAlign w:val="bottom"/>
          </w:tcPr>
          <w:p w14:paraId="1FE01AA0"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788F5234"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4B5D80C2"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Tarifftillegg</w:t>
            </w:r>
          </w:p>
        </w:tc>
        <w:tc>
          <w:tcPr>
            <w:tcW w:w="342" w:type="pct"/>
            <w:shd w:val="clear" w:color="auto" w:fill="auto"/>
            <w:noWrap/>
            <w:tcMar>
              <w:top w:w="0" w:type="dxa"/>
              <w:left w:w="51" w:type="dxa"/>
              <w:bottom w:w="0" w:type="dxa"/>
              <w:right w:w="51" w:type="dxa"/>
            </w:tcMar>
          </w:tcPr>
          <w:p w14:paraId="5D215FB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2,3</w:t>
            </w:r>
          </w:p>
        </w:tc>
        <w:tc>
          <w:tcPr>
            <w:tcW w:w="342" w:type="pct"/>
            <w:shd w:val="clear" w:color="auto" w:fill="auto"/>
            <w:noWrap/>
            <w:tcMar>
              <w:top w:w="0" w:type="dxa"/>
              <w:left w:w="51" w:type="dxa"/>
              <w:bottom w:w="0" w:type="dxa"/>
              <w:right w:w="51" w:type="dxa"/>
            </w:tcMar>
          </w:tcPr>
          <w:p w14:paraId="646246D3"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1,4</w:t>
            </w:r>
          </w:p>
        </w:tc>
        <w:tc>
          <w:tcPr>
            <w:tcW w:w="342" w:type="pct"/>
            <w:shd w:val="clear" w:color="auto" w:fill="auto"/>
            <w:noWrap/>
            <w:tcMar>
              <w:top w:w="0" w:type="dxa"/>
              <w:left w:w="51" w:type="dxa"/>
              <w:bottom w:w="0" w:type="dxa"/>
              <w:right w:w="51" w:type="dxa"/>
            </w:tcMar>
          </w:tcPr>
          <w:p w14:paraId="2943E7D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2,9 </w:t>
            </w:r>
          </w:p>
        </w:tc>
        <w:tc>
          <w:tcPr>
            <w:tcW w:w="328" w:type="pct"/>
          </w:tcPr>
          <w:p w14:paraId="2D21FF1E"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0,6</w:t>
            </w:r>
          </w:p>
        </w:tc>
        <w:tc>
          <w:tcPr>
            <w:tcW w:w="328" w:type="pct"/>
          </w:tcPr>
          <w:p w14:paraId="0C44FDD7"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2</w:t>
            </w:r>
            <w:r w:rsidR="0051408B">
              <w:rPr>
                <w:rFonts w:ascii="Times New Roman" w:hAnsi="Times New Roman"/>
                <w:color w:val="000000"/>
                <w:sz w:val="22"/>
                <w:szCs w:val="22"/>
              </w:rPr>
              <w:t>,0</w:t>
            </w:r>
          </w:p>
        </w:tc>
        <w:tc>
          <w:tcPr>
            <w:tcW w:w="797" w:type="pct"/>
            <w:shd w:val="clear" w:color="auto" w:fill="auto"/>
            <w:noWrap/>
            <w:vAlign w:val="bottom"/>
          </w:tcPr>
          <w:p w14:paraId="4DCACFB6"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3CBB8E79"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2D5193F8"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Lønnsglidning</w:t>
            </w:r>
          </w:p>
        </w:tc>
        <w:tc>
          <w:tcPr>
            <w:tcW w:w="342" w:type="pct"/>
            <w:shd w:val="clear" w:color="auto" w:fill="auto"/>
            <w:noWrap/>
            <w:tcMar>
              <w:top w:w="0" w:type="dxa"/>
              <w:left w:w="51" w:type="dxa"/>
              <w:bottom w:w="0" w:type="dxa"/>
              <w:right w:w="51" w:type="dxa"/>
            </w:tcMar>
            <w:vAlign w:val="center"/>
          </w:tcPr>
          <w:p w14:paraId="2DA66D5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0,3</w:t>
            </w:r>
          </w:p>
        </w:tc>
        <w:tc>
          <w:tcPr>
            <w:tcW w:w="342" w:type="pct"/>
            <w:shd w:val="clear" w:color="auto" w:fill="auto"/>
            <w:noWrap/>
            <w:tcMar>
              <w:top w:w="0" w:type="dxa"/>
              <w:left w:w="51" w:type="dxa"/>
              <w:bottom w:w="0" w:type="dxa"/>
              <w:right w:w="51" w:type="dxa"/>
            </w:tcMar>
            <w:vAlign w:val="center"/>
          </w:tcPr>
          <w:p w14:paraId="64BD205B"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0,5</w:t>
            </w:r>
          </w:p>
        </w:tc>
        <w:tc>
          <w:tcPr>
            <w:tcW w:w="342" w:type="pct"/>
            <w:shd w:val="clear" w:color="auto" w:fill="auto"/>
            <w:noWrap/>
            <w:tcMar>
              <w:top w:w="0" w:type="dxa"/>
              <w:left w:w="51" w:type="dxa"/>
              <w:bottom w:w="0" w:type="dxa"/>
              <w:right w:w="51" w:type="dxa"/>
            </w:tcMar>
            <w:vAlign w:val="center"/>
          </w:tcPr>
          <w:p w14:paraId="468F320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0,4 </w:t>
            </w:r>
          </w:p>
        </w:tc>
        <w:tc>
          <w:tcPr>
            <w:tcW w:w="328" w:type="pct"/>
            <w:vAlign w:val="center"/>
          </w:tcPr>
          <w:p w14:paraId="7E7F10C1"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0,1</w:t>
            </w:r>
          </w:p>
        </w:tc>
        <w:tc>
          <w:tcPr>
            <w:tcW w:w="328" w:type="pct"/>
            <w:vAlign w:val="center"/>
          </w:tcPr>
          <w:p w14:paraId="6BB2B0A0"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w:t>
            </w:r>
          </w:p>
        </w:tc>
        <w:tc>
          <w:tcPr>
            <w:tcW w:w="797" w:type="pct"/>
            <w:shd w:val="clear" w:color="auto" w:fill="auto"/>
            <w:noWrap/>
            <w:vAlign w:val="bottom"/>
          </w:tcPr>
          <w:p w14:paraId="412ED559" w14:textId="77777777" w:rsidR="004B1A77" w:rsidRPr="008718E6" w:rsidRDefault="004B1A77" w:rsidP="00795948">
            <w:pPr>
              <w:spacing w:after="34"/>
              <w:ind w:right="-15"/>
              <w:jc w:val="center"/>
              <w:rPr>
                <w:rFonts w:ascii="Times New Roman" w:hAnsi="Times New Roman"/>
                <w:color w:val="000000"/>
                <w:sz w:val="22"/>
                <w:szCs w:val="22"/>
              </w:rPr>
            </w:pPr>
            <w:r>
              <w:rPr>
                <w:rFonts w:ascii="Times New Roman" w:hAnsi="Times New Roman"/>
                <w:color w:val="000000"/>
                <w:sz w:val="22"/>
                <w:szCs w:val="22"/>
              </w:rPr>
              <w:t>0,3</w:t>
            </w:r>
          </w:p>
        </w:tc>
      </w:tr>
      <w:tr w:rsidR="004B1A77" w:rsidRPr="008718E6" w14:paraId="349C3DA9" w14:textId="77777777" w:rsidTr="00D8732A">
        <w:trPr>
          <w:tblCellSpacing w:w="0" w:type="dxa"/>
        </w:trPr>
        <w:tc>
          <w:tcPr>
            <w:tcW w:w="2522" w:type="pct"/>
            <w:tcBorders>
              <w:top w:val="single" w:sz="4" w:space="0" w:color="auto"/>
            </w:tcBorders>
            <w:shd w:val="clear" w:color="auto" w:fill="auto"/>
            <w:noWrap/>
            <w:tcMar>
              <w:top w:w="0" w:type="dxa"/>
              <w:left w:w="51" w:type="dxa"/>
              <w:bottom w:w="0" w:type="dxa"/>
              <w:right w:w="51" w:type="dxa"/>
            </w:tcMar>
            <w:vAlign w:val="bottom"/>
          </w:tcPr>
          <w:p w14:paraId="02559B51"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i/>
                <w:iCs/>
                <w:color w:val="000000"/>
                <w:sz w:val="22"/>
                <w:szCs w:val="22"/>
              </w:rPr>
              <w:t>Kommuneansatte eksklusiv undervisningspersonell:</w:t>
            </w:r>
            <w:r w:rsidRPr="00E27050">
              <w:rPr>
                <w:rFonts w:ascii="Times New Roman" w:hAnsi="Times New Roman"/>
                <w:color w:val="000000"/>
                <w:sz w:val="22"/>
                <w:szCs w:val="22"/>
              </w:rPr>
              <w:t xml:space="preserve"> </w:t>
            </w:r>
          </w:p>
        </w:tc>
        <w:tc>
          <w:tcPr>
            <w:tcW w:w="342" w:type="pct"/>
            <w:tcBorders>
              <w:top w:val="single" w:sz="4" w:space="0" w:color="auto"/>
            </w:tcBorders>
            <w:shd w:val="clear" w:color="auto" w:fill="auto"/>
            <w:noWrap/>
            <w:tcMar>
              <w:top w:w="0" w:type="dxa"/>
              <w:left w:w="51" w:type="dxa"/>
              <w:bottom w:w="0" w:type="dxa"/>
              <w:right w:w="51" w:type="dxa"/>
            </w:tcMar>
          </w:tcPr>
          <w:p w14:paraId="2934205C"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noWrap/>
            <w:tcMar>
              <w:top w:w="0" w:type="dxa"/>
              <w:left w:w="51" w:type="dxa"/>
              <w:bottom w:w="0" w:type="dxa"/>
              <w:right w:w="51" w:type="dxa"/>
            </w:tcMar>
          </w:tcPr>
          <w:p w14:paraId="4FCA2A29"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noWrap/>
            <w:tcMar>
              <w:top w:w="0" w:type="dxa"/>
              <w:left w:w="51" w:type="dxa"/>
              <w:bottom w:w="0" w:type="dxa"/>
              <w:right w:w="51" w:type="dxa"/>
            </w:tcMar>
          </w:tcPr>
          <w:p w14:paraId="19C05557"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0296BA68"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tcPr>
          <w:p w14:paraId="6B79EC6A" w14:textId="77777777" w:rsidR="004B1A77" w:rsidRPr="008718E6" w:rsidRDefault="004B1A77" w:rsidP="00795948">
            <w:pPr>
              <w:spacing w:after="34"/>
              <w:jc w:val="center"/>
              <w:rPr>
                <w:rFonts w:ascii="Times New Roman" w:hAnsi="Times New Roman"/>
                <w:color w:val="000000"/>
                <w:sz w:val="22"/>
                <w:szCs w:val="22"/>
              </w:rPr>
            </w:pPr>
          </w:p>
        </w:tc>
        <w:tc>
          <w:tcPr>
            <w:tcW w:w="797" w:type="pct"/>
            <w:tcBorders>
              <w:top w:val="single" w:sz="4" w:space="0" w:color="auto"/>
            </w:tcBorders>
            <w:shd w:val="clear" w:color="auto" w:fill="auto"/>
            <w:noWrap/>
            <w:vAlign w:val="bottom"/>
          </w:tcPr>
          <w:p w14:paraId="3F6F8709"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4246F131"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68F64A9E"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Årslønnsvekst</w:t>
            </w:r>
          </w:p>
        </w:tc>
        <w:tc>
          <w:tcPr>
            <w:tcW w:w="342" w:type="pct"/>
            <w:shd w:val="clear" w:color="auto" w:fill="auto"/>
            <w:noWrap/>
            <w:tcMar>
              <w:top w:w="0" w:type="dxa"/>
              <w:left w:w="51" w:type="dxa"/>
              <w:bottom w:w="0" w:type="dxa"/>
              <w:right w:w="51" w:type="dxa"/>
            </w:tcMar>
          </w:tcPr>
          <w:p w14:paraId="4B998184"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3,7 </w:t>
            </w:r>
          </w:p>
        </w:tc>
        <w:tc>
          <w:tcPr>
            <w:tcW w:w="342" w:type="pct"/>
            <w:shd w:val="clear" w:color="auto" w:fill="auto"/>
            <w:noWrap/>
            <w:tcMar>
              <w:top w:w="0" w:type="dxa"/>
              <w:left w:w="51" w:type="dxa"/>
              <w:bottom w:w="0" w:type="dxa"/>
              <w:right w:w="51" w:type="dxa"/>
            </w:tcMar>
          </w:tcPr>
          <w:p w14:paraId="5B0A70E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4,3 </w:t>
            </w:r>
          </w:p>
        </w:tc>
        <w:tc>
          <w:tcPr>
            <w:tcW w:w="342" w:type="pct"/>
            <w:shd w:val="clear" w:color="auto" w:fill="auto"/>
            <w:noWrap/>
            <w:tcMar>
              <w:top w:w="0" w:type="dxa"/>
              <w:left w:w="51" w:type="dxa"/>
              <w:bottom w:w="0" w:type="dxa"/>
              <w:right w:w="51" w:type="dxa"/>
            </w:tcMar>
          </w:tcPr>
          <w:p w14:paraId="3A9B3B58"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4,1</w:t>
            </w:r>
          </w:p>
        </w:tc>
        <w:tc>
          <w:tcPr>
            <w:tcW w:w="328" w:type="pct"/>
          </w:tcPr>
          <w:p w14:paraId="7040737C"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w:t>
            </w:r>
            <w:r>
              <w:rPr>
                <w:rFonts w:ascii="Times New Roman" w:hAnsi="Times New Roman"/>
                <w:color w:val="000000"/>
                <w:sz w:val="22"/>
                <w:szCs w:val="22"/>
              </w:rPr>
              <w:t>,9</w:t>
            </w:r>
            <w:r w:rsidRPr="00E27050">
              <w:rPr>
                <w:rFonts w:ascii="Times New Roman" w:hAnsi="Times New Roman"/>
                <w:color w:val="000000"/>
                <w:sz w:val="22"/>
                <w:szCs w:val="22"/>
              </w:rPr>
              <w:t xml:space="preserve"> </w:t>
            </w:r>
          </w:p>
        </w:tc>
        <w:tc>
          <w:tcPr>
            <w:tcW w:w="328" w:type="pct"/>
          </w:tcPr>
          <w:p w14:paraId="739B580D" w14:textId="77777777" w:rsidR="004B1A77" w:rsidRPr="008718E6" w:rsidRDefault="004B1A77" w:rsidP="0051408B">
            <w:pPr>
              <w:spacing w:after="34"/>
              <w:jc w:val="center"/>
              <w:rPr>
                <w:rFonts w:ascii="Times New Roman" w:hAnsi="Times New Roman"/>
                <w:color w:val="000000"/>
                <w:sz w:val="22"/>
                <w:szCs w:val="22"/>
              </w:rPr>
            </w:pPr>
            <w:r>
              <w:rPr>
                <w:rFonts w:ascii="Times New Roman" w:hAnsi="Times New Roman"/>
                <w:color w:val="000000"/>
                <w:sz w:val="22"/>
                <w:szCs w:val="22"/>
              </w:rPr>
              <w:t>3</w:t>
            </w:r>
            <w:r w:rsidR="0051408B">
              <w:rPr>
                <w:rFonts w:ascii="Times New Roman" w:hAnsi="Times New Roman"/>
                <w:color w:val="000000"/>
                <w:sz w:val="22"/>
                <w:szCs w:val="22"/>
              </w:rPr>
              <w:t>,7</w:t>
            </w:r>
            <w:r w:rsidRPr="00A11D7D">
              <w:rPr>
                <w:rFonts w:ascii="Times New Roman" w:hAnsi="Times New Roman"/>
                <w:color w:val="000000"/>
                <w:sz w:val="22"/>
                <w:szCs w:val="22"/>
                <w:vertAlign w:val="superscript"/>
              </w:rPr>
              <w:t>2</w:t>
            </w:r>
            <w:r>
              <w:rPr>
                <w:rFonts w:ascii="Times New Roman" w:hAnsi="Times New Roman"/>
                <w:color w:val="000000"/>
                <w:sz w:val="22"/>
                <w:szCs w:val="22"/>
              </w:rPr>
              <w:t xml:space="preserve"> </w:t>
            </w:r>
          </w:p>
        </w:tc>
        <w:tc>
          <w:tcPr>
            <w:tcW w:w="797" w:type="pct"/>
            <w:shd w:val="clear" w:color="auto" w:fill="auto"/>
            <w:noWrap/>
            <w:vAlign w:val="bottom"/>
          </w:tcPr>
          <w:p w14:paraId="298DDC3E"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70A7A70B"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369FC742"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Herav:</w:t>
            </w:r>
          </w:p>
        </w:tc>
        <w:tc>
          <w:tcPr>
            <w:tcW w:w="342" w:type="pct"/>
            <w:shd w:val="clear" w:color="auto" w:fill="auto"/>
            <w:noWrap/>
            <w:tcMar>
              <w:top w:w="0" w:type="dxa"/>
              <w:left w:w="51" w:type="dxa"/>
              <w:bottom w:w="0" w:type="dxa"/>
              <w:right w:w="51" w:type="dxa"/>
            </w:tcMar>
          </w:tcPr>
          <w:p w14:paraId="2AABFC61"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noWrap/>
            <w:tcMar>
              <w:top w:w="0" w:type="dxa"/>
              <w:left w:w="51" w:type="dxa"/>
              <w:bottom w:w="0" w:type="dxa"/>
              <w:right w:w="51" w:type="dxa"/>
            </w:tcMar>
          </w:tcPr>
          <w:p w14:paraId="22FDE111"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noWrap/>
            <w:tcMar>
              <w:top w:w="0" w:type="dxa"/>
              <w:left w:w="51" w:type="dxa"/>
              <w:bottom w:w="0" w:type="dxa"/>
              <w:right w:w="51" w:type="dxa"/>
            </w:tcMar>
          </w:tcPr>
          <w:p w14:paraId="00B01C20"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7F33AE05" w14:textId="77777777" w:rsidR="004B1A77" w:rsidRPr="008718E6" w:rsidRDefault="004B1A77" w:rsidP="00795948">
            <w:pPr>
              <w:spacing w:after="34"/>
              <w:jc w:val="center"/>
              <w:rPr>
                <w:rFonts w:ascii="Times New Roman" w:hAnsi="Times New Roman"/>
                <w:color w:val="000000"/>
                <w:sz w:val="22"/>
                <w:szCs w:val="22"/>
              </w:rPr>
            </w:pPr>
          </w:p>
        </w:tc>
        <w:tc>
          <w:tcPr>
            <w:tcW w:w="328" w:type="pct"/>
          </w:tcPr>
          <w:p w14:paraId="7CA7F112"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noWrap/>
            <w:vAlign w:val="bottom"/>
          </w:tcPr>
          <w:p w14:paraId="51D843A3"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4BF23238"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6AC0413D"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Overheng</w:t>
            </w:r>
          </w:p>
        </w:tc>
        <w:tc>
          <w:tcPr>
            <w:tcW w:w="342" w:type="pct"/>
            <w:shd w:val="clear" w:color="auto" w:fill="auto"/>
            <w:noWrap/>
            <w:tcMar>
              <w:top w:w="0" w:type="dxa"/>
              <w:left w:w="51" w:type="dxa"/>
              <w:bottom w:w="0" w:type="dxa"/>
              <w:right w:w="51" w:type="dxa"/>
            </w:tcMar>
          </w:tcPr>
          <w:p w14:paraId="6C939EE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1,1</w:t>
            </w:r>
          </w:p>
        </w:tc>
        <w:tc>
          <w:tcPr>
            <w:tcW w:w="342" w:type="pct"/>
            <w:shd w:val="clear" w:color="auto" w:fill="auto"/>
            <w:noWrap/>
            <w:tcMar>
              <w:top w:w="0" w:type="dxa"/>
              <w:left w:w="51" w:type="dxa"/>
              <w:bottom w:w="0" w:type="dxa"/>
              <w:right w:w="51" w:type="dxa"/>
            </w:tcMar>
          </w:tcPr>
          <w:p w14:paraId="764399F2"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2,4</w:t>
            </w:r>
          </w:p>
        </w:tc>
        <w:tc>
          <w:tcPr>
            <w:tcW w:w="342" w:type="pct"/>
            <w:shd w:val="clear" w:color="auto" w:fill="auto"/>
            <w:noWrap/>
            <w:tcMar>
              <w:top w:w="0" w:type="dxa"/>
              <w:left w:w="51" w:type="dxa"/>
              <w:bottom w:w="0" w:type="dxa"/>
              <w:right w:w="51" w:type="dxa"/>
            </w:tcMar>
          </w:tcPr>
          <w:p w14:paraId="1A75C25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0,8</w:t>
            </w:r>
          </w:p>
        </w:tc>
        <w:tc>
          <w:tcPr>
            <w:tcW w:w="328" w:type="pct"/>
          </w:tcPr>
          <w:p w14:paraId="32AD4CF6"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2,3</w:t>
            </w:r>
          </w:p>
        </w:tc>
        <w:tc>
          <w:tcPr>
            <w:tcW w:w="328" w:type="pct"/>
          </w:tcPr>
          <w:p w14:paraId="3D6E4C8A"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0,6</w:t>
            </w:r>
          </w:p>
        </w:tc>
        <w:tc>
          <w:tcPr>
            <w:tcW w:w="797" w:type="pct"/>
            <w:shd w:val="clear" w:color="auto" w:fill="auto"/>
            <w:noWrap/>
            <w:vAlign w:val="bottom"/>
          </w:tcPr>
          <w:p w14:paraId="4B7B156F"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5FC612CA"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257D6197"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Tarifftillegg</w:t>
            </w:r>
          </w:p>
        </w:tc>
        <w:tc>
          <w:tcPr>
            <w:tcW w:w="342" w:type="pct"/>
            <w:shd w:val="clear" w:color="auto" w:fill="auto"/>
            <w:noWrap/>
            <w:tcMar>
              <w:top w:w="0" w:type="dxa"/>
              <w:left w:w="51" w:type="dxa"/>
              <w:bottom w:w="0" w:type="dxa"/>
              <w:right w:w="51" w:type="dxa"/>
            </w:tcMar>
          </w:tcPr>
          <w:p w14:paraId="5615B02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2,0</w:t>
            </w:r>
          </w:p>
        </w:tc>
        <w:tc>
          <w:tcPr>
            <w:tcW w:w="342" w:type="pct"/>
            <w:shd w:val="clear" w:color="auto" w:fill="auto"/>
            <w:noWrap/>
            <w:tcMar>
              <w:top w:w="0" w:type="dxa"/>
              <w:left w:w="51" w:type="dxa"/>
              <w:bottom w:w="0" w:type="dxa"/>
              <w:right w:w="51" w:type="dxa"/>
            </w:tcMar>
          </w:tcPr>
          <w:p w14:paraId="1912A66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1,4</w:t>
            </w:r>
          </w:p>
        </w:tc>
        <w:tc>
          <w:tcPr>
            <w:tcW w:w="342" w:type="pct"/>
            <w:shd w:val="clear" w:color="auto" w:fill="auto"/>
            <w:noWrap/>
            <w:tcMar>
              <w:top w:w="0" w:type="dxa"/>
              <w:left w:w="51" w:type="dxa"/>
              <w:bottom w:w="0" w:type="dxa"/>
              <w:right w:w="51" w:type="dxa"/>
            </w:tcMar>
          </w:tcPr>
          <w:p w14:paraId="7B866AAC"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2,6 </w:t>
            </w:r>
          </w:p>
        </w:tc>
        <w:tc>
          <w:tcPr>
            <w:tcW w:w="328" w:type="pct"/>
          </w:tcPr>
          <w:p w14:paraId="6EB73D98"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0,7</w:t>
            </w:r>
            <w:r w:rsidRPr="00E27050">
              <w:rPr>
                <w:rFonts w:ascii="Times New Roman" w:hAnsi="Times New Roman"/>
                <w:color w:val="000000"/>
                <w:sz w:val="22"/>
                <w:szCs w:val="22"/>
              </w:rPr>
              <w:t xml:space="preserve"> </w:t>
            </w:r>
          </w:p>
        </w:tc>
        <w:tc>
          <w:tcPr>
            <w:tcW w:w="328" w:type="pct"/>
          </w:tcPr>
          <w:p w14:paraId="06C2ECD4" w14:textId="77777777" w:rsidR="004B1A77" w:rsidRPr="008718E6" w:rsidRDefault="004B1A77" w:rsidP="0051408B">
            <w:pPr>
              <w:spacing w:after="34"/>
              <w:jc w:val="center"/>
              <w:rPr>
                <w:rFonts w:ascii="Times New Roman" w:hAnsi="Times New Roman"/>
                <w:color w:val="000000"/>
                <w:sz w:val="22"/>
                <w:szCs w:val="22"/>
              </w:rPr>
            </w:pPr>
            <w:r>
              <w:rPr>
                <w:rFonts w:ascii="Times New Roman" w:hAnsi="Times New Roman"/>
                <w:color w:val="000000"/>
                <w:sz w:val="22"/>
                <w:szCs w:val="22"/>
              </w:rPr>
              <w:t>2</w:t>
            </w:r>
            <w:r w:rsidR="0051408B">
              <w:rPr>
                <w:rFonts w:ascii="Times New Roman" w:hAnsi="Times New Roman"/>
                <w:color w:val="000000"/>
                <w:sz w:val="22"/>
                <w:szCs w:val="22"/>
              </w:rPr>
              <w:t>,1</w:t>
            </w:r>
            <w:r>
              <w:rPr>
                <w:rFonts w:ascii="Times New Roman" w:hAnsi="Times New Roman"/>
                <w:color w:val="000000"/>
                <w:sz w:val="22"/>
                <w:szCs w:val="22"/>
              </w:rPr>
              <w:t xml:space="preserve"> </w:t>
            </w:r>
          </w:p>
        </w:tc>
        <w:tc>
          <w:tcPr>
            <w:tcW w:w="797" w:type="pct"/>
            <w:shd w:val="clear" w:color="auto" w:fill="auto"/>
            <w:noWrap/>
            <w:vAlign w:val="bottom"/>
          </w:tcPr>
          <w:p w14:paraId="7F04372F"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6F8F4B0C"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4CCBAE04"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Lønnsglidning</w:t>
            </w:r>
          </w:p>
        </w:tc>
        <w:tc>
          <w:tcPr>
            <w:tcW w:w="342" w:type="pct"/>
            <w:shd w:val="clear" w:color="auto" w:fill="auto"/>
            <w:noWrap/>
            <w:tcMar>
              <w:top w:w="0" w:type="dxa"/>
              <w:left w:w="51" w:type="dxa"/>
              <w:bottom w:w="0" w:type="dxa"/>
              <w:right w:w="51" w:type="dxa"/>
            </w:tcMar>
            <w:vAlign w:val="center"/>
          </w:tcPr>
          <w:p w14:paraId="3CDFB91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0,6</w:t>
            </w:r>
          </w:p>
        </w:tc>
        <w:tc>
          <w:tcPr>
            <w:tcW w:w="342" w:type="pct"/>
            <w:shd w:val="clear" w:color="auto" w:fill="auto"/>
            <w:noWrap/>
            <w:tcMar>
              <w:top w:w="0" w:type="dxa"/>
              <w:left w:w="51" w:type="dxa"/>
              <w:bottom w:w="0" w:type="dxa"/>
              <w:right w:w="51" w:type="dxa"/>
            </w:tcMar>
            <w:vAlign w:val="center"/>
          </w:tcPr>
          <w:p w14:paraId="6DCCF8A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0,5</w:t>
            </w:r>
          </w:p>
        </w:tc>
        <w:tc>
          <w:tcPr>
            <w:tcW w:w="342" w:type="pct"/>
            <w:shd w:val="clear" w:color="auto" w:fill="auto"/>
            <w:noWrap/>
            <w:tcMar>
              <w:top w:w="0" w:type="dxa"/>
              <w:left w:w="51" w:type="dxa"/>
              <w:bottom w:w="0" w:type="dxa"/>
              <w:right w:w="51" w:type="dxa"/>
            </w:tcMar>
            <w:vAlign w:val="center"/>
          </w:tcPr>
          <w:p w14:paraId="6B6B1EB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0,7  </w:t>
            </w:r>
          </w:p>
        </w:tc>
        <w:tc>
          <w:tcPr>
            <w:tcW w:w="328" w:type="pct"/>
            <w:vAlign w:val="center"/>
          </w:tcPr>
          <w:p w14:paraId="07853CDA"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0,9</w:t>
            </w:r>
          </w:p>
        </w:tc>
        <w:tc>
          <w:tcPr>
            <w:tcW w:w="328" w:type="pct"/>
            <w:vAlign w:val="center"/>
          </w:tcPr>
          <w:p w14:paraId="1D7C34DD" w14:textId="77777777" w:rsidR="004B1A77" w:rsidRPr="008718E6" w:rsidRDefault="0051408B" w:rsidP="00795948">
            <w:pPr>
              <w:spacing w:after="34"/>
              <w:jc w:val="center"/>
              <w:rPr>
                <w:rFonts w:ascii="Times New Roman" w:hAnsi="Times New Roman"/>
                <w:color w:val="000000"/>
                <w:sz w:val="22"/>
                <w:szCs w:val="22"/>
              </w:rPr>
            </w:pPr>
            <w:r>
              <w:rPr>
                <w:rFonts w:ascii="Times New Roman" w:hAnsi="Times New Roman"/>
                <w:color w:val="000000"/>
                <w:sz w:val="22"/>
                <w:szCs w:val="22"/>
              </w:rPr>
              <w:t xml:space="preserve">1,0 </w:t>
            </w:r>
          </w:p>
        </w:tc>
        <w:tc>
          <w:tcPr>
            <w:tcW w:w="797" w:type="pct"/>
            <w:shd w:val="clear" w:color="auto" w:fill="auto"/>
            <w:noWrap/>
            <w:vAlign w:val="bottom"/>
          </w:tcPr>
          <w:p w14:paraId="4104C891" w14:textId="77777777" w:rsidR="004B1A77" w:rsidRPr="008718E6" w:rsidRDefault="004B1A77" w:rsidP="0051408B">
            <w:pPr>
              <w:spacing w:after="34"/>
              <w:ind w:right="-15"/>
              <w:jc w:val="center"/>
              <w:rPr>
                <w:rFonts w:ascii="Times New Roman" w:hAnsi="Times New Roman"/>
                <w:color w:val="000000"/>
                <w:sz w:val="22"/>
                <w:szCs w:val="22"/>
              </w:rPr>
            </w:pPr>
            <w:r>
              <w:rPr>
                <w:rFonts w:ascii="Times New Roman" w:hAnsi="Times New Roman"/>
                <w:color w:val="000000"/>
                <w:sz w:val="22"/>
                <w:szCs w:val="22"/>
              </w:rPr>
              <w:t>0,</w:t>
            </w:r>
            <w:r w:rsidR="0051408B">
              <w:rPr>
                <w:rFonts w:ascii="Times New Roman" w:hAnsi="Times New Roman"/>
                <w:color w:val="000000"/>
                <w:sz w:val="22"/>
                <w:szCs w:val="22"/>
              </w:rPr>
              <w:t>7</w:t>
            </w:r>
          </w:p>
        </w:tc>
      </w:tr>
      <w:tr w:rsidR="004B1A77" w:rsidRPr="008718E6" w14:paraId="7F075728" w14:textId="77777777" w:rsidTr="00D8732A">
        <w:trPr>
          <w:tblCellSpacing w:w="0" w:type="dxa"/>
        </w:trPr>
        <w:tc>
          <w:tcPr>
            <w:tcW w:w="2522" w:type="pct"/>
            <w:tcBorders>
              <w:top w:val="single" w:sz="4" w:space="0" w:color="auto"/>
            </w:tcBorders>
            <w:shd w:val="clear" w:color="auto" w:fill="auto"/>
            <w:noWrap/>
            <w:tcMar>
              <w:top w:w="0" w:type="dxa"/>
              <w:left w:w="51" w:type="dxa"/>
              <w:bottom w:w="0" w:type="dxa"/>
              <w:right w:w="51" w:type="dxa"/>
            </w:tcMar>
            <w:vAlign w:val="bottom"/>
          </w:tcPr>
          <w:p w14:paraId="673F0C89" w14:textId="77777777" w:rsidR="004B1A77" w:rsidRPr="008718E6" w:rsidRDefault="004B1A77" w:rsidP="00795948">
            <w:pPr>
              <w:spacing w:after="34"/>
              <w:rPr>
                <w:rFonts w:ascii="Times New Roman" w:hAnsi="Times New Roman"/>
                <w:i/>
                <w:color w:val="000000"/>
                <w:sz w:val="22"/>
                <w:szCs w:val="22"/>
              </w:rPr>
            </w:pPr>
            <w:r w:rsidRPr="00E27050">
              <w:rPr>
                <w:rFonts w:ascii="Times New Roman" w:hAnsi="Times New Roman"/>
                <w:i/>
                <w:color w:val="000000"/>
                <w:sz w:val="22"/>
                <w:szCs w:val="22"/>
              </w:rPr>
              <w:t>Spekter, helseforetakene:</w:t>
            </w:r>
          </w:p>
        </w:tc>
        <w:tc>
          <w:tcPr>
            <w:tcW w:w="342" w:type="pct"/>
            <w:tcBorders>
              <w:top w:val="single" w:sz="4" w:space="0" w:color="auto"/>
            </w:tcBorders>
            <w:shd w:val="clear" w:color="auto" w:fill="auto"/>
            <w:noWrap/>
            <w:tcMar>
              <w:top w:w="0" w:type="dxa"/>
              <w:left w:w="51" w:type="dxa"/>
              <w:bottom w:w="0" w:type="dxa"/>
              <w:right w:w="51" w:type="dxa"/>
            </w:tcMar>
            <w:vAlign w:val="center"/>
          </w:tcPr>
          <w:p w14:paraId="78D0C34D"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noWrap/>
            <w:tcMar>
              <w:top w:w="0" w:type="dxa"/>
              <w:left w:w="51" w:type="dxa"/>
              <w:bottom w:w="0" w:type="dxa"/>
              <w:right w:w="51" w:type="dxa"/>
            </w:tcMar>
            <w:vAlign w:val="center"/>
          </w:tcPr>
          <w:p w14:paraId="7BE15183" w14:textId="77777777" w:rsidR="004B1A77" w:rsidRPr="008718E6" w:rsidRDefault="004B1A77" w:rsidP="00795948">
            <w:pPr>
              <w:spacing w:after="34"/>
              <w:jc w:val="center"/>
              <w:rPr>
                <w:rFonts w:ascii="Times New Roman" w:hAnsi="Times New Roman"/>
                <w:color w:val="000000"/>
                <w:sz w:val="22"/>
                <w:szCs w:val="22"/>
              </w:rPr>
            </w:pPr>
          </w:p>
        </w:tc>
        <w:tc>
          <w:tcPr>
            <w:tcW w:w="342" w:type="pct"/>
            <w:tcBorders>
              <w:top w:val="single" w:sz="4" w:space="0" w:color="auto"/>
            </w:tcBorders>
            <w:shd w:val="clear" w:color="auto" w:fill="auto"/>
            <w:noWrap/>
            <w:tcMar>
              <w:top w:w="0" w:type="dxa"/>
              <w:left w:w="51" w:type="dxa"/>
              <w:bottom w:w="0" w:type="dxa"/>
              <w:right w:w="51" w:type="dxa"/>
            </w:tcMar>
            <w:vAlign w:val="center"/>
          </w:tcPr>
          <w:p w14:paraId="0E010834"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vAlign w:val="center"/>
          </w:tcPr>
          <w:p w14:paraId="58A45EDF" w14:textId="77777777" w:rsidR="004B1A77" w:rsidRPr="008718E6" w:rsidRDefault="004B1A77" w:rsidP="00795948">
            <w:pPr>
              <w:spacing w:after="34"/>
              <w:jc w:val="center"/>
              <w:rPr>
                <w:rFonts w:ascii="Times New Roman" w:hAnsi="Times New Roman"/>
                <w:color w:val="000000"/>
                <w:sz w:val="22"/>
                <w:szCs w:val="22"/>
              </w:rPr>
            </w:pPr>
          </w:p>
        </w:tc>
        <w:tc>
          <w:tcPr>
            <w:tcW w:w="328" w:type="pct"/>
            <w:tcBorders>
              <w:top w:val="single" w:sz="4" w:space="0" w:color="auto"/>
            </w:tcBorders>
            <w:vAlign w:val="center"/>
          </w:tcPr>
          <w:p w14:paraId="34D882C1" w14:textId="77777777" w:rsidR="004B1A77" w:rsidRPr="008718E6" w:rsidRDefault="004B1A77" w:rsidP="00795948">
            <w:pPr>
              <w:spacing w:after="34"/>
              <w:jc w:val="center"/>
              <w:rPr>
                <w:rFonts w:ascii="Times New Roman" w:hAnsi="Times New Roman"/>
                <w:color w:val="000000"/>
                <w:sz w:val="22"/>
                <w:szCs w:val="22"/>
              </w:rPr>
            </w:pPr>
          </w:p>
        </w:tc>
        <w:tc>
          <w:tcPr>
            <w:tcW w:w="797" w:type="pct"/>
            <w:tcBorders>
              <w:top w:val="single" w:sz="4" w:space="0" w:color="auto"/>
            </w:tcBorders>
            <w:shd w:val="clear" w:color="auto" w:fill="auto"/>
            <w:noWrap/>
            <w:vAlign w:val="bottom"/>
          </w:tcPr>
          <w:p w14:paraId="711CF59C"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1254B55E"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7A7928A" w14:textId="77777777" w:rsidR="004B1A77" w:rsidRPr="008718E6" w:rsidRDefault="004B1A77" w:rsidP="00795948">
            <w:pPr>
              <w:spacing w:after="34"/>
              <w:rPr>
                <w:rFonts w:ascii="Times New Roman" w:hAnsi="Times New Roman"/>
                <w:i/>
                <w:color w:val="000000"/>
                <w:sz w:val="22"/>
                <w:szCs w:val="22"/>
              </w:rPr>
            </w:pPr>
            <w:r w:rsidRPr="00E27050">
              <w:rPr>
                <w:rFonts w:ascii="Times New Roman" w:hAnsi="Times New Roman"/>
                <w:color w:val="000000"/>
                <w:sz w:val="22"/>
                <w:szCs w:val="22"/>
              </w:rPr>
              <w:t>Årslønnsvekst</w:t>
            </w:r>
          </w:p>
        </w:tc>
        <w:tc>
          <w:tcPr>
            <w:tcW w:w="342" w:type="pct"/>
            <w:shd w:val="clear" w:color="auto" w:fill="auto"/>
            <w:noWrap/>
            <w:tcMar>
              <w:top w:w="0" w:type="dxa"/>
              <w:left w:w="51" w:type="dxa"/>
              <w:bottom w:w="0" w:type="dxa"/>
              <w:right w:w="51" w:type="dxa"/>
            </w:tcMar>
            <w:vAlign w:val="center"/>
          </w:tcPr>
          <w:p w14:paraId="52AD9F7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3,5 </w:t>
            </w:r>
          </w:p>
        </w:tc>
        <w:tc>
          <w:tcPr>
            <w:tcW w:w="342" w:type="pct"/>
            <w:shd w:val="clear" w:color="auto" w:fill="auto"/>
            <w:noWrap/>
            <w:tcMar>
              <w:top w:w="0" w:type="dxa"/>
              <w:left w:w="51" w:type="dxa"/>
              <w:bottom w:w="0" w:type="dxa"/>
              <w:right w:w="51" w:type="dxa"/>
            </w:tcMar>
            <w:vAlign w:val="center"/>
          </w:tcPr>
          <w:p w14:paraId="69CB37D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4,0</w:t>
            </w:r>
          </w:p>
        </w:tc>
        <w:tc>
          <w:tcPr>
            <w:tcW w:w="342" w:type="pct"/>
            <w:shd w:val="clear" w:color="auto" w:fill="auto"/>
            <w:noWrap/>
            <w:tcMar>
              <w:top w:w="0" w:type="dxa"/>
              <w:left w:w="51" w:type="dxa"/>
              <w:bottom w:w="0" w:type="dxa"/>
              <w:right w:w="51" w:type="dxa"/>
            </w:tcMar>
            <w:vAlign w:val="center"/>
          </w:tcPr>
          <w:p w14:paraId="342A72B3"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3,7 </w:t>
            </w:r>
          </w:p>
        </w:tc>
        <w:tc>
          <w:tcPr>
            <w:tcW w:w="328" w:type="pct"/>
            <w:vAlign w:val="center"/>
          </w:tcPr>
          <w:p w14:paraId="5B7F01F6"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w:t>
            </w:r>
            <w:r>
              <w:rPr>
                <w:rFonts w:ascii="Times New Roman" w:hAnsi="Times New Roman"/>
                <w:color w:val="000000"/>
                <w:sz w:val="22"/>
                <w:szCs w:val="22"/>
              </w:rPr>
              <w:t>,8</w:t>
            </w:r>
          </w:p>
        </w:tc>
        <w:tc>
          <w:tcPr>
            <w:tcW w:w="328" w:type="pct"/>
            <w:vAlign w:val="center"/>
          </w:tcPr>
          <w:p w14:paraId="327B1867"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3,4</w:t>
            </w:r>
          </w:p>
        </w:tc>
        <w:tc>
          <w:tcPr>
            <w:tcW w:w="797" w:type="pct"/>
            <w:shd w:val="clear" w:color="auto" w:fill="auto"/>
            <w:noWrap/>
            <w:vAlign w:val="bottom"/>
          </w:tcPr>
          <w:p w14:paraId="3763FFAF"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5B033BCA"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6BE93FD" w14:textId="77777777" w:rsidR="004B1A77" w:rsidRPr="008718E6" w:rsidRDefault="004B1A77" w:rsidP="00795948">
            <w:pPr>
              <w:spacing w:after="34"/>
              <w:rPr>
                <w:rFonts w:ascii="Times New Roman" w:hAnsi="Times New Roman"/>
                <w:i/>
                <w:color w:val="000000"/>
                <w:sz w:val="22"/>
                <w:szCs w:val="22"/>
              </w:rPr>
            </w:pPr>
            <w:r w:rsidRPr="00E27050">
              <w:rPr>
                <w:rFonts w:ascii="Times New Roman" w:hAnsi="Times New Roman"/>
                <w:color w:val="000000"/>
                <w:sz w:val="22"/>
                <w:szCs w:val="22"/>
              </w:rPr>
              <w:t>Herav:</w:t>
            </w:r>
          </w:p>
        </w:tc>
        <w:tc>
          <w:tcPr>
            <w:tcW w:w="342" w:type="pct"/>
            <w:shd w:val="clear" w:color="auto" w:fill="auto"/>
            <w:noWrap/>
            <w:tcMar>
              <w:top w:w="0" w:type="dxa"/>
              <w:left w:w="51" w:type="dxa"/>
              <w:bottom w:w="0" w:type="dxa"/>
              <w:right w:w="51" w:type="dxa"/>
            </w:tcMar>
            <w:vAlign w:val="center"/>
          </w:tcPr>
          <w:p w14:paraId="68403DA1"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noWrap/>
            <w:tcMar>
              <w:top w:w="0" w:type="dxa"/>
              <w:left w:w="51" w:type="dxa"/>
              <w:bottom w:w="0" w:type="dxa"/>
              <w:right w:w="51" w:type="dxa"/>
            </w:tcMar>
            <w:vAlign w:val="center"/>
          </w:tcPr>
          <w:p w14:paraId="038938D6"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noWrap/>
            <w:tcMar>
              <w:top w:w="0" w:type="dxa"/>
              <w:left w:w="51" w:type="dxa"/>
              <w:bottom w:w="0" w:type="dxa"/>
              <w:right w:w="51" w:type="dxa"/>
            </w:tcMar>
            <w:vAlign w:val="center"/>
          </w:tcPr>
          <w:p w14:paraId="42561A12" w14:textId="77777777" w:rsidR="004B1A77" w:rsidRPr="008718E6" w:rsidRDefault="004B1A77" w:rsidP="00795948">
            <w:pPr>
              <w:spacing w:after="34"/>
              <w:jc w:val="center"/>
              <w:rPr>
                <w:rFonts w:ascii="Times New Roman" w:hAnsi="Times New Roman"/>
                <w:color w:val="000000"/>
                <w:sz w:val="22"/>
                <w:szCs w:val="22"/>
              </w:rPr>
            </w:pPr>
          </w:p>
        </w:tc>
        <w:tc>
          <w:tcPr>
            <w:tcW w:w="328" w:type="pct"/>
            <w:vAlign w:val="center"/>
          </w:tcPr>
          <w:p w14:paraId="7C330472" w14:textId="77777777" w:rsidR="004B1A77" w:rsidRPr="008718E6" w:rsidRDefault="004B1A77" w:rsidP="00795948">
            <w:pPr>
              <w:spacing w:after="34"/>
              <w:jc w:val="center"/>
              <w:rPr>
                <w:rFonts w:ascii="Times New Roman" w:hAnsi="Times New Roman"/>
                <w:color w:val="000000"/>
                <w:sz w:val="22"/>
                <w:szCs w:val="22"/>
              </w:rPr>
            </w:pPr>
          </w:p>
        </w:tc>
        <w:tc>
          <w:tcPr>
            <w:tcW w:w="328" w:type="pct"/>
            <w:vAlign w:val="center"/>
          </w:tcPr>
          <w:p w14:paraId="4C3E766F"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noWrap/>
            <w:vAlign w:val="bottom"/>
          </w:tcPr>
          <w:p w14:paraId="13526541"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173D818C"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261991AC" w14:textId="77777777" w:rsidR="004B1A77" w:rsidRPr="008718E6" w:rsidRDefault="004B1A77" w:rsidP="00795948">
            <w:pPr>
              <w:spacing w:after="34"/>
              <w:rPr>
                <w:rFonts w:ascii="Times New Roman" w:hAnsi="Times New Roman"/>
                <w:i/>
                <w:color w:val="000000"/>
                <w:sz w:val="22"/>
                <w:szCs w:val="22"/>
              </w:rPr>
            </w:pPr>
            <w:r w:rsidRPr="00E27050">
              <w:rPr>
                <w:rFonts w:ascii="Times New Roman" w:hAnsi="Times New Roman"/>
                <w:color w:val="000000"/>
                <w:sz w:val="22"/>
                <w:szCs w:val="22"/>
              </w:rPr>
              <w:t>- Overheng</w:t>
            </w:r>
          </w:p>
        </w:tc>
        <w:tc>
          <w:tcPr>
            <w:tcW w:w="342" w:type="pct"/>
            <w:shd w:val="clear" w:color="auto" w:fill="auto"/>
            <w:noWrap/>
            <w:tcMar>
              <w:top w:w="0" w:type="dxa"/>
              <w:left w:w="51" w:type="dxa"/>
              <w:bottom w:w="0" w:type="dxa"/>
              <w:right w:w="51" w:type="dxa"/>
            </w:tcMar>
            <w:vAlign w:val="center"/>
          </w:tcPr>
          <w:p w14:paraId="3DF62C6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2,0</w:t>
            </w:r>
          </w:p>
        </w:tc>
        <w:tc>
          <w:tcPr>
            <w:tcW w:w="342" w:type="pct"/>
            <w:shd w:val="clear" w:color="auto" w:fill="auto"/>
            <w:noWrap/>
            <w:tcMar>
              <w:top w:w="0" w:type="dxa"/>
              <w:left w:w="51" w:type="dxa"/>
              <w:bottom w:w="0" w:type="dxa"/>
              <w:right w:w="51" w:type="dxa"/>
            </w:tcMar>
            <w:vAlign w:val="center"/>
          </w:tcPr>
          <w:p w14:paraId="2813539A"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1,9</w:t>
            </w:r>
          </w:p>
        </w:tc>
        <w:tc>
          <w:tcPr>
            <w:tcW w:w="342" w:type="pct"/>
            <w:shd w:val="clear" w:color="auto" w:fill="auto"/>
            <w:noWrap/>
            <w:tcMar>
              <w:top w:w="0" w:type="dxa"/>
              <w:left w:w="51" w:type="dxa"/>
              <w:bottom w:w="0" w:type="dxa"/>
              <w:right w:w="51" w:type="dxa"/>
            </w:tcMar>
            <w:vAlign w:val="center"/>
          </w:tcPr>
          <w:p w14:paraId="087AF40B"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0,8</w:t>
            </w:r>
          </w:p>
        </w:tc>
        <w:tc>
          <w:tcPr>
            <w:tcW w:w="328" w:type="pct"/>
            <w:vAlign w:val="center"/>
          </w:tcPr>
          <w:p w14:paraId="6FF10D34"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1,0</w:t>
            </w:r>
          </w:p>
        </w:tc>
        <w:tc>
          <w:tcPr>
            <w:tcW w:w="328" w:type="pct"/>
            <w:vAlign w:val="center"/>
          </w:tcPr>
          <w:p w14:paraId="0D948179"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0,7</w:t>
            </w:r>
          </w:p>
        </w:tc>
        <w:tc>
          <w:tcPr>
            <w:tcW w:w="797" w:type="pct"/>
            <w:shd w:val="clear" w:color="auto" w:fill="auto"/>
            <w:noWrap/>
            <w:vAlign w:val="bottom"/>
          </w:tcPr>
          <w:p w14:paraId="1537C2EC"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28C9759D"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2D9F98F9" w14:textId="77777777" w:rsidR="004B1A77" w:rsidRPr="008718E6" w:rsidRDefault="004B1A77" w:rsidP="00795948">
            <w:pPr>
              <w:spacing w:after="34"/>
              <w:rPr>
                <w:rFonts w:ascii="Times New Roman" w:hAnsi="Times New Roman"/>
                <w:i/>
                <w:color w:val="000000"/>
                <w:sz w:val="22"/>
                <w:szCs w:val="22"/>
              </w:rPr>
            </w:pPr>
            <w:r w:rsidRPr="00E27050">
              <w:rPr>
                <w:rFonts w:ascii="Times New Roman" w:hAnsi="Times New Roman"/>
                <w:color w:val="000000"/>
                <w:sz w:val="22"/>
                <w:szCs w:val="22"/>
              </w:rPr>
              <w:t>- Tarifftillegg</w:t>
            </w:r>
          </w:p>
        </w:tc>
        <w:tc>
          <w:tcPr>
            <w:tcW w:w="342" w:type="pct"/>
            <w:shd w:val="clear" w:color="auto" w:fill="auto"/>
            <w:noWrap/>
            <w:tcMar>
              <w:top w:w="0" w:type="dxa"/>
              <w:left w:w="51" w:type="dxa"/>
              <w:bottom w:w="0" w:type="dxa"/>
              <w:right w:w="51" w:type="dxa"/>
            </w:tcMar>
            <w:vAlign w:val="center"/>
          </w:tcPr>
          <w:p w14:paraId="5EBC5C6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1,5 </w:t>
            </w:r>
          </w:p>
        </w:tc>
        <w:tc>
          <w:tcPr>
            <w:tcW w:w="342" w:type="pct"/>
            <w:shd w:val="clear" w:color="auto" w:fill="auto"/>
            <w:noWrap/>
            <w:tcMar>
              <w:top w:w="0" w:type="dxa"/>
              <w:left w:w="51" w:type="dxa"/>
              <w:bottom w:w="0" w:type="dxa"/>
              <w:right w:w="51" w:type="dxa"/>
            </w:tcMar>
            <w:vAlign w:val="center"/>
          </w:tcPr>
          <w:p w14:paraId="7B30B97F"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2,1 </w:t>
            </w:r>
          </w:p>
        </w:tc>
        <w:tc>
          <w:tcPr>
            <w:tcW w:w="342" w:type="pct"/>
            <w:shd w:val="clear" w:color="auto" w:fill="auto"/>
            <w:noWrap/>
            <w:tcMar>
              <w:top w:w="0" w:type="dxa"/>
              <w:left w:w="51" w:type="dxa"/>
              <w:bottom w:w="0" w:type="dxa"/>
              <w:right w:w="51" w:type="dxa"/>
            </w:tcMar>
            <w:vAlign w:val="center"/>
          </w:tcPr>
          <w:p w14:paraId="17492930"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2,9</w:t>
            </w:r>
          </w:p>
        </w:tc>
        <w:tc>
          <w:tcPr>
            <w:tcW w:w="328" w:type="pct"/>
            <w:vAlign w:val="center"/>
          </w:tcPr>
          <w:p w14:paraId="6CBDC73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w:t>
            </w:r>
            <w:r>
              <w:rPr>
                <w:rFonts w:ascii="Times New Roman" w:hAnsi="Times New Roman"/>
                <w:color w:val="000000"/>
                <w:sz w:val="22"/>
                <w:szCs w:val="22"/>
              </w:rPr>
              <w:t>,3</w:t>
            </w:r>
            <w:r w:rsidRPr="00E27050">
              <w:rPr>
                <w:rFonts w:ascii="Times New Roman" w:hAnsi="Times New Roman"/>
                <w:color w:val="000000"/>
                <w:sz w:val="22"/>
                <w:szCs w:val="22"/>
              </w:rPr>
              <w:t xml:space="preserve"> </w:t>
            </w:r>
          </w:p>
        </w:tc>
        <w:tc>
          <w:tcPr>
            <w:tcW w:w="328" w:type="pct"/>
            <w:vAlign w:val="center"/>
          </w:tcPr>
          <w:p w14:paraId="47906C56"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2,5</w:t>
            </w:r>
          </w:p>
        </w:tc>
        <w:tc>
          <w:tcPr>
            <w:tcW w:w="797" w:type="pct"/>
            <w:shd w:val="clear" w:color="auto" w:fill="auto"/>
            <w:noWrap/>
            <w:vAlign w:val="bottom"/>
          </w:tcPr>
          <w:p w14:paraId="0A98F3B1"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4989E9B3"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3B1D73C" w14:textId="77777777" w:rsidR="004B1A77" w:rsidRPr="008718E6" w:rsidRDefault="004B1A77" w:rsidP="00795948">
            <w:pPr>
              <w:spacing w:after="34"/>
              <w:rPr>
                <w:rFonts w:ascii="Times New Roman" w:hAnsi="Times New Roman"/>
                <w:i/>
                <w:color w:val="000000"/>
                <w:sz w:val="22"/>
                <w:szCs w:val="22"/>
              </w:rPr>
            </w:pPr>
            <w:r w:rsidRPr="00E27050">
              <w:rPr>
                <w:rFonts w:ascii="Times New Roman" w:hAnsi="Times New Roman"/>
                <w:color w:val="000000"/>
                <w:sz w:val="22"/>
                <w:szCs w:val="22"/>
              </w:rPr>
              <w:t>- Lønnsglidning</w:t>
            </w:r>
          </w:p>
        </w:tc>
        <w:tc>
          <w:tcPr>
            <w:tcW w:w="342" w:type="pct"/>
            <w:shd w:val="clear" w:color="auto" w:fill="auto"/>
            <w:noWrap/>
            <w:tcMar>
              <w:top w:w="0" w:type="dxa"/>
              <w:left w:w="51" w:type="dxa"/>
              <w:bottom w:w="0" w:type="dxa"/>
              <w:right w:w="51" w:type="dxa"/>
            </w:tcMar>
            <w:vAlign w:val="center"/>
          </w:tcPr>
          <w:p w14:paraId="689AF26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0,0</w:t>
            </w:r>
          </w:p>
        </w:tc>
        <w:tc>
          <w:tcPr>
            <w:tcW w:w="342" w:type="pct"/>
            <w:shd w:val="clear" w:color="auto" w:fill="auto"/>
            <w:noWrap/>
            <w:tcMar>
              <w:top w:w="0" w:type="dxa"/>
              <w:left w:w="51" w:type="dxa"/>
              <w:bottom w:w="0" w:type="dxa"/>
              <w:right w:w="51" w:type="dxa"/>
            </w:tcMar>
            <w:vAlign w:val="center"/>
          </w:tcPr>
          <w:p w14:paraId="1B52894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0,0</w:t>
            </w:r>
          </w:p>
        </w:tc>
        <w:tc>
          <w:tcPr>
            <w:tcW w:w="342" w:type="pct"/>
            <w:shd w:val="clear" w:color="auto" w:fill="auto"/>
            <w:noWrap/>
            <w:tcMar>
              <w:top w:w="0" w:type="dxa"/>
              <w:left w:w="51" w:type="dxa"/>
              <w:bottom w:w="0" w:type="dxa"/>
              <w:right w:w="51" w:type="dxa"/>
            </w:tcMar>
            <w:vAlign w:val="center"/>
          </w:tcPr>
          <w:p w14:paraId="4869282F"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0,0</w:t>
            </w:r>
          </w:p>
        </w:tc>
        <w:tc>
          <w:tcPr>
            <w:tcW w:w="328" w:type="pct"/>
            <w:vAlign w:val="center"/>
          </w:tcPr>
          <w:p w14:paraId="0537602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 </w:t>
            </w:r>
            <w:r>
              <w:rPr>
                <w:rFonts w:ascii="Times New Roman" w:hAnsi="Times New Roman"/>
                <w:color w:val="000000"/>
                <w:sz w:val="22"/>
                <w:szCs w:val="22"/>
              </w:rPr>
              <w:t>0,5</w:t>
            </w:r>
            <w:r w:rsidRPr="00E27050">
              <w:rPr>
                <w:rFonts w:ascii="Times New Roman" w:hAnsi="Times New Roman"/>
                <w:color w:val="000000"/>
                <w:sz w:val="22"/>
                <w:szCs w:val="22"/>
              </w:rPr>
              <w:t xml:space="preserve">  </w:t>
            </w:r>
          </w:p>
        </w:tc>
        <w:tc>
          <w:tcPr>
            <w:tcW w:w="328" w:type="pct"/>
            <w:vAlign w:val="center"/>
          </w:tcPr>
          <w:p w14:paraId="387174AA"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0,2</w:t>
            </w:r>
          </w:p>
        </w:tc>
        <w:tc>
          <w:tcPr>
            <w:tcW w:w="797" w:type="pct"/>
            <w:shd w:val="clear" w:color="auto" w:fill="auto"/>
            <w:noWrap/>
            <w:vAlign w:val="bottom"/>
          </w:tcPr>
          <w:p w14:paraId="7395812F" w14:textId="77777777" w:rsidR="004B1A77" w:rsidRPr="008718E6" w:rsidRDefault="004B1A77" w:rsidP="00795948">
            <w:pPr>
              <w:spacing w:after="34"/>
              <w:ind w:right="-15"/>
              <w:jc w:val="center"/>
              <w:rPr>
                <w:rFonts w:ascii="Times New Roman" w:hAnsi="Times New Roman"/>
                <w:color w:val="000000"/>
                <w:sz w:val="22"/>
                <w:szCs w:val="22"/>
              </w:rPr>
            </w:pPr>
            <w:r>
              <w:rPr>
                <w:rFonts w:ascii="Times New Roman" w:hAnsi="Times New Roman"/>
                <w:color w:val="000000"/>
                <w:sz w:val="22"/>
                <w:szCs w:val="22"/>
              </w:rPr>
              <w:t>0,1</w:t>
            </w:r>
          </w:p>
        </w:tc>
      </w:tr>
      <w:tr w:rsidR="004B1A77" w:rsidRPr="008718E6" w14:paraId="36BB92F9" w14:textId="77777777" w:rsidTr="00D8732A">
        <w:trPr>
          <w:tblCellSpacing w:w="0" w:type="dxa"/>
        </w:trPr>
        <w:tc>
          <w:tcPr>
            <w:tcW w:w="2522" w:type="pct"/>
            <w:tcBorders>
              <w:top w:val="single" w:sz="4" w:space="0" w:color="auto"/>
            </w:tcBorders>
            <w:shd w:val="clear" w:color="auto" w:fill="auto"/>
            <w:noWrap/>
            <w:tcMar>
              <w:top w:w="0" w:type="dxa"/>
              <w:left w:w="51" w:type="dxa"/>
              <w:bottom w:w="0" w:type="dxa"/>
              <w:right w:w="51" w:type="dxa"/>
            </w:tcMar>
            <w:vAlign w:val="bottom"/>
          </w:tcPr>
          <w:p w14:paraId="4AD75B28" w14:textId="77777777" w:rsidR="004B1A77" w:rsidRPr="008718E6" w:rsidRDefault="004B1A77" w:rsidP="00795948">
            <w:pPr>
              <w:spacing w:after="34"/>
              <w:rPr>
                <w:rFonts w:ascii="Times New Roman" w:hAnsi="Times New Roman"/>
                <w:i/>
                <w:color w:val="000000"/>
                <w:sz w:val="22"/>
                <w:szCs w:val="22"/>
              </w:rPr>
            </w:pPr>
            <w:r w:rsidRPr="00E27050">
              <w:rPr>
                <w:rFonts w:ascii="Times New Roman" w:hAnsi="Times New Roman"/>
                <w:i/>
                <w:color w:val="000000"/>
                <w:sz w:val="22"/>
                <w:szCs w:val="22"/>
              </w:rPr>
              <w:t>Spekter, øvrige virksomheter:</w:t>
            </w:r>
          </w:p>
        </w:tc>
        <w:tc>
          <w:tcPr>
            <w:tcW w:w="342" w:type="pct"/>
            <w:tcBorders>
              <w:top w:val="single" w:sz="4" w:space="0" w:color="auto"/>
            </w:tcBorders>
            <w:shd w:val="clear" w:color="auto" w:fill="auto"/>
            <w:noWrap/>
            <w:tcMar>
              <w:top w:w="0" w:type="dxa"/>
              <w:left w:w="51" w:type="dxa"/>
              <w:bottom w:w="0" w:type="dxa"/>
              <w:right w:w="51" w:type="dxa"/>
            </w:tcMar>
            <w:vAlign w:val="center"/>
          </w:tcPr>
          <w:p w14:paraId="42D0F349" w14:textId="77777777" w:rsidR="004B1A77" w:rsidRPr="008718E6" w:rsidRDefault="004B1A77" w:rsidP="00795948">
            <w:pPr>
              <w:spacing w:after="34"/>
              <w:jc w:val="center"/>
              <w:rPr>
                <w:rFonts w:ascii="Times New Roman" w:hAnsi="Times New Roman"/>
                <w:i/>
                <w:color w:val="000000"/>
                <w:sz w:val="22"/>
                <w:szCs w:val="22"/>
              </w:rPr>
            </w:pPr>
          </w:p>
        </w:tc>
        <w:tc>
          <w:tcPr>
            <w:tcW w:w="342" w:type="pct"/>
            <w:tcBorders>
              <w:top w:val="single" w:sz="4" w:space="0" w:color="auto"/>
            </w:tcBorders>
            <w:shd w:val="clear" w:color="auto" w:fill="auto"/>
            <w:noWrap/>
            <w:tcMar>
              <w:top w:w="0" w:type="dxa"/>
              <w:left w:w="51" w:type="dxa"/>
              <w:bottom w:w="0" w:type="dxa"/>
              <w:right w:w="51" w:type="dxa"/>
            </w:tcMar>
            <w:vAlign w:val="center"/>
          </w:tcPr>
          <w:p w14:paraId="6512049E" w14:textId="77777777" w:rsidR="004B1A77" w:rsidRPr="008718E6" w:rsidRDefault="004B1A77" w:rsidP="00795948">
            <w:pPr>
              <w:spacing w:after="34"/>
              <w:jc w:val="center"/>
              <w:rPr>
                <w:rFonts w:ascii="Times New Roman" w:hAnsi="Times New Roman"/>
                <w:i/>
                <w:color w:val="000000"/>
                <w:sz w:val="22"/>
                <w:szCs w:val="22"/>
              </w:rPr>
            </w:pPr>
          </w:p>
        </w:tc>
        <w:tc>
          <w:tcPr>
            <w:tcW w:w="342" w:type="pct"/>
            <w:tcBorders>
              <w:top w:val="single" w:sz="4" w:space="0" w:color="auto"/>
            </w:tcBorders>
            <w:shd w:val="clear" w:color="auto" w:fill="auto"/>
            <w:noWrap/>
            <w:tcMar>
              <w:top w:w="0" w:type="dxa"/>
              <w:left w:w="51" w:type="dxa"/>
              <w:bottom w:w="0" w:type="dxa"/>
              <w:right w:w="51" w:type="dxa"/>
            </w:tcMar>
            <w:vAlign w:val="center"/>
          </w:tcPr>
          <w:p w14:paraId="7F481E13" w14:textId="77777777" w:rsidR="004B1A77" w:rsidRPr="008718E6" w:rsidRDefault="004B1A77" w:rsidP="00795948">
            <w:pPr>
              <w:spacing w:after="34"/>
              <w:jc w:val="center"/>
              <w:rPr>
                <w:rFonts w:ascii="Times New Roman" w:hAnsi="Times New Roman"/>
                <w:i/>
                <w:color w:val="000000"/>
                <w:sz w:val="22"/>
                <w:szCs w:val="22"/>
              </w:rPr>
            </w:pPr>
          </w:p>
        </w:tc>
        <w:tc>
          <w:tcPr>
            <w:tcW w:w="328" w:type="pct"/>
            <w:tcBorders>
              <w:top w:val="single" w:sz="4" w:space="0" w:color="auto"/>
            </w:tcBorders>
            <w:vAlign w:val="center"/>
          </w:tcPr>
          <w:p w14:paraId="0CB6C8B3" w14:textId="77777777" w:rsidR="004B1A77" w:rsidRPr="008718E6" w:rsidRDefault="004B1A77" w:rsidP="00795948">
            <w:pPr>
              <w:spacing w:after="34"/>
              <w:jc w:val="center"/>
              <w:rPr>
                <w:rFonts w:ascii="Times New Roman" w:hAnsi="Times New Roman"/>
                <w:i/>
                <w:color w:val="000000"/>
                <w:sz w:val="22"/>
                <w:szCs w:val="22"/>
              </w:rPr>
            </w:pPr>
          </w:p>
        </w:tc>
        <w:tc>
          <w:tcPr>
            <w:tcW w:w="328" w:type="pct"/>
            <w:tcBorders>
              <w:top w:val="single" w:sz="4" w:space="0" w:color="auto"/>
            </w:tcBorders>
            <w:vAlign w:val="center"/>
          </w:tcPr>
          <w:p w14:paraId="5B3E3000" w14:textId="77777777" w:rsidR="004B1A77" w:rsidRPr="008718E6" w:rsidRDefault="004B1A77" w:rsidP="00795948">
            <w:pPr>
              <w:spacing w:after="34"/>
              <w:jc w:val="center"/>
              <w:rPr>
                <w:rFonts w:ascii="Times New Roman" w:hAnsi="Times New Roman"/>
                <w:i/>
                <w:color w:val="000000"/>
                <w:sz w:val="22"/>
                <w:szCs w:val="22"/>
              </w:rPr>
            </w:pPr>
          </w:p>
        </w:tc>
        <w:tc>
          <w:tcPr>
            <w:tcW w:w="797" w:type="pct"/>
            <w:tcBorders>
              <w:top w:val="single" w:sz="4" w:space="0" w:color="auto"/>
            </w:tcBorders>
            <w:shd w:val="clear" w:color="auto" w:fill="auto"/>
            <w:noWrap/>
            <w:vAlign w:val="bottom"/>
          </w:tcPr>
          <w:p w14:paraId="7BC459F2" w14:textId="77777777" w:rsidR="004B1A77" w:rsidRPr="008718E6" w:rsidRDefault="004B1A77" w:rsidP="00795948">
            <w:pPr>
              <w:spacing w:after="34"/>
              <w:ind w:right="-15"/>
              <w:jc w:val="center"/>
              <w:rPr>
                <w:rFonts w:ascii="Times New Roman" w:hAnsi="Times New Roman"/>
                <w:i/>
                <w:color w:val="000000"/>
                <w:sz w:val="22"/>
                <w:szCs w:val="22"/>
              </w:rPr>
            </w:pPr>
          </w:p>
        </w:tc>
      </w:tr>
      <w:tr w:rsidR="004B1A77" w:rsidRPr="008718E6" w14:paraId="048C1234"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5023040"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Årslønnsvekst</w:t>
            </w:r>
          </w:p>
        </w:tc>
        <w:tc>
          <w:tcPr>
            <w:tcW w:w="342" w:type="pct"/>
            <w:shd w:val="clear" w:color="auto" w:fill="auto"/>
            <w:noWrap/>
            <w:tcMar>
              <w:top w:w="0" w:type="dxa"/>
              <w:left w:w="51" w:type="dxa"/>
              <w:bottom w:w="0" w:type="dxa"/>
              <w:right w:w="51" w:type="dxa"/>
            </w:tcMar>
            <w:vAlign w:val="center"/>
          </w:tcPr>
          <w:p w14:paraId="5001E044"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3,5 </w:t>
            </w:r>
          </w:p>
        </w:tc>
        <w:tc>
          <w:tcPr>
            <w:tcW w:w="342" w:type="pct"/>
            <w:shd w:val="clear" w:color="auto" w:fill="auto"/>
            <w:noWrap/>
            <w:tcMar>
              <w:top w:w="0" w:type="dxa"/>
              <w:left w:w="51" w:type="dxa"/>
              <w:bottom w:w="0" w:type="dxa"/>
              <w:right w:w="51" w:type="dxa"/>
            </w:tcMar>
            <w:vAlign w:val="center"/>
          </w:tcPr>
          <w:p w14:paraId="73056272"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4,1</w:t>
            </w:r>
          </w:p>
        </w:tc>
        <w:tc>
          <w:tcPr>
            <w:tcW w:w="342" w:type="pct"/>
            <w:shd w:val="clear" w:color="auto" w:fill="auto"/>
            <w:noWrap/>
            <w:tcMar>
              <w:top w:w="0" w:type="dxa"/>
              <w:left w:w="51" w:type="dxa"/>
              <w:bottom w:w="0" w:type="dxa"/>
              <w:right w:w="51" w:type="dxa"/>
            </w:tcMar>
            <w:vAlign w:val="center"/>
          </w:tcPr>
          <w:p w14:paraId="309EB623"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4,2</w:t>
            </w:r>
          </w:p>
        </w:tc>
        <w:tc>
          <w:tcPr>
            <w:tcW w:w="328" w:type="pct"/>
            <w:vAlign w:val="center"/>
          </w:tcPr>
          <w:p w14:paraId="53BE26F8"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3</w:t>
            </w:r>
            <w:r>
              <w:rPr>
                <w:rFonts w:ascii="Times New Roman" w:hAnsi="Times New Roman"/>
                <w:color w:val="000000"/>
                <w:sz w:val="22"/>
                <w:szCs w:val="22"/>
              </w:rPr>
              <w:t>,6</w:t>
            </w:r>
            <w:r w:rsidRPr="00E27050">
              <w:rPr>
                <w:rFonts w:ascii="Times New Roman" w:hAnsi="Times New Roman"/>
                <w:color w:val="000000"/>
                <w:sz w:val="22"/>
                <w:szCs w:val="22"/>
              </w:rPr>
              <w:t xml:space="preserve"> </w:t>
            </w:r>
          </w:p>
        </w:tc>
        <w:tc>
          <w:tcPr>
            <w:tcW w:w="328" w:type="pct"/>
            <w:vAlign w:val="center"/>
          </w:tcPr>
          <w:p w14:paraId="40E9D228" w14:textId="77777777" w:rsidR="004B1A77" w:rsidRPr="008718E6" w:rsidRDefault="004B1A77" w:rsidP="0051408B">
            <w:pPr>
              <w:spacing w:after="34"/>
              <w:jc w:val="center"/>
              <w:rPr>
                <w:rFonts w:ascii="Times New Roman" w:hAnsi="Times New Roman"/>
                <w:color w:val="000000"/>
                <w:sz w:val="22"/>
                <w:szCs w:val="22"/>
              </w:rPr>
            </w:pPr>
            <w:r>
              <w:rPr>
                <w:rFonts w:ascii="Times New Roman" w:hAnsi="Times New Roman"/>
                <w:color w:val="000000"/>
                <w:sz w:val="22"/>
                <w:szCs w:val="22"/>
              </w:rPr>
              <w:t>3</w:t>
            </w:r>
            <w:r w:rsidR="0051408B">
              <w:rPr>
                <w:rFonts w:ascii="Times New Roman" w:hAnsi="Times New Roman"/>
                <w:color w:val="000000"/>
                <w:sz w:val="22"/>
                <w:szCs w:val="22"/>
              </w:rPr>
              <w:t>,3</w:t>
            </w:r>
            <w:r>
              <w:rPr>
                <w:rFonts w:ascii="Times New Roman" w:hAnsi="Times New Roman"/>
                <w:color w:val="000000"/>
                <w:sz w:val="22"/>
                <w:szCs w:val="22"/>
              </w:rPr>
              <w:t xml:space="preserve"> </w:t>
            </w:r>
          </w:p>
        </w:tc>
        <w:tc>
          <w:tcPr>
            <w:tcW w:w="797" w:type="pct"/>
            <w:shd w:val="clear" w:color="auto" w:fill="auto"/>
            <w:noWrap/>
            <w:vAlign w:val="bottom"/>
          </w:tcPr>
          <w:p w14:paraId="65302F1B"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519B97A5"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0CA2FDE1"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Herav:</w:t>
            </w:r>
          </w:p>
        </w:tc>
        <w:tc>
          <w:tcPr>
            <w:tcW w:w="342" w:type="pct"/>
            <w:shd w:val="clear" w:color="auto" w:fill="auto"/>
            <w:noWrap/>
            <w:tcMar>
              <w:top w:w="0" w:type="dxa"/>
              <w:left w:w="51" w:type="dxa"/>
              <w:bottom w:w="0" w:type="dxa"/>
              <w:right w:w="51" w:type="dxa"/>
            </w:tcMar>
            <w:vAlign w:val="center"/>
          </w:tcPr>
          <w:p w14:paraId="63F261ED"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noWrap/>
            <w:tcMar>
              <w:top w:w="0" w:type="dxa"/>
              <w:left w:w="51" w:type="dxa"/>
              <w:bottom w:w="0" w:type="dxa"/>
              <w:right w:w="51" w:type="dxa"/>
            </w:tcMar>
            <w:vAlign w:val="center"/>
          </w:tcPr>
          <w:p w14:paraId="64A39BFC" w14:textId="77777777" w:rsidR="004B1A77" w:rsidRPr="008718E6" w:rsidRDefault="004B1A77" w:rsidP="00795948">
            <w:pPr>
              <w:spacing w:after="34"/>
              <w:jc w:val="center"/>
              <w:rPr>
                <w:rFonts w:ascii="Times New Roman" w:hAnsi="Times New Roman"/>
                <w:color w:val="000000"/>
                <w:sz w:val="22"/>
                <w:szCs w:val="22"/>
              </w:rPr>
            </w:pPr>
          </w:p>
        </w:tc>
        <w:tc>
          <w:tcPr>
            <w:tcW w:w="342" w:type="pct"/>
            <w:shd w:val="clear" w:color="auto" w:fill="auto"/>
            <w:noWrap/>
            <w:tcMar>
              <w:top w:w="0" w:type="dxa"/>
              <w:left w:w="51" w:type="dxa"/>
              <w:bottom w:w="0" w:type="dxa"/>
              <w:right w:w="51" w:type="dxa"/>
            </w:tcMar>
            <w:vAlign w:val="center"/>
          </w:tcPr>
          <w:p w14:paraId="73A3F90C" w14:textId="77777777" w:rsidR="004B1A77" w:rsidRPr="008718E6" w:rsidRDefault="004B1A77" w:rsidP="00795948">
            <w:pPr>
              <w:spacing w:after="34"/>
              <w:jc w:val="center"/>
              <w:rPr>
                <w:rFonts w:ascii="Times New Roman" w:hAnsi="Times New Roman"/>
                <w:color w:val="000000"/>
                <w:sz w:val="22"/>
                <w:szCs w:val="22"/>
              </w:rPr>
            </w:pPr>
          </w:p>
        </w:tc>
        <w:tc>
          <w:tcPr>
            <w:tcW w:w="328" w:type="pct"/>
            <w:vAlign w:val="center"/>
          </w:tcPr>
          <w:p w14:paraId="74962DC7" w14:textId="77777777" w:rsidR="004B1A77" w:rsidRPr="008718E6" w:rsidRDefault="004B1A77" w:rsidP="00795948">
            <w:pPr>
              <w:spacing w:after="34"/>
              <w:jc w:val="center"/>
              <w:rPr>
                <w:rFonts w:ascii="Times New Roman" w:hAnsi="Times New Roman"/>
                <w:color w:val="000000"/>
                <w:sz w:val="22"/>
                <w:szCs w:val="22"/>
              </w:rPr>
            </w:pPr>
          </w:p>
        </w:tc>
        <w:tc>
          <w:tcPr>
            <w:tcW w:w="328" w:type="pct"/>
            <w:vAlign w:val="center"/>
          </w:tcPr>
          <w:p w14:paraId="40672534" w14:textId="77777777" w:rsidR="004B1A77" w:rsidRPr="008718E6" w:rsidRDefault="004B1A77" w:rsidP="00795948">
            <w:pPr>
              <w:spacing w:after="34"/>
              <w:jc w:val="center"/>
              <w:rPr>
                <w:rFonts w:ascii="Times New Roman" w:hAnsi="Times New Roman"/>
                <w:color w:val="000000"/>
                <w:sz w:val="22"/>
                <w:szCs w:val="22"/>
              </w:rPr>
            </w:pPr>
          </w:p>
        </w:tc>
        <w:tc>
          <w:tcPr>
            <w:tcW w:w="797" w:type="pct"/>
            <w:shd w:val="clear" w:color="auto" w:fill="auto"/>
            <w:noWrap/>
            <w:vAlign w:val="bottom"/>
          </w:tcPr>
          <w:p w14:paraId="500B03BF"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06EEB0C8"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591565F0"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Overheng</w:t>
            </w:r>
          </w:p>
        </w:tc>
        <w:tc>
          <w:tcPr>
            <w:tcW w:w="342" w:type="pct"/>
            <w:shd w:val="clear" w:color="auto" w:fill="auto"/>
            <w:noWrap/>
            <w:tcMar>
              <w:top w:w="0" w:type="dxa"/>
              <w:left w:w="51" w:type="dxa"/>
              <w:bottom w:w="0" w:type="dxa"/>
              <w:right w:w="51" w:type="dxa"/>
            </w:tcMar>
            <w:vAlign w:val="center"/>
          </w:tcPr>
          <w:p w14:paraId="24F48F97"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0,9</w:t>
            </w:r>
          </w:p>
        </w:tc>
        <w:tc>
          <w:tcPr>
            <w:tcW w:w="342" w:type="pct"/>
            <w:shd w:val="clear" w:color="auto" w:fill="auto"/>
            <w:noWrap/>
            <w:tcMar>
              <w:top w:w="0" w:type="dxa"/>
              <w:left w:w="51" w:type="dxa"/>
              <w:bottom w:w="0" w:type="dxa"/>
              <w:right w:w="51" w:type="dxa"/>
            </w:tcMar>
            <w:vAlign w:val="center"/>
          </w:tcPr>
          <w:p w14:paraId="553560C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0,9</w:t>
            </w:r>
          </w:p>
        </w:tc>
        <w:tc>
          <w:tcPr>
            <w:tcW w:w="342" w:type="pct"/>
            <w:shd w:val="clear" w:color="auto" w:fill="auto"/>
            <w:noWrap/>
            <w:tcMar>
              <w:top w:w="0" w:type="dxa"/>
              <w:left w:w="51" w:type="dxa"/>
              <w:bottom w:w="0" w:type="dxa"/>
              <w:right w:w="51" w:type="dxa"/>
            </w:tcMar>
            <w:vAlign w:val="center"/>
          </w:tcPr>
          <w:p w14:paraId="7BCFAD94"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1,2</w:t>
            </w:r>
          </w:p>
        </w:tc>
        <w:tc>
          <w:tcPr>
            <w:tcW w:w="328" w:type="pct"/>
            <w:vAlign w:val="center"/>
          </w:tcPr>
          <w:p w14:paraId="6942F26F"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1,2</w:t>
            </w:r>
          </w:p>
        </w:tc>
        <w:tc>
          <w:tcPr>
            <w:tcW w:w="328" w:type="pct"/>
            <w:vAlign w:val="center"/>
          </w:tcPr>
          <w:p w14:paraId="485B8D47"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0,8</w:t>
            </w:r>
          </w:p>
        </w:tc>
        <w:tc>
          <w:tcPr>
            <w:tcW w:w="797" w:type="pct"/>
            <w:shd w:val="clear" w:color="auto" w:fill="auto"/>
            <w:noWrap/>
            <w:vAlign w:val="bottom"/>
          </w:tcPr>
          <w:p w14:paraId="7B47A76B"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34CD3A31" w14:textId="77777777" w:rsidTr="00D8732A">
        <w:trPr>
          <w:tblCellSpacing w:w="0" w:type="dxa"/>
        </w:trPr>
        <w:tc>
          <w:tcPr>
            <w:tcW w:w="2522" w:type="pct"/>
            <w:shd w:val="clear" w:color="auto" w:fill="auto"/>
            <w:noWrap/>
            <w:tcMar>
              <w:top w:w="0" w:type="dxa"/>
              <w:left w:w="51" w:type="dxa"/>
              <w:bottom w:w="0" w:type="dxa"/>
              <w:right w:w="51" w:type="dxa"/>
            </w:tcMar>
            <w:vAlign w:val="bottom"/>
          </w:tcPr>
          <w:p w14:paraId="0E009458"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Tarifftillegg</w:t>
            </w:r>
          </w:p>
        </w:tc>
        <w:tc>
          <w:tcPr>
            <w:tcW w:w="342" w:type="pct"/>
            <w:shd w:val="clear" w:color="auto" w:fill="auto"/>
            <w:noWrap/>
            <w:tcMar>
              <w:top w:w="0" w:type="dxa"/>
              <w:left w:w="51" w:type="dxa"/>
              <w:bottom w:w="0" w:type="dxa"/>
              <w:right w:w="51" w:type="dxa"/>
            </w:tcMar>
            <w:vAlign w:val="center"/>
          </w:tcPr>
          <w:p w14:paraId="4747A379"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2,4 </w:t>
            </w:r>
          </w:p>
        </w:tc>
        <w:tc>
          <w:tcPr>
            <w:tcW w:w="342" w:type="pct"/>
            <w:shd w:val="clear" w:color="auto" w:fill="auto"/>
            <w:noWrap/>
            <w:tcMar>
              <w:top w:w="0" w:type="dxa"/>
              <w:left w:w="51" w:type="dxa"/>
              <w:bottom w:w="0" w:type="dxa"/>
              <w:right w:w="51" w:type="dxa"/>
            </w:tcMar>
            <w:vAlign w:val="center"/>
          </w:tcPr>
          <w:p w14:paraId="225738F1"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2,8</w:t>
            </w:r>
          </w:p>
        </w:tc>
        <w:tc>
          <w:tcPr>
            <w:tcW w:w="342" w:type="pct"/>
            <w:shd w:val="clear" w:color="auto" w:fill="auto"/>
            <w:noWrap/>
            <w:tcMar>
              <w:top w:w="0" w:type="dxa"/>
              <w:left w:w="51" w:type="dxa"/>
              <w:bottom w:w="0" w:type="dxa"/>
              <w:right w:w="51" w:type="dxa"/>
            </w:tcMar>
            <w:vAlign w:val="center"/>
          </w:tcPr>
          <w:p w14:paraId="0730432E"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2,8</w:t>
            </w:r>
          </w:p>
        </w:tc>
        <w:tc>
          <w:tcPr>
            <w:tcW w:w="328" w:type="pct"/>
            <w:vAlign w:val="center"/>
          </w:tcPr>
          <w:p w14:paraId="618DF614"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2</w:t>
            </w:r>
            <w:r>
              <w:rPr>
                <w:rFonts w:ascii="Times New Roman" w:hAnsi="Times New Roman"/>
                <w:color w:val="000000"/>
                <w:sz w:val="22"/>
                <w:szCs w:val="22"/>
              </w:rPr>
              <w:t>,2</w:t>
            </w:r>
          </w:p>
        </w:tc>
        <w:tc>
          <w:tcPr>
            <w:tcW w:w="328" w:type="pct"/>
            <w:vAlign w:val="center"/>
          </w:tcPr>
          <w:p w14:paraId="1E264A37" w14:textId="77777777" w:rsidR="004B1A77" w:rsidRPr="008718E6" w:rsidRDefault="004B1A77" w:rsidP="0051408B">
            <w:pPr>
              <w:spacing w:after="34"/>
              <w:jc w:val="center"/>
              <w:rPr>
                <w:rFonts w:ascii="Times New Roman" w:hAnsi="Times New Roman"/>
                <w:color w:val="000000"/>
                <w:sz w:val="22"/>
                <w:szCs w:val="22"/>
              </w:rPr>
            </w:pPr>
            <w:r>
              <w:rPr>
                <w:rFonts w:ascii="Times New Roman" w:hAnsi="Times New Roman"/>
                <w:color w:val="000000"/>
                <w:sz w:val="22"/>
                <w:szCs w:val="22"/>
              </w:rPr>
              <w:t>2</w:t>
            </w:r>
            <w:r w:rsidR="0051408B">
              <w:rPr>
                <w:rFonts w:ascii="Times New Roman" w:hAnsi="Times New Roman"/>
                <w:color w:val="000000"/>
                <w:sz w:val="22"/>
                <w:szCs w:val="22"/>
              </w:rPr>
              <w:t>,4</w:t>
            </w:r>
            <w:r>
              <w:rPr>
                <w:rFonts w:ascii="Times New Roman" w:hAnsi="Times New Roman"/>
                <w:color w:val="000000"/>
                <w:sz w:val="22"/>
                <w:szCs w:val="22"/>
              </w:rPr>
              <w:t xml:space="preserve"> </w:t>
            </w:r>
          </w:p>
        </w:tc>
        <w:tc>
          <w:tcPr>
            <w:tcW w:w="797" w:type="pct"/>
            <w:shd w:val="clear" w:color="auto" w:fill="auto"/>
            <w:noWrap/>
            <w:vAlign w:val="bottom"/>
          </w:tcPr>
          <w:p w14:paraId="3DF9D781" w14:textId="77777777" w:rsidR="004B1A77" w:rsidRPr="008718E6" w:rsidRDefault="004B1A77" w:rsidP="00795948">
            <w:pPr>
              <w:spacing w:after="34"/>
              <w:ind w:right="-15"/>
              <w:jc w:val="center"/>
              <w:rPr>
                <w:rFonts w:ascii="Times New Roman" w:hAnsi="Times New Roman"/>
                <w:color w:val="000000"/>
                <w:sz w:val="22"/>
                <w:szCs w:val="22"/>
              </w:rPr>
            </w:pPr>
          </w:p>
        </w:tc>
      </w:tr>
      <w:tr w:rsidR="004B1A77" w:rsidRPr="008718E6" w14:paraId="11CC2E7B" w14:textId="77777777" w:rsidTr="00E64363">
        <w:trPr>
          <w:tblCellSpacing w:w="0" w:type="dxa"/>
        </w:trPr>
        <w:tc>
          <w:tcPr>
            <w:tcW w:w="2522" w:type="pct"/>
            <w:tcBorders>
              <w:bottom w:val="single" w:sz="4" w:space="0" w:color="auto"/>
            </w:tcBorders>
            <w:shd w:val="clear" w:color="auto" w:fill="auto"/>
            <w:noWrap/>
            <w:tcMar>
              <w:top w:w="0" w:type="dxa"/>
              <w:left w:w="51" w:type="dxa"/>
              <w:bottom w:w="0" w:type="dxa"/>
              <w:right w:w="51" w:type="dxa"/>
            </w:tcMar>
            <w:vAlign w:val="bottom"/>
          </w:tcPr>
          <w:p w14:paraId="403E4AD5" w14:textId="77777777" w:rsidR="004B1A77" w:rsidRPr="008718E6" w:rsidRDefault="004B1A77" w:rsidP="00795948">
            <w:pPr>
              <w:spacing w:after="34"/>
              <w:rPr>
                <w:rFonts w:ascii="Times New Roman" w:hAnsi="Times New Roman"/>
                <w:color w:val="000000"/>
                <w:sz w:val="22"/>
                <w:szCs w:val="22"/>
              </w:rPr>
            </w:pPr>
            <w:r w:rsidRPr="00E27050">
              <w:rPr>
                <w:rFonts w:ascii="Times New Roman" w:hAnsi="Times New Roman"/>
                <w:color w:val="000000"/>
                <w:sz w:val="22"/>
                <w:szCs w:val="22"/>
              </w:rPr>
              <w:t>- Lønnsglidning</w:t>
            </w:r>
          </w:p>
        </w:tc>
        <w:tc>
          <w:tcPr>
            <w:tcW w:w="342" w:type="pct"/>
            <w:tcBorders>
              <w:bottom w:val="single" w:sz="4" w:space="0" w:color="auto"/>
            </w:tcBorders>
            <w:shd w:val="clear" w:color="auto" w:fill="auto"/>
            <w:noWrap/>
            <w:tcMar>
              <w:top w:w="0" w:type="dxa"/>
              <w:left w:w="51" w:type="dxa"/>
              <w:bottom w:w="0" w:type="dxa"/>
              <w:right w:w="51" w:type="dxa"/>
            </w:tcMar>
            <w:vAlign w:val="center"/>
          </w:tcPr>
          <w:p w14:paraId="30C9AFD6"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 xml:space="preserve">0,2 </w:t>
            </w:r>
          </w:p>
        </w:tc>
        <w:tc>
          <w:tcPr>
            <w:tcW w:w="342" w:type="pct"/>
            <w:tcBorders>
              <w:bottom w:val="single" w:sz="4" w:space="0" w:color="auto"/>
            </w:tcBorders>
            <w:shd w:val="clear" w:color="auto" w:fill="auto"/>
            <w:noWrap/>
            <w:tcMar>
              <w:top w:w="0" w:type="dxa"/>
              <w:left w:w="51" w:type="dxa"/>
              <w:bottom w:w="0" w:type="dxa"/>
              <w:right w:w="51" w:type="dxa"/>
            </w:tcMar>
            <w:vAlign w:val="center"/>
          </w:tcPr>
          <w:p w14:paraId="446B7225"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0,4</w:t>
            </w:r>
          </w:p>
        </w:tc>
        <w:tc>
          <w:tcPr>
            <w:tcW w:w="342" w:type="pct"/>
            <w:tcBorders>
              <w:bottom w:val="single" w:sz="4" w:space="0" w:color="auto"/>
            </w:tcBorders>
            <w:shd w:val="clear" w:color="auto" w:fill="auto"/>
            <w:noWrap/>
            <w:tcMar>
              <w:top w:w="0" w:type="dxa"/>
              <w:left w:w="51" w:type="dxa"/>
              <w:bottom w:w="0" w:type="dxa"/>
              <w:right w:w="51" w:type="dxa"/>
            </w:tcMar>
            <w:vAlign w:val="center"/>
          </w:tcPr>
          <w:p w14:paraId="6906C144" w14:textId="77777777" w:rsidR="004B1A77" w:rsidRPr="008718E6" w:rsidRDefault="004B1A77" w:rsidP="00795948">
            <w:pPr>
              <w:spacing w:after="34"/>
              <w:jc w:val="center"/>
              <w:rPr>
                <w:rFonts w:ascii="Times New Roman" w:hAnsi="Times New Roman"/>
                <w:color w:val="000000"/>
                <w:sz w:val="22"/>
                <w:szCs w:val="22"/>
              </w:rPr>
            </w:pPr>
            <w:r w:rsidRPr="00E27050">
              <w:rPr>
                <w:rFonts w:ascii="Times New Roman" w:hAnsi="Times New Roman"/>
                <w:color w:val="000000"/>
                <w:sz w:val="22"/>
                <w:szCs w:val="22"/>
              </w:rPr>
              <w:t>0,2</w:t>
            </w:r>
          </w:p>
        </w:tc>
        <w:tc>
          <w:tcPr>
            <w:tcW w:w="328" w:type="pct"/>
            <w:tcBorders>
              <w:bottom w:val="single" w:sz="4" w:space="0" w:color="auto"/>
            </w:tcBorders>
            <w:vAlign w:val="center"/>
          </w:tcPr>
          <w:p w14:paraId="43314703" w14:textId="77777777" w:rsidR="004B1A77" w:rsidRPr="008718E6" w:rsidRDefault="004B1A77" w:rsidP="00795948">
            <w:pPr>
              <w:spacing w:after="34"/>
              <w:jc w:val="center"/>
              <w:rPr>
                <w:rFonts w:ascii="Times New Roman" w:hAnsi="Times New Roman"/>
                <w:color w:val="000000"/>
                <w:sz w:val="22"/>
                <w:szCs w:val="22"/>
              </w:rPr>
            </w:pPr>
            <w:r>
              <w:rPr>
                <w:rFonts w:ascii="Times New Roman" w:hAnsi="Times New Roman"/>
                <w:color w:val="000000"/>
                <w:sz w:val="22"/>
                <w:szCs w:val="22"/>
              </w:rPr>
              <w:t>0,2</w:t>
            </w:r>
            <w:r w:rsidRPr="00E27050">
              <w:rPr>
                <w:rFonts w:ascii="Times New Roman" w:hAnsi="Times New Roman"/>
                <w:color w:val="000000"/>
                <w:sz w:val="22"/>
                <w:szCs w:val="22"/>
              </w:rPr>
              <w:t xml:space="preserve"> </w:t>
            </w:r>
          </w:p>
        </w:tc>
        <w:tc>
          <w:tcPr>
            <w:tcW w:w="328" w:type="pct"/>
            <w:tcBorders>
              <w:bottom w:val="single" w:sz="4" w:space="0" w:color="auto"/>
            </w:tcBorders>
            <w:vAlign w:val="center"/>
          </w:tcPr>
          <w:p w14:paraId="547E1ADA" w14:textId="77777777" w:rsidR="004B1A77" w:rsidRPr="008718E6" w:rsidRDefault="0051408B" w:rsidP="00795948">
            <w:pPr>
              <w:spacing w:after="34"/>
              <w:jc w:val="center"/>
              <w:rPr>
                <w:rFonts w:ascii="Times New Roman" w:hAnsi="Times New Roman"/>
                <w:color w:val="000000"/>
                <w:sz w:val="22"/>
                <w:szCs w:val="22"/>
              </w:rPr>
            </w:pPr>
            <w:r>
              <w:rPr>
                <w:rFonts w:ascii="Times New Roman" w:hAnsi="Times New Roman"/>
                <w:color w:val="000000"/>
                <w:sz w:val="22"/>
                <w:szCs w:val="22"/>
              </w:rPr>
              <w:t xml:space="preserve">0,1 </w:t>
            </w:r>
          </w:p>
        </w:tc>
        <w:tc>
          <w:tcPr>
            <w:tcW w:w="797" w:type="pct"/>
            <w:tcBorders>
              <w:bottom w:val="single" w:sz="4" w:space="0" w:color="auto"/>
            </w:tcBorders>
            <w:shd w:val="clear" w:color="auto" w:fill="auto"/>
            <w:noWrap/>
            <w:vAlign w:val="bottom"/>
          </w:tcPr>
          <w:p w14:paraId="04D8F218" w14:textId="77777777" w:rsidR="004B1A77" w:rsidRPr="008718E6" w:rsidRDefault="004B1A77" w:rsidP="00795948">
            <w:pPr>
              <w:spacing w:after="34"/>
              <w:ind w:right="-15"/>
              <w:jc w:val="center"/>
              <w:rPr>
                <w:rFonts w:ascii="Times New Roman" w:hAnsi="Times New Roman"/>
                <w:color w:val="000000"/>
                <w:sz w:val="22"/>
                <w:szCs w:val="22"/>
              </w:rPr>
            </w:pPr>
            <w:r>
              <w:rPr>
                <w:rFonts w:ascii="Times New Roman" w:hAnsi="Times New Roman"/>
                <w:color w:val="000000"/>
                <w:sz w:val="22"/>
                <w:szCs w:val="22"/>
              </w:rPr>
              <w:t>0,2</w:t>
            </w:r>
          </w:p>
        </w:tc>
      </w:tr>
    </w:tbl>
    <w:p w14:paraId="611FDB28" w14:textId="77777777" w:rsidR="004B1A77" w:rsidRDefault="004B1A77" w:rsidP="00EB23A2">
      <w:pPr>
        <w:pStyle w:val="tabell-noter"/>
        <w:numPr>
          <w:ilvl w:val="0"/>
          <w:numId w:val="27"/>
        </w:numPr>
        <w:spacing w:after="0"/>
        <w:ind w:left="568" w:hanging="284"/>
      </w:pPr>
      <w:r w:rsidRPr="00D4627D">
        <w:t xml:space="preserve">Pga. strukturendringer </w:t>
      </w:r>
      <w:r w:rsidR="003A64B4">
        <w:t xml:space="preserve">eller avrunding </w:t>
      </w:r>
      <w:r w:rsidRPr="00D4627D">
        <w:t xml:space="preserve">vil ikke alltid summen av tarifftillegg, overheng og glidning summere seg til det tallet som er oppgitt som samlet årslønnsvekst. </w:t>
      </w:r>
    </w:p>
    <w:p w14:paraId="1E276965" w14:textId="62B83EAB" w:rsidR="004B1A77" w:rsidRPr="002E611A" w:rsidRDefault="004B1A77" w:rsidP="00EB23A2">
      <w:pPr>
        <w:pStyle w:val="tabell-noter"/>
        <w:numPr>
          <w:ilvl w:val="0"/>
          <w:numId w:val="27"/>
        </w:numPr>
        <w:spacing w:after="0"/>
        <w:ind w:left="568" w:hanging="284"/>
      </w:pPr>
      <w:r w:rsidRPr="002E611A">
        <w:t>Kommune</w:t>
      </w:r>
      <w:r w:rsidR="006301E1">
        <w:t>ansatte</w:t>
      </w:r>
      <w:r w:rsidRPr="002E611A">
        <w:t xml:space="preserve"> omfatter også undervisningspersonell. For ansatte i konflikt i 2014 ble virkningstidspunkter </w:t>
      </w:r>
      <w:r>
        <w:t>forskjøvet</w:t>
      </w:r>
      <w:r w:rsidRPr="002E611A">
        <w:t xml:space="preserve">. Dette trakk årslønnsvekstanslaget i 2014 ned med </w:t>
      </w:r>
      <w:r w:rsidR="00A643CB">
        <w:t>0,2</w:t>
      </w:r>
      <w:r w:rsidRPr="002E611A">
        <w:t xml:space="preserve"> prosentpoeng i hele kommunesektoren</w:t>
      </w:r>
      <w:r w:rsidR="00F462E2">
        <w:t xml:space="preserve"> og</w:t>
      </w:r>
      <w:r w:rsidRPr="002E611A">
        <w:t xml:space="preserve"> med </w:t>
      </w:r>
      <w:r w:rsidR="00F462E2">
        <w:t>0,9</w:t>
      </w:r>
      <w:r w:rsidRPr="002E611A">
        <w:t xml:space="preserve"> prosentpoeng for undervisningspersonell</w:t>
      </w:r>
      <w:r w:rsidR="00F462E2">
        <w:t>. For</w:t>
      </w:r>
      <w:r w:rsidRPr="002E611A">
        <w:t xml:space="preserve"> </w:t>
      </w:r>
      <w:r w:rsidR="00F462E2" w:rsidRPr="00B42FC6">
        <w:rPr>
          <w:rFonts w:ascii="Times New Roman" w:hAnsi="Times New Roman" w:cs="Times New Roman"/>
          <w:sz w:val="18"/>
          <w:szCs w:val="18"/>
        </w:rPr>
        <w:t>øvrige ansatte i kommunesektoren</w:t>
      </w:r>
      <w:r w:rsidR="00F462E2">
        <w:rPr>
          <w:rFonts w:ascii="Times New Roman" w:hAnsi="Times New Roman" w:cs="Times New Roman"/>
          <w:sz w:val="18"/>
          <w:szCs w:val="18"/>
        </w:rPr>
        <w:t xml:space="preserve"> ble årslønnsveksten ikke påvirket</w:t>
      </w:r>
      <w:r w:rsidR="00F462E2" w:rsidRPr="00B42FC6">
        <w:rPr>
          <w:rFonts w:ascii="Times New Roman" w:hAnsi="Times New Roman" w:cs="Times New Roman"/>
          <w:sz w:val="18"/>
          <w:szCs w:val="18"/>
        </w:rPr>
        <w:t>.</w:t>
      </w:r>
    </w:p>
    <w:p w14:paraId="690315B1" w14:textId="449F96EF" w:rsidR="004B1A77" w:rsidRPr="00D4627D" w:rsidRDefault="004B1A77" w:rsidP="00EB23A2">
      <w:pPr>
        <w:pStyle w:val="tabell-noter"/>
        <w:numPr>
          <w:ilvl w:val="0"/>
          <w:numId w:val="27"/>
        </w:numPr>
        <w:spacing w:after="0"/>
        <w:ind w:left="568" w:hanging="284"/>
      </w:pPr>
      <w:r w:rsidRPr="00D4627D">
        <w:t>Omlegging av beregningsmetode drar opp overhenget til 2010 med 0,3 prosentpoeng i forhold til tidligere beregning, jf. tabell 1.7 i NOU 2010:</w:t>
      </w:r>
      <w:r w:rsidR="006301E1">
        <w:t xml:space="preserve"> </w:t>
      </w:r>
      <w:r w:rsidRPr="00D4627D">
        <w:t>4.</w:t>
      </w:r>
    </w:p>
    <w:p w14:paraId="36640483" w14:textId="77777777" w:rsidR="004B1A77" w:rsidRDefault="004B1A77" w:rsidP="004B1A77">
      <w:pPr>
        <w:pStyle w:val="Kilde"/>
      </w:pPr>
      <w:r w:rsidRPr="00D31B4A">
        <w:t>K</w:t>
      </w:r>
      <w:r w:rsidRPr="002D674C">
        <w:t>ilde</w:t>
      </w:r>
      <w:r>
        <w:t>r</w:t>
      </w:r>
      <w:r w:rsidRPr="002D674C">
        <w:t>: Statistisk sentralbyrå, KS</w:t>
      </w:r>
      <w:r>
        <w:t>, Spekter, NHO</w:t>
      </w:r>
      <w:r w:rsidRPr="002D674C">
        <w:t xml:space="preserve"> og </w:t>
      </w:r>
      <w:r>
        <w:rPr>
          <w:szCs w:val="24"/>
        </w:rPr>
        <w:t>Kommunal- og moderniserings</w:t>
      </w:r>
      <w:r w:rsidRPr="00392AE9">
        <w:rPr>
          <w:szCs w:val="24"/>
        </w:rPr>
        <w:t>departementet</w:t>
      </w:r>
      <w:r w:rsidRPr="002D674C">
        <w:t>.</w:t>
      </w:r>
    </w:p>
    <w:p w14:paraId="360DEDEE" w14:textId="77777777" w:rsidR="004B1A77" w:rsidRPr="00895762" w:rsidRDefault="004B1A77" w:rsidP="004B1A77"/>
    <w:p w14:paraId="4F6DA338" w14:textId="77777777" w:rsidR="004B1A77" w:rsidRPr="0054791E" w:rsidRDefault="004B1A77" w:rsidP="004B1A77">
      <w:pPr>
        <w:pStyle w:val="Overskrift2"/>
      </w:pPr>
      <w:bookmarkStart w:id="43" w:name="_Toc225769695"/>
      <w:bookmarkStart w:id="44" w:name="_Toc225769821"/>
      <w:bookmarkStart w:id="45" w:name="_Toc226010286"/>
      <w:bookmarkStart w:id="46" w:name="_Toc286073349"/>
      <w:bookmarkStart w:id="47" w:name="_Toc286074003"/>
      <w:bookmarkStart w:id="48" w:name="_Toc286074993"/>
      <w:bookmarkStart w:id="49" w:name="_Toc286075242"/>
      <w:bookmarkStart w:id="50" w:name="_Toc286076961"/>
      <w:bookmarkStart w:id="51" w:name="_Toc320820659"/>
      <w:bookmarkStart w:id="52" w:name="_Toc351913428"/>
      <w:bookmarkStart w:id="53" w:name="_Toc380506122"/>
      <w:bookmarkStart w:id="54" w:name="_Toc422226815"/>
      <w:r w:rsidRPr="0054791E">
        <w:lastRenderedPageBreak/>
        <w:t>Lønnsutviklingen i enkelte tariffområder</w:t>
      </w:r>
      <w:bookmarkEnd w:id="43"/>
      <w:bookmarkEnd w:id="44"/>
      <w:bookmarkEnd w:id="45"/>
      <w:bookmarkEnd w:id="46"/>
      <w:bookmarkEnd w:id="47"/>
      <w:bookmarkEnd w:id="48"/>
      <w:bookmarkEnd w:id="49"/>
      <w:bookmarkEnd w:id="50"/>
      <w:bookmarkEnd w:id="51"/>
      <w:bookmarkEnd w:id="52"/>
      <w:bookmarkEnd w:id="53"/>
      <w:bookmarkEnd w:id="54"/>
      <w:r w:rsidR="00F462E2">
        <w:t xml:space="preserve"> </w:t>
      </w:r>
    </w:p>
    <w:p w14:paraId="3C1B7A6E" w14:textId="77777777" w:rsidR="004B1A77" w:rsidRDefault="004B1A77" w:rsidP="004B1A77">
      <w:pPr>
        <w:pStyle w:val="Overskrift3"/>
      </w:pPr>
      <w:bookmarkStart w:id="55" w:name="_Toc286073350"/>
      <w:bookmarkStart w:id="56" w:name="_Toc286074994"/>
      <w:bookmarkStart w:id="57" w:name="_Toc286075243"/>
      <w:bookmarkStart w:id="58" w:name="_Toc286076962"/>
      <w:bookmarkStart w:id="59" w:name="_Toc320820660"/>
      <w:bookmarkStart w:id="60" w:name="_Toc351913429"/>
      <w:bookmarkStart w:id="61" w:name="_Toc380506123"/>
      <w:bookmarkStart w:id="62" w:name="_Toc422226816"/>
      <w:r w:rsidRPr="00BA1C84">
        <w:t>Lønnsutviklingen for industriarbeidere i LO-NHO-området.</w:t>
      </w:r>
      <w:bookmarkEnd w:id="55"/>
      <w:bookmarkEnd w:id="56"/>
      <w:bookmarkEnd w:id="57"/>
      <w:bookmarkEnd w:id="58"/>
      <w:bookmarkEnd w:id="59"/>
      <w:bookmarkEnd w:id="60"/>
      <w:bookmarkEnd w:id="61"/>
      <w:bookmarkEnd w:id="62"/>
    </w:p>
    <w:p w14:paraId="053494B2" w14:textId="77777777" w:rsidR="00202CEA" w:rsidRPr="00D9718C" w:rsidRDefault="00202CEA" w:rsidP="00202CEA">
      <w:r w:rsidRPr="00D9718C">
        <w:t xml:space="preserve">For </w:t>
      </w:r>
      <w:r w:rsidRPr="00D9718C">
        <w:rPr>
          <w:i/>
          <w:iCs/>
        </w:rPr>
        <w:t xml:space="preserve">industriarbeidere </w:t>
      </w:r>
      <w:r w:rsidRPr="00D9718C">
        <w:t>steg lønn per årsverk (både heltid og deltid) med 3</w:t>
      </w:r>
      <w:r>
        <w:t>,0</w:t>
      </w:r>
      <w:r w:rsidRPr="00D9718C">
        <w:t xml:space="preserve"> prosent fra 2013 til 2014, mot 3,5 prosent året før for NHO-bedrifter. Lønnsveksten fra 1.okt. 2013 til 1.okt. 2014 var</w:t>
      </w:r>
      <w:r>
        <w:t xml:space="preserve"> 2,8</w:t>
      </w:r>
      <w:r w:rsidRPr="00D9718C">
        <w:t xml:space="preserve"> prosent, mot 3,3 prosent i samme periode året før. </w:t>
      </w:r>
    </w:p>
    <w:p w14:paraId="4D39361F" w14:textId="77777777" w:rsidR="00202CEA" w:rsidRPr="00D9718C" w:rsidRDefault="00202CEA" w:rsidP="00202CEA">
      <w:r w:rsidRPr="00D9718C">
        <w:t xml:space="preserve">For hvert tariffområde bestemmes lønnsveksten av endring i grunnlønn eller "avtalt lønn", bonus, gjennomsnittlig skifttillegg og andre tillegg som er klassifisert som uregelmessige tillegg. Det lønnsstatistikken registrerer som utbetalt bonus for ett år, kan være opptjent året før. Fra 2013 til 2014 har utbetalte bonuser vært stabil rundt 1 prosent av lønnsnivået, mens uregelmessige tillegg har bidratt til </w:t>
      </w:r>
      <w:r>
        <w:t>0,2</w:t>
      </w:r>
      <w:r w:rsidRPr="00D9718C">
        <w:t xml:space="preserve"> prosentpoeng reduksjon av årslønnsveksten, det samme som bidraget til en økning året før. </w:t>
      </w:r>
    </w:p>
    <w:p w14:paraId="26DE2BB7" w14:textId="77777777" w:rsidR="00202CEA" w:rsidRPr="00D9718C" w:rsidRDefault="00202CEA" w:rsidP="00202CEA">
      <w:r w:rsidRPr="00D9718C">
        <w:t>Industri i LO-NHO-området omfatter bedrifter i næringsmiddelindustri, treindustri, kjemisk industri og verkstedsområdet, samt i andre mindre områder som for eksempel grafisk industri. Lønnsveksten for industriarbeidere i LO-NHO-området er basert på opplysninger om lønn og antall årsverk knyttet til om lag 40 tariffområder og disse tariffområdene er vektet sammen. Totalt utgjør industriarbeidere vel 30 prosent av alle arbeidere i NHO-bedrifter og vel 50 prosent av alle årsverkene i industri</w:t>
      </w:r>
      <w:r w:rsidR="00CB2DF4">
        <w:t>,</w:t>
      </w:r>
      <w:r w:rsidRPr="00D9718C">
        <w:t xml:space="preserve"> inklusive funksjonærene. Tarifftilleggene omfatter forbundsvise generelle tillegg, virkninger av økte minstelønnssatser, garantiordninger, skifttillegg og andre tillegg knyttet til avtaleområdene, i den grad beregning er mulig. </w:t>
      </w:r>
    </w:p>
    <w:p w14:paraId="343FC6E6" w14:textId="77777777" w:rsidR="00202CEA" w:rsidRPr="00D9718C" w:rsidRDefault="00202CEA" w:rsidP="00202CEA">
      <w:r w:rsidRPr="00D9718C">
        <w:t xml:space="preserve">Hovedoppgjøret i 2014 foregikk forbundsvist. Tilleggene ble gitt fra ulike tidspunkter, men de fleste tarifftillegg har virkning fra april og mai, mens lokale tillegg gjerne kommer noe senere. Det er tatt hensyn til dette ved beregning av årslønn. </w:t>
      </w:r>
    </w:p>
    <w:p w14:paraId="0DBE40F8" w14:textId="77777777" w:rsidR="00202CEA" w:rsidRPr="00D9718C" w:rsidRDefault="00202CEA" w:rsidP="00202CEA">
      <w:r w:rsidRPr="00D9718C">
        <w:t xml:space="preserve">Gjennomsnittlig avtalte tarifftillegg i de forbundsvise forhandlingene ga en nivåøkning i lønn på i gjennomsnitt 1,0 prosent i 2014. Tar man hensyn til ulike virkningstidspunkt over året, bidro tarifftilleggene med 0,7 prosentpoeng til årslønnsveksten for industriarbeidere fra 2013 til 2014. Sammen med lønnsoverhenget fra 2013 på 1,2 prosent, ble samlet årslønnsvekst </w:t>
      </w:r>
      <w:r>
        <w:t xml:space="preserve">1,9 prosentpoeng </w:t>
      </w:r>
      <w:r w:rsidRPr="00D9718C">
        <w:t xml:space="preserve">fra 2013 til 2014 før lønnsglidning. </w:t>
      </w:r>
      <w:r>
        <w:t xml:space="preserve"> L</w:t>
      </w:r>
      <w:r w:rsidRPr="00D9718C">
        <w:t>ønnsglidningens bidrag til lønnsveksten fra 2013 til 2014 var 1</w:t>
      </w:r>
      <w:r>
        <w:t>,1</w:t>
      </w:r>
      <w:r w:rsidRPr="00D9718C">
        <w:t xml:space="preserve"> prosentpoeng, mot 1,</w:t>
      </w:r>
      <w:r>
        <w:t>9</w:t>
      </w:r>
      <w:r w:rsidRPr="00D9718C">
        <w:t xml:space="preserve"> prosentpoeng året før. Over halvparten av nedgangen i bidraget fra lønnsglidningen for industriarbeidere, kan tilskrives reduksjon i uregelmessige tillegg, mens det var en oppgang året før. </w:t>
      </w:r>
    </w:p>
    <w:p w14:paraId="56CF34A5" w14:textId="77777777" w:rsidR="00202CEA" w:rsidRPr="00D9718C" w:rsidRDefault="00202CEA" w:rsidP="00202CEA">
      <w:r w:rsidRPr="00D9718C">
        <w:t xml:space="preserve">Lønnsoverhenget for industriarbeidere inn i 2015 er </w:t>
      </w:r>
      <w:r>
        <w:t xml:space="preserve">beregnet til </w:t>
      </w:r>
      <w:r w:rsidRPr="00D9718C">
        <w:t>1</w:t>
      </w:r>
      <w:r>
        <w:t>,0</w:t>
      </w:r>
      <w:r w:rsidRPr="00D9718C">
        <w:t xml:space="preserve"> prosent. </w:t>
      </w:r>
    </w:p>
    <w:p w14:paraId="662393E0" w14:textId="5638B37E" w:rsidR="00202CEA" w:rsidRPr="00D9718C" w:rsidRDefault="00202CEA" w:rsidP="00202CEA">
      <w:r w:rsidRPr="00D9718C">
        <w:t>Fellesforbundet</w:t>
      </w:r>
      <w:r w:rsidR="00A37D3C">
        <w:t xml:space="preserve"> </w:t>
      </w:r>
      <w:r w:rsidRPr="00D9718C">
        <w:t>(LO) og Norsk Industri</w:t>
      </w:r>
      <w:r w:rsidR="00A37D3C">
        <w:t xml:space="preserve"> </w:t>
      </w:r>
      <w:r w:rsidRPr="00D9718C">
        <w:t>(NHO) forhandlet Industrioverenskomsten (omfatter de tidligere Verksted-, Teko-, Teknologi og data- og Nexans (kabelmontører) overenskomstene) først i 2014. Oljerelatert virksomhet har de siste årene utgjort en stadig større andel av avtaleområdet, og da også ved at en gruppe bedrifter fra byggevirksomhet i hovedsak knyttet til oljerelatert virksomhet har sluttet seg til avtalen. Totalt sett utgjorde Industrioverenskomsten om lag 40 prosent av årsverkene for industriarbeidere totalt. Industrioverenskomsten hadde en gjennomsnittlig årslønnsvekst på 3</w:t>
      </w:r>
      <w:r>
        <w:t>,1</w:t>
      </w:r>
      <w:r w:rsidRPr="00D9718C">
        <w:t xml:space="preserve"> prosent fra 2013 til 2014, mot 4,2 prosent året før. Lønnsglidningen i løpet av 2014 bidro til årslønnsveksten fra 2013 til 2014 med 1</w:t>
      </w:r>
      <w:r>
        <w:t>,3</w:t>
      </w:r>
      <w:r w:rsidRPr="00D9718C">
        <w:t xml:space="preserve"> prosentpoeng, mot 2,6 prosentpoeng året før. Mens 0,6 prosentpoeng av veksten året før skyldes økningen i uregelmessige tillegg, i hovedsak knyttet til oljerelaterte virksomheter, bidrar tilsvarende lønnselement til en reduksjon på </w:t>
      </w:r>
      <w:r>
        <w:t>0,2</w:t>
      </w:r>
      <w:r w:rsidRPr="00D9718C">
        <w:t xml:space="preserve"> prosentpoeng i lønnsveksten fra 2013 til 2014.  </w:t>
      </w:r>
    </w:p>
    <w:p w14:paraId="0A6BDFD3" w14:textId="77777777" w:rsidR="00A37D3C" w:rsidRDefault="00202CEA" w:rsidP="00A37D3C">
      <w:r w:rsidRPr="00D9718C">
        <w:lastRenderedPageBreak/>
        <w:t xml:space="preserve">Ca. 2/3 av årsverkene for industriarbeidere utenom Industrioverenskomsten, dekkes av nesten 40 tariffområder innenfor næringsmiddelindustri, kjemisk industri, treindustri og noen mindre områder innenfor annen type industri. </w:t>
      </w:r>
    </w:p>
    <w:p w14:paraId="434716D8" w14:textId="2CE4B46F" w:rsidR="00A37D3C" w:rsidRPr="00D9718C" w:rsidRDefault="00A37D3C" w:rsidP="00A37D3C">
      <w:r>
        <w:t xml:space="preserve">De sentrale </w:t>
      </w:r>
      <w:r w:rsidR="00A97443">
        <w:t>forhandlingene mellom</w:t>
      </w:r>
      <w:r>
        <w:t xml:space="preserve"> LO</w:t>
      </w:r>
      <w:r w:rsidR="00A97443">
        <w:t xml:space="preserve"> og </w:t>
      </w:r>
      <w:r>
        <w:t xml:space="preserve">NHO </w:t>
      </w:r>
      <w:r w:rsidR="00743BAE">
        <w:t>ved mellomoppgjøret 2015</w:t>
      </w:r>
      <w:r w:rsidR="00660836">
        <w:t xml:space="preserve"> </w:t>
      </w:r>
      <w:r>
        <w:t xml:space="preserve">resulterte i tillegg på kr. 1,75 pr. time </w:t>
      </w:r>
      <w:r w:rsidR="00A97443">
        <w:t xml:space="preserve">til arbeidstakere på overenskomster </w:t>
      </w:r>
      <w:r>
        <w:t xml:space="preserve">med et gjennomsnittlig lønnsnivå </w:t>
      </w:r>
      <w:r w:rsidR="00A97443">
        <w:t xml:space="preserve">på eller </w:t>
      </w:r>
      <w:r w:rsidR="00616578">
        <w:t xml:space="preserve">lavere </w:t>
      </w:r>
      <w:r w:rsidR="00A97443">
        <w:t xml:space="preserve">enn </w:t>
      </w:r>
      <w:r w:rsidR="00616578">
        <w:t xml:space="preserve">90 prosent av gjennomsnittlig </w:t>
      </w:r>
      <w:r>
        <w:t xml:space="preserve">industriarbeiderlønn </w:t>
      </w:r>
      <w:r w:rsidR="00616578">
        <w:t>i 2014</w:t>
      </w:r>
      <w:r>
        <w:t xml:space="preserve">. Sammen med garantiordninger og sentrale tilpasninger av minstelønnssatser, bidrar tarifftilleggene til at gjennomsnittlig industriarbeiderlønn øker </w:t>
      </w:r>
      <w:r w:rsidR="00616578">
        <w:t xml:space="preserve">med </w:t>
      </w:r>
      <w:r>
        <w:t xml:space="preserve">anslagsvis 0,2 prosent pr. 1. april 2015. </w:t>
      </w:r>
      <w:r w:rsidR="00CB10B2">
        <w:t xml:space="preserve">Det ble ikke gitt generelle tillegg. </w:t>
      </w:r>
      <w:r>
        <w:t>Sammen med lønnsoverhenget på 1</w:t>
      </w:r>
      <w:r w:rsidR="00891CA1">
        <w:t>,0</w:t>
      </w:r>
      <w:r>
        <w:t xml:space="preserve"> prosent er lønnsveksten </w:t>
      </w:r>
      <w:r w:rsidR="00616578">
        <w:t xml:space="preserve">fra 2014 til 2015 </w:t>
      </w:r>
      <w:r>
        <w:t>beregnet til 1,1-1,2 prosent</w:t>
      </w:r>
      <w:r w:rsidR="00616578">
        <w:t xml:space="preserve"> før lønnsglidning</w:t>
      </w:r>
      <w:r>
        <w:t>.  Det vises til tabell 1.3 for oversikt over historisk lønnsglidning.</w:t>
      </w:r>
    </w:p>
    <w:p w14:paraId="06795DE8" w14:textId="77777777" w:rsidR="00A07954" w:rsidRDefault="00A07954" w:rsidP="00E64363">
      <w:pPr>
        <w:pStyle w:val="tabell-tittel"/>
        <w:pBdr>
          <w:bottom w:val="single" w:sz="4" w:space="1" w:color="auto"/>
        </w:pBdr>
      </w:pPr>
      <w:r w:rsidRPr="00D9718C">
        <w:t>Gjennomsnittlige tarifftillegg for industriarbeidere, (inklusive den direkte effekten av skifttillegg og andre tillegg knyttet til arbeidets art).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07"/>
        <w:gridCol w:w="2807"/>
        <w:gridCol w:w="2807"/>
      </w:tblGrid>
      <w:tr w:rsidR="00202CEA" w:rsidRPr="00D9718C" w14:paraId="5CEF7470" w14:textId="77777777" w:rsidTr="00202CEA">
        <w:trPr>
          <w:trHeight w:val="103"/>
        </w:trPr>
        <w:tc>
          <w:tcPr>
            <w:tcW w:w="2807" w:type="dxa"/>
          </w:tcPr>
          <w:p w14:paraId="79144E8A" w14:textId="77777777" w:rsidR="00202CEA" w:rsidRPr="00D9718C" w:rsidRDefault="00202CEA" w:rsidP="00152C33">
            <w:pPr>
              <w:ind w:left="108"/>
            </w:pPr>
            <w:r w:rsidRPr="00D9718C">
              <w:t xml:space="preserve">Per 1. april 2001: </w:t>
            </w:r>
          </w:p>
        </w:tc>
        <w:tc>
          <w:tcPr>
            <w:tcW w:w="2807" w:type="dxa"/>
          </w:tcPr>
          <w:p w14:paraId="1B160C5B" w14:textId="77777777" w:rsidR="00202CEA" w:rsidRPr="00D9718C" w:rsidRDefault="00202CEA" w:rsidP="00152C33">
            <w:pPr>
              <w:ind w:left="108"/>
            </w:pPr>
            <w:r w:rsidRPr="00D9718C">
              <w:t xml:space="preserve">148 øre/time, </w:t>
            </w:r>
          </w:p>
        </w:tc>
        <w:tc>
          <w:tcPr>
            <w:tcW w:w="2807" w:type="dxa"/>
          </w:tcPr>
          <w:p w14:paraId="37E4BB3A" w14:textId="77777777" w:rsidR="00202CEA" w:rsidRPr="00D9718C" w:rsidRDefault="00202CEA" w:rsidP="00152C33">
            <w:pPr>
              <w:ind w:left="108"/>
            </w:pPr>
            <w:r w:rsidRPr="00D9718C">
              <w:t xml:space="preserve">1,1 prosent </w:t>
            </w:r>
          </w:p>
        </w:tc>
      </w:tr>
      <w:tr w:rsidR="00202CEA" w:rsidRPr="00D9718C" w14:paraId="7FA62AFB" w14:textId="77777777" w:rsidTr="00202CEA">
        <w:trPr>
          <w:trHeight w:val="124"/>
        </w:trPr>
        <w:tc>
          <w:tcPr>
            <w:tcW w:w="2807" w:type="dxa"/>
          </w:tcPr>
          <w:p w14:paraId="6952DAC1" w14:textId="77777777" w:rsidR="00202CEA" w:rsidRPr="00D9718C" w:rsidRDefault="00202CEA" w:rsidP="00152C33">
            <w:pPr>
              <w:ind w:left="108"/>
            </w:pPr>
            <w:r w:rsidRPr="00D9718C">
              <w:t>Våren 2002</w:t>
            </w:r>
            <w:r w:rsidR="00152C33" w:rsidRPr="00152C33">
              <w:rPr>
                <w:vertAlign w:val="superscript"/>
              </w:rPr>
              <w:t>1</w:t>
            </w:r>
            <w:r w:rsidRPr="00D9718C">
              <w:t xml:space="preserve">: </w:t>
            </w:r>
          </w:p>
        </w:tc>
        <w:tc>
          <w:tcPr>
            <w:tcW w:w="2807" w:type="dxa"/>
          </w:tcPr>
          <w:p w14:paraId="2A9F17CC" w14:textId="77777777" w:rsidR="00202CEA" w:rsidRPr="00D9718C" w:rsidRDefault="00202CEA" w:rsidP="00152C33">
            <w:pPr>
              <w:ind w:left="108"/>
            </w:pPr>
            <w:r w:rsidRPr="00D9718C">
              <w:t xml:space="preserve">386 øre/time </w:t>
            </w:r>
          </w:p>
        </w:tc>
        <w:tc>
          <w:tcPr>
            <w:tcW w:w="2807" w:type="dxa"/>
          </w:tcPr>
          <w:p w14:paraId="3460C65A" w14:textId="77777777" w:rsidR="00202CEA" w:rsidRPr="00D9718C" w:rsidRDefault="00202CEA" w:rsidP="00152C33">
            <w:pPr>
              <w:ind w:left="108"/>
            </w:pPr>
            <w:r w:rsidRPr="00D9718C">
              <w:t xml:space="preserve">2,8 prosent </w:t>
            </w:r>
          </w:p>
        </w:tc>
      </w:tr>
      <w:tr w:rsidR="00202CEA" w:rsidRPr="00D9718C" w14:paraId="044CEA9D" w14:textId="77777777" w:rsidTr="00202CEA">
        <w:trPr>
          <w:trHeight w:val="103"/>
        </w:trPr>
        <w:tc>
          <w:tcPr>
            <w:tcW w:w="2807" w:type="dxa"/>
          </w:tcPr>
          <w:p w14:paraId="24CBD98B" w14:textId="77777777" w:rsidR="00202CEA" w:rsidRPr="00D9718C" w:rsidRDefault="00202CEA" w:rsidP="00152C33">
            <w:pPr>
              <w:ind w:left="108"/>
            </w:pPr>
            <w:r w:rsidRPr="00D9718C">
              <w:t xml:space="preserve">Per 1. april 2003: </w:t>
            </w:r>
          </w:p>
        </w:tc>
        <w:tc>
          <w:tcPr>
            <w:tcW w:w="2807" w:type="dxa"/>
          </w:tcPr>
          <w:p w14:paraId="3B6574CD" w14:textId="77777777" w:rsidR="00202CEA" w:rsidRPr="00D9718C" w:rsidRDefault="00202CEA" w:rsidP="00152C33">
            <w:pPr>
              <w:ind w:left="108"/>
            </w:pPr>
            <w:r w:rsidRPr="00D9718C">
              <w:t xml:space="preserve">80 øre/time </w:t>
            </w:r>
          </w:p>
        </w:tc>
        <w:tc>
          <w:tcPr>
            <w:tcW w:w="2807" w:type="dxa"/>
          </w:tcPr>
          <w:p w14:paraId="3E3EA501" w14:textId="77777777" w:rsidR="00202CEA" w:rsidRPr="00D9718C" w:rsidRDefault="00202CEA" w:rsidP="00152C33">
            <w:pPr>
              <w:ind w:left="108"/>
            </w:pPr>
            <w:r w:rsidRPr="00D9718C">
              <w:t xml:space="preserve">0,5 prosent </w:t>
            </w:r>
          </w:p>
        </w:tc>
      </w:tr>
      <w:tr w:rsidR="00202CEA" w:rsidRPr="00D9718C" w14:paraId="71671DAD" w14:textId="77777777" w:rsidTr="00202CEA">
        <w:trPr>
          <w:trHeight w:val="124"/>
        </w:trPr>
        <w:tc>
          <w:tcPr>
            <w:tcW w:w="2807" w:type="dxa"/>
          </w:tcPr>
          <w:p w14:paraId="15D134F2" w14:textId="77777777" w:rsidR="00202CEA" w:rsidRPr="00D9718C" w:rsidRDefault="00202CEA" w:rsidP="00152C33">
            <w:pPr>
              <w:ind w:left="108"/>
            </w:pPr>
            <w:r w:rsidRPr="00D9718C">
              <w:t>Våren 2004</w:t>
            </w:r>
            <w:r w:rsidR="00152C33" w:rsidRPr="00152C33">
              <w:rPr>
                <w:vertAlign w:val="superscript"/>
              </w:rPr>
              <w:t>1</w:t>
            </w:r>
            <w:r w:rsidR="00152C33">
              <w:t>:</w:t>
            </w:r>
            <w:r w:rsidRPr="00D9718C">
              <w:t xml:space="preserve"> </w:t>
            </w:r>
          </w:p>
        </w:tc>
        <w:tc>
          <w:tcPr>
            <w:tcW w:w="2807" w:type="dxa"/>
          </w:tcPr>
          <w:p w14:paraId="15E8EC54" w14:textId="77777777" w:rsidR="00202CEA" w:rsidRPr="00D9718C" w:rsidRDefault="00202CEA" w:rsidP="00152C33">
            <w:pPr>
              <w:ind w:left="108"/>
            </w:pPr>
            <w:r w:rsidRPr="00D9718C">
              <w:t xml:space="preserve">168 øre/time </w:t>
            </w:r>
          </w:p>
        </w:tc>
        <w:tc>
          <w:tcPr>
            <w:tcW w:w="2807" w:type="dxa"/>
          </w:tcPr>
          <w:p w14:paraId="23BEFFC6" w14:textId="77777777" w:rsidR="00202CEA" w:rsidRPr="00D9718C" w:rsidRDefault="00202CEA" w:rsidP="00152C33">
            <w:pPr>
              <w:ind w:left="108"/>
            </w:pPr>
            <w:r w:rsidRPr="00D9718C">
              <w:t xml:space="preserve">1,1 prosent </w:t>
            </w:r>
          </w:p>
        </w:tc>
      </w:tr>
      <w:tr w:rsidR="00202CEA" w:rsidRPr="00D9718C" w14:paraId="31A42BB3" w14:textId="77777777" w:rsidTr="00202CEA">
        <w:trPr>
          <w:trHeight w:val="103"/>
        </w:trPr>
        <w:tc>
          <w:tcPr>
            <w:tcW w:w="2807" w:type="dxa"/>
          </w:tcPr>
          <w:p w14:paraId="1BEA7262" w14:textId="77777777" w:rsidR="00202CEA" w:rsidRPr="00D9718C" w:rsidRDefault="00202CEA" w:rsidP="00152C33">
            <w:pPr>
              <w:ind w:left="108"/>
            </w:pPr>
            <w:r w:rsidRPr="00D9718C">
              <w:t xml:space="preserve">Per 1. april 2005: </w:t>
            </w:r>
          </w:p>
        </w:tc>
        <w:tc>
          <w:tcPr>
            <w:tcW w:w="2807" w:type="dxa"/>
          </w:tcPr>
          <w:p w14:paraId="0C32C8E3" w14:textId="77777777" w:rsidR="00202CEA" w:rsidRPr="00D9718C" w:rsidRDefault="00202CEA" w:rsidP="00152C33">
            <w:pPr>
              <w:ind w:left="108"/>
            </w:pPr>
            <w:r w:rsidRPr="00D9718C">
              <w:t xml:space="preserve">106 øre/time </w:t>
            </w:r>
          </w:p>
        </w:tc>
        <w:tc>
          <w:tcPr>
            <w:tcW w:w="2807" w:type="dxa"/>
          </w:tcPr>
          <w:p w14:paraId="1351512F" w14:textId="77777777" w:rsidR="00202CEA" w:rsidRPr="00D9718C" w:rsidRDefault="00202CEA" w:rsidP="00152C33">
            <w:pPr>
              <w:ind w:left="108"/>
            </w:pPr>
            <w:r w:rsidRPr="00D9718C">
              <w:t xml:space="preserve">0,7 prosent </w:t>
            </w:r>
          </w:p>
        </w:tc>
      </w:tr>
      <w:tr w:rsidR="00202CEA" w:rsidRPr="00D9718C" w14:paraId="32435D8E" w14:textId="77777777" w:rsidTr="00202CEA">
        <w:trPr>
          <w:trHeight w:val="124"/>
        </w:trPr>
        <w:tc>
          <w:tcPr>
            <w:tcW w:w="2807" w:type="dxa"/>
          </w:tcPr>
          <w:p w14:paraId="022D51A4" w14:textId="77777777" w:rsidR="00202CEA" w:rsidRPr="00D9718C" w:rsidRDefault="00202CEA" w:rsidP="00152C33">
            <w:pPr>
              <w:ind w:left="108"/>
            </w:pPr>
            <w:r w:rsidRPr="00D9718C">
              <w:t>Våren 2006</w:t>
            </w:r>
            <w:r w:rsidR="00152C33" w:rsidRPr="00152C33">
              <w:rPr>
                <w:vertAlign w:val="superscript"/>
              </w:rPr>
              <w:t>1</w:t>
            </w:r>
            <w:r w:rsidRPr="00D9718C">
              <w:t>:</w:t>
            </w:r>
          </w:p>
        </w:tc>
        <w:tc>
          <w:tcPr>
            <w:tcW w:w="2807" w:type="dxa"/>
          </w:tcPr>
          <w:p w14:paraId="1FA1AB5D" w14:textId="77777777" w:rsidR="00202CEA" w:rsidRPr="00D9718C" w:rsidRDefault="00202CEA" w:rsidP="00152C33">
            <w:pPr>
              <w:ind w:left="108"/>
            </w:pPr>
            <w:r w:rsidRPr="00D9718C">
              <w:t xml:space="preserve">207 øre/time </w:t>
            </w:r>
          </w:p>
        </w:tc>
        <w:tc>
          <w:tcPr>
            <w:tcW w:w="2807" w:type="dxa"/>
          </w:tcPr>
          <w:p w14:paraId="1837DDC4" w14:textId="77777777" w:rsidR="00202CEA" w:rsidRPr="00D9718C" w:rsidRDefault="00202CEA" w:rsidP="00152C33">
            <w:pPr>
              <w:ind w:left="108"/>
            </w:pPr>
            <w:r w:rsidRPr="00D9718C">
              <w:t xml:space="preserve">1,3 prosent </w:t>
            </w:r>
          </w:p>
        </w:tc>
      </w:tr>
      <w:tr w:rsidR="00202CEA" w:rsidRPr="00D9718C" w14:paraId="05AA31FB" w14:textId="77777777" w:rsidTr="00202CEA">
        <w:trPr>
          <w:trHeight w:val="103"/>
        </w:trPr>
        <w:tc>
          <w:tcPr>
            <w:tcW w:w="2807" w:type="dxa"/>
          </w:tcPr>
          <w:p w14:paraId="5D68D0A6" w14:textId="77777777" w:rsidR="00202CEA" w:rsidRPr="00D9718C" w:rsidRDefault="00202CEA" w:rsidP="00152C33">
            <w:pPr>
              <w:ind w:left="108"/>
            </w:pPr>
            <w:r w:rsidRPr="00D9718C">
              <w:t xml:space="preserve">Per 1. april 2007: </w:t>
            </w:r>
          </w:p>
        </w:tc>
        <w:tc>
          <w:tcPr>
            <w:tcW w:w="2807" w:type="dxa"/>
          </w:tcPr>
          <w:p w14:paraId="191955C3" w14:textId="77777777" w:rsidR="00202CEA" w:rsidRPr="00D9718C" w:rsidRDefault="00202CEA" w:rsidP="00152C33">
            <w:pPr>
              <w:ind w:left="108"/>
            </w:pPr>
            <w:r w:rsidRPr="00D9718C">
              <w:t xml:space="preserve">273 øre/time </w:t>
            </w:r>
          </w:p>
        </w:tc>
        <w:tc>
          <w:tcPr>
            <w:tcW w:w="2807" w:type="dxa"/>
          </w:tcPr>
          <w:p w14:paraId="7BFBCB10" w14:textId="77777777" w:rsidR="00202CEA" w:rsidRPr="00D9718C" w:rsidRDefault="00202CEA" w:rsidP="00152C33">
            <w:pPr>
              <w:ind w:left="108"/>
            </w:pPr>
            <w:r w:rsidRPr="00D9718C">
              <w:t xml:space="preserve">1,7 prosent </w:t>
            </w:r>
          </w:p>
        </w:tc>
      </w:tr>
      <w:tr w:rsidR="00202CEA" w:rsidRPr="00D9718C" w14:paraId="32586D8B" w14:textId="77777777" w:rsidTr="00202CEA">
        <w:trPr>
          <w:trHeight w:val="103"/>
        </w:trPr>
        <w:tc>
          <w:tcPr>
            <w:tcW w:w="2807" w:type="dxa"/>
          </w:tcPr>
          <w:p w14:paraId="6D4C25C0" w14:textId="77777777" w:rsidR="00202CEA" w:rsidRPr="00D9718C" w:rsidRDefault="00202CEA" w:rsidP="00152C33">
            <w:pPr>
              <w:ind w:left="108"/>
            </w:pPr>
            <w:r w:rsidRPr="00D9718C">
              <w:t xml:space="preserve">Per 1. april 2008: </w:t>
            </w:r>
          </w:p>
        </w:tc>
        <w:tc>
          <w:tcPr>
            <w:tcW w:w="2807" w:type="dxa"/>
          </w:tcPr>
          <w:p w14:paraId="1D51201A" w14:textId="77777777" w:rsidR="00202CEA" w:rsidRPr="00D9718C" w:rsidRDefault="00202CEA" w:rsidP="00152C33">
            <w:pPr>
              <w:ind w:left="108"/>
            </w:pPr>
            <w:r w:rsidRPr="00D9718C">
              <w:t xml:space="preserve">289 øre/time </w:t>
            </w:r>
          </w:p>
        </w:tc>
        <w:tc>
          <w:tcPr>
            <w:tcW w:w="2807" w:type="dxa"/>
          </w:tcPr>
          <w:p w14:paraId="4C4947E8" w14:textId="77777777" w:rsidR="00202CEA" w:rsidRPr="00D9718C" w:rsidRDefault="00202CEA" w:rsidP="00152C33">
            <w:pPr>
              <w:ind w:left="108"/>
            </w:pPr>
            <w:r w:rsidRPr="00D9718C">
              <w:t xml:space="preserve">1,7 prosent </w:t>
            </w:r>
          </w:p>
        </w:tc>
      </w:tr>
      <w:tr w:rsidR="00202CEA" w:rsidRPr="00D9718C" w14:paraId="6F3F3CC6" w14:textId="77777777" w:rsidTr="00202CEA">
        <w:trPr>
          <w:trHeight w:val="103"/>
        </w:trPr>
        <w:tc>
          <w:tcPr>
            <w:tcW w:w="2807" w:type="dxa"/>
          </w:tcPr>
          <w:p w14:paraId="056F344F" w14:textId="77777777" w:rsidR="00202CEA" w:rsidRPr="00D9718C" w:rsidRDefault="00202CEA" w:rsidP="00152C33">
            <w:pPr>
              <w:ind w:left="108"/>
            </w:pPr>
            <w:r w:rsidRPr="00D9718C">
              <w:t xml:space="preserve">Per 1. april 2009: </w:t>
            </w:r>
          </w:p>
        </w:tc>
        <w:tc>
          <w:tcPr>
            <w:tcW w:w="2807" w:type="dxa"/>
          </w:tcPr>
          <w:p w14:paraId="163660C4" w14:textId="77777777" w:rsidR="00202CEA" w:rsidRPr="00D9718C" w:rsidRDefault="00202CEA" w:rsidP="00152C33">
            <w:pPr>
              <w:ind w:left="108"/>
            </w:pPr>
            <w:r w:rsidRPr="00D9718C">
              <w:t xml:space="preserve">112 øre/time </w:t>
            </w:r>
          </w:p>
        </w:tc>
        <w:tc>
          <w:tcPr>
            <w:tcW w:w="2807" w:type="dxa"/>
          </w:tcPr>
          <w:p w14:paraId="3F2AFD2B" w14:textId="77777777" w:rsidR="00202CEA" w:rsidRPr="00D9718C" w:rsidRDefault="00202CEA" w:rsidP="00152C33">
            <w:pPr>
              <w:ind w:left="108"/>
            </w:pPr>
            <w:r w:rsidRPr="00D9718C">
              <w:t xml:space="preserve">0,6 prosent </w:t>
            </w:r>
          </w:p>
        </w:tc>
      </w:tr>
      <w:tr w:rsidR="00202CEA" w:rsidRPr="00D9718C" w14:paraId="08CD68E3" w14:textId="77777777" w:rsidTr="00202CEA">
        <w:trPr>
          <w:trHeight w:val="124"/>
        </w:trPr>
        <w:tc>
          <w:tcPr>
            <w:tcW w:w="2807" w:type="dxa"/>
          </w:tcPr>
          <w:p w14:paraId="680B762F" w14:textId="77777777" w:rsidR="00202CEA" w:rsidRPr="00D9718C" w:rsidRDefault="00202CEA" w:rsidP="00152C33">
            <w:pPr>
              <w:ind w:left="108"/>
            </w:pPr>
            <w:r w:rsidRPr="00D9718C">
              <w:t>Våren 2010</w:t>
            </w:r>
            <w:r w:rsidR="00152C33" w:rsidRPr="00152C33">
              <w:rPr>
                <w:vertAlign w:val="superscript"/>
              </w:rPr>
              <w:t>1</w:t>
            </w:r>
            <w:r w:rsidRPr="00D9718C">
              <w:t xml:space="preserve">: </w:t>
            </w:r>
          </w:p>
        </w:tc>
        <w:tc>
          <w:tcPr>
            <w:tcW w:w="2807" w:type="dxa"/>
          </w:tcPr>
          <w:p w14:paraId="1AC1C577" w14:textId="77777777" w:rsidR="00202CEA" w:rsidRPr="00D9718C" w:rsidRDefault="00202CEA" w:rsidP="00152C33">
            <w:pPr>
              <w:ind w:left="108"/>
            </w:pPr>
            <w:r w:rsidRPr="00D9718C">
              <w:t xml:space="preserve">282 øre/time </w:t>
            </w:r>
          </w:p>
        </w:tc>
        <w:tc>
          <w:tcPr>
            <w:tcW w:w="2807" w:type="dxa"/>
          </w:tcPr>
          <w:p w14:paraId="16C11849" w14:textId="77777777" w:rsidR="00202CEA" w:rsidRPr="00D9718C" w:rsidRDefault="00202CEA" w:rsidP="00152C33">
            <w:pPr>
              <w:ind w:left="108"/>
            </w:pPr>
            <w:r w:rsidRPr="00D9718C">
              <w:t xml:space="preserve">1,5 prosent </w:t>
            </w:r>
          </w:p>
        </w:tc>
      </w:tr>
      <w:tr w:rsidR="00202CEA" w:rsidRPr="00D9718C" w14:paraId="4B70B659" w14:textId="77777777" w:rsidTr="00202CEA">
        <w:trPr>
          <w:trHeight w:val="103"/>
        </w:trPr>
        <w:tc>
          <w:tcPr>
            <w:tcW w:w="2807" w:type="dxa"/>
          </w:tcPr>
          <w:p w14:paraId="4B3D8110" w14:textId="77777777" w:rsidR="00202CEA" w:rsidRPr="00D9718C" w:rsidRDefault="00202CEA" w:rsidP="00152C33">
            <w:pPr>
              <w:ind w:left="108"/>
            </w:pPr>
            <w:r w:rsidRPr="00D9718C">
              <w:t xml:space="preserve">Per 1. april 2011: </w:t>
            </w:r>
          </w:p>
        </w:tc>
        <w:tc>
          <w:tcPr>
            <w:tcW w:w="2807" w:type="dxa"/>
          </w:tcPr>
          <w:p w14:paraId="118D3049" w14:textId="77777777" w:rsidR="00202CEA" w:rsidRPr="00D9718C" w:rsidRDefault="00202CEA" w:rsidP="00152C33">
            <w:pPr>
              <w:ind w:left="108"/>
            </w:pPr>
            <w:r w:rsidRPr="00D9718C">
              <w:t xml:space="preserve">219 øre/time </w:t>
            </w:r>
          </w:p>
        </w:tc>
        <w:tc>
          <w:tcPr>
            <w:tcW w:w="2807" w:type="dxa"/>
          </w:tcPr>
          <w:p w14:paraId="70822274" w14:textId="77777777" w:rsidR="00202CEA" w:rsidRPr="00D9718C" w:rsidRDefault="00202CEA" w:rsidP="00152C33">
            <w:pPr>
              <w:ind w:left="108"/>
            </w:pPr>
            <w:r w:rsidRPr="00D9718C">
              <w:t xml:space="preserve">1,1 prosent </w:t>
            </w:r>
          </w:p>
        </w:tc>
      </w:tr>
      <w:tr w:rsidR="00202CEA" w:rsidRPr="00D9718C" w14:paraId="7B2E7D39" w14:textId="77777777" w:rsidTr="00152C33">
        <w:trPr>
          <w:trHeight w:val="124"/>
        </w:trPr>
        <w:tc>
          <w:tcPr>
            <w:tcW w:w="2807" w:type="dxa"/>
            <w:tcBorders>
              <w:bottom w:val="nil"/>
            </w:tcBorders>
          </w:tcPr>
          <w:p w14:paraId="3E105810" w14:textId="77777777" w:rsidR="00202CEA" w:rsidRPr="00D9718C" w:rsidRDefault="00202CEA" w:rsidP="00152C33">
            <w:pPr>
              <w:ind w:left="108"/>
            </w:pPr>
            <w:r w:rsidRPr="00D9718C">
              <w:t>Våren 2012</w:t>
            </w:r>
            <w:r w:rsidR="00152C33" w:rsidRPr="00152C33">
              <w:rPr>
                <w:vertAlign w:val="superscript"/>
              </w:rPr>
              <w:t>1</w:t>
            </w:r>
            <w:r w:rsidR="00152C33">
              <w:t xml:space="preserve">: </w:t>
            </w:r>
            <w:r w:rsidRPr="00D9718C">
              <w:t xml:space="preserve"> </w:t>
            </w:r>
          </w:p>
        </w:tc>
        <w:tc>
          <w:tcPr>
            <w:tcW w:w="2807" w:type="dxa"/>
            <w:tcBorders>
              <w:bottom w:val="nil"/>
            </w:tcBorders>
          </w:tcPr>
          <w:p w14:paraId="140F2E97" w14:textId="77777777" w:rsidR="00202CEA" w:rsidRPr="00D9718C" w:rsidRDefault="00202CEA" w:rsidP="00152C33">
            <w:pPr>
              <w:ind w:left="108"/>
            </w:pPr>
            <w:r w:rsidRPr="00D9718C">
              <w:t xml:space="preserve">292 øre/time </w:t>
            </w:r>
          </w:p>
        </w:tc>
        <w:tc>
          <w:tcPr>
            <w:tcW w:w="2807" w:type="dxa"/>
            <w:tcBorders>
              <w:bottom w:val="nil"/>
            </w:tcBorders>
          </w:tcPr>
          <w:p w14:paraId="257B02FD" w14:textId="77777777" w:rsidR="00202CEA" w:rsidRPr="00D9718C" w:rsidRDefault="00202CEA" w:rsidP="00152C33">
            <w:pPr>
              <w:ind w:left="108"/>
            </w:pPr>
            <w:r w:rsidRPr="00D9718C">
              <w:t xml:space="preserve">1,4 prosent </w:t>
            </w:r>
          </w:p>
        </w:tc>
      </w:tr>
      <w:tr w:rsidR="008C7121" w:rsidRPr="00D9718C" w14:paraId="0F5FF8FC" w14:textId="77777777" w:rsidTr="00152C33">
        <w:trPr>
          <w:trHeight w:val="124"/>
        </w:trPr>
        <w:tc>
          <w:tcPr>
            <w:tcW w:w="2807" w:type="dxa"/>
            <w:tcBorders>
              <w:bottom w:val="nil"/>
            </w:tcBorders>
          </w:tcPr>
          <w:p w14:paraId="68A5DF03" w14:textId="266A3EA8" w:rsidR="008C7121" w:rsidRPr="00D9718C" w:rsidRDefault="008C7121" w:rsidP="008C7121">
            <w:pPr>
              <w:ind w:left="108"/>
            </w:pPr>
            <w:r w:rsidRPr="00D9718C">
              <w:t>Per 1. april 2013:</w:t>
            </w:r>
          </w:p>
        </w:tc>
        <w:tc>
          <w:tcPr>
            <w:tcW w:w="2807" w:type="dxa"/>
            <w:tcBorders>
              <w:bottom w:val="nil"/>
            </w:tcBorders>
          </w:tcPr>
          <w:p w14:paraId="3E697625" w14:textId="5073D338" w:rsidR="008C7121" w:rsidRPr="00D9718C" w:rsidRDefault="008C7121" w:rsidP="008C7121">
            <w:pPr>
              <w:ind w:left="108"/>
            </w:pPr>
            <w:r w:rsidRPr="00D9718C">
              <w:t xml:space="preserve">114 øre/time </w:t>
            </w:r>
          </w:p>
        </w:tc>
        <w:tc>
          <w:tcPr>
            <w:tcW w:w="2807" w:type="dxa"/>
            <w:tcBorders>
              <w:bottom w:val="nil"/>
            </w:tcBorders>
          </w:tcPr>
          <w:p w14:paraId="6EE62D2D" w14:textId="46911D18" w:rsidR="008C7121" w:rsidRPr="00D9718C" w:rsidRDefault="008C7121" w:rsidP="008C7121">
            <w:pPr>
              <w:ind w:left="108"/>
            </w:pPr>
            <w:r w:rsidRPr="00D9718C">
              <w:t xml:space="preserve">0,5 prosent </w:t>
            </w:r>
          </w:p>
        </w:tc>
      </w:tr>
      <w:tr w:rsidR="008C7121" w:rsidRPr="00D9718C" w14:paraId="2F1FE702" w14:textId="77777777" w:rsidTr="008C7121">
        <w:trPr>
          <w:trHeight w:val="272"/>
        </w:trPr>
        <w:tc>
          <w:tcPr>
            <w:tcW w:w="2807" w:type="dxa"/>
            <w:tcBorders>
              <w:top w:val="nil"/>
              <w:bottom w:val="nil"/>
            </w:tcBorders>
          </w:tcPr>
          <w:p w14:paraId="6E7F2376" w14:textId="77777777" w:rsidR="008C7121" w:rsidRPr="00D9718C" w:rsidRDefault="008C7121" w:rsidP="008C7121">
            <w:pPr>
              <w:ind w:left="108"/>
            </w:pPr>
            <w:r w:rsidRPr="00D9718C">
              <w:t>Våren 2014</w:t>
            </w:r>
            <w:r w:rsidRPr="00152C33">
              <w:rPr>
                <w:vertAlign w:val="superscript"/>
              </w:rPr>
              <w:t>1</w:t>
            </w:r>
            <w:r w:rsidRPr="00D9718C">
              <w:t xml:space="preserve">: </w:t>
            </w:r>
          </w:p>
        </w:tc>
        <w:tc>
          <w:tcPr>
            <w:tcW w:w="2807" w:type="dxa"/>
            <w:tcBorders>
              <w:top w:val="nil"/>
              <w:bottom w:val="nil"/>
            </w:tcBorders>
          </w:tcPr>
          <w:p w14:paraId="3DC1BEE8" w14:textId="77777777" w:rsidR="008C7121" w:rsidRPr="00D9718C" w:rsidRDefault="008C7121" w:rsidP="008C7121">
            <w:pPr>
              <w:ind w:left="108"/>
            </w:pPr>
            <w:r w:rsidRPr="00D9718C">
              <w:t xml:space="preserve">221 øre/time </w:t>
            </w:r>
          </w:p>
        </w:tc>
        <w:tc>
          <w:tcPr>
            <w:tcW w:w="2807" w:type="dxa"/>
            <w:tcBorders>
              <w:top w:val="nil"/>
              <w:bottom w:val="nil"/>
            </w:tcBorders>
          </w:tcPr>
          <w:p w14:paraId="53E5BA10" w14:textId="77777777" w:rsidR="008C7121" w:rsidRPr="00D9718C" w:rsidRDefault="008C7121" w:rsidP="008C7121">
            <w:pPr>
              <w:ind w:left="108"/>
            </w:pPr>
            <w:r w:rsidRPr="00D9718C">
              <w:t xml:space="preserve">1,0 prosent </w:t>
            </w:r>
          </w:p>
        </w:tc>
      </w:tr>
      <w:tr w:rsidR="008C7121" w:rsidRPr="00D9718C" w14:paraId="4C51B4A4" w14:textId="77777777" w:rsidTr="00152C33">
        <w:trPr>
          <w:trHeight w:val="272"/>
        </w:trPr>
        <w:tc>
          <w:tcPr>
            <w:tcW w:w="2807" w:type="dxa"/>
            <w:tcBorders>
              <w:top w:val="nil"/>
              <w:bottom w:val="single" w:sz="4" w:space="0" w:color="auto"/>
            </w:tcBorders>
          </w:tcPr>
          <w:p w14:paraId="73ED0139" w14:textId="4C49FB38" w:rsidR="008C7121" w:rsidRPr="00D9718C" w:rsidRDefault="00C146D0" w:rsidP="008C7121">
            <w:pPr>
              <w:ind w:left="108"/>
            </w:pPr>
            <w:r>
              <w:t>Per 1. april 2015:</w:t>
            </w:r>
          </w:p>
        </w:tc>
        <w:tc>
          <w:tcPr>
            <w:tcW w:w="2807" w:type="dxa"/>
            <w:tcBorders>
              <w:top w:val="nil"/>
              <w:bottom w:val="single" w:sz="4" w:space="0" w:color="auto"/>
            </w:tcBorders>
          </w:tcPr>
          <w:p w14:paraId="6654E07D" w14:textId="23033E5E" w:rsidR="008C7121" w:rsidRPr="00D9718C" w:rsidRDefault="00C146D0" w:rsidP="008C7121">
            <w:pPr>
              <w:ind w:left="108"/>
            </w:pPr>
            <w:r>
              <w:t xml:space="preserve">  45 øre/time</w:t>
            </w:r>
          </w:p>
        </w:tc>
        <w:tc>
          <w:tcPr>
            <w:tcW w:w="2807" w:type="dxa"/>
            <w:tcBorders>
              <w:top w:val="nil"/>
              <w:bottom w:val="single" w:sz="4" w:space="0" w:color="auto"/>
            </w:tcBorders>
          </w:tcPr>
          <w:p w14:paraId="6135141E" w14:textId="6569B2F5" w:rsidR="008C7121" w:rsidRPr="00D9718C" w:rsidRDefault="00C146D0" w:rsidP="008C7121">
            <w:pPr>
              <w:ind w:left="108"/>
            </w:pPr>
            <w:r>
              <w:t>0,2 prosent</w:t>
            </w:r>
          </w:p>
        </w:tc>
      </w:tr>
    </w:tbl>
    <w:p w14:paraId="75EE007B" w14:textId="77777777" w:rsidR="00202CEA" w:rsidRPr="00152C33" w:rsidRDefault="00202CEA" w:rsidP="00EA0201">
      <w:pPr>
        <w:pStyle w:val="tabell-noter"/>
      </w:pPr>
      <w:r w:rsidRPr="0027240B">
        <w:rPr>
          <w:vertAlign w:val="superscript"/>
        </w:rPr>
        <w:t>1</w:t>
      </w:r>
      <w:r w:rsidRPr="00152C33">
        <w:t xml:space="preserve"> Gjennomsnittstallet er summen av alle nivåmessige tillegg gitt i de forbundsvise områdene inklusive generelle tillegg, lavlønnstillegg, fagarbeidertillegg, ansiennitetstillegg, skifttillegg etc. De fleste forbundsvise tarifftilleggene ble gitt med ulike virkningstidspunkt mellom 1. april til 1. juli. </w:t>
      </w:r>
    </w:p>
    <w:p w14:paraId="469556D5" w14:textId="2AFA74C7" w:rsidR="004B1A77" w:rsidRDefault="00202CEA" w:rsidP="00202CEA">
      <w:pPr>
        <w:pStyle w:val="Kilde"/>
      </w:pPr>
      <w:r>
        <w:t>Kilde: NHO</w:t>
      </w:r>
    </w:p>
    <w:p w14:paraId="6A3115CC" w14:textId="77777777" w:rsidR="004B1A77" w:rsidRPr="0053381F" w:rsidRDefault="008F24A8" w:rsidP="004B1A77">
      <w:pPr>
        <w:spacing w:after="0" w:line="276" w:lineRule="auto"/>
        <w:rPr>
          <w:rFonts w:ascii="Arial" w:hAnsi="Arial" w:cs="Arial"/>
          <w:szCs w:val="24"/>
        </w:rPr>
      </w:pPr>
      <w:r>
        <w:rPr>
          <w:noProof/>
        </w:rPr>
        <w:lastRenderedPageBreak/>
        <w:drawing>
          <wp:inline distT="0" distB="0" distL="0" distR="0" wp14:anchorId="37825FD4" wp14:editId="1FA30FA6">
            <wp:extent cx="2773460" cy="2464904"/>
            <wp:effectExtent l="19050" t="0" r="7840" b="0"/>
            <wp:docPr id="49" name="Bilde 7" descr="C:\Users\asd1311\AppData\Local\Microsoft\Windows\Temporary Internet Files\Content.Wor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d1311\AppData\Local\Microsoft\Windows\Temporary Internet Files\Content.Word\1-1.png"/>
                    <pic:cNvPicPr>
                      <a:picLocks noChangeAspect="1" noChangeArrowheads="1"/>
                    </pic:cNvPicPr>
                  </pic:nvPicPr>
                  <pic:blipFill>
                    <a:blip r:embed="rId14" cstate="print"/>
                    <a:srcRect/>
                    <a:stretch>
                      <a:fillRect/>
                    </a:stretch>
                  </pic:blipFill>
                  <pic:spPr bwMode="auto">
                    <a:xfrm>
                      <a:off x="0" y="0"/>
                      <a:ext cx="2774950" cy="2466228"/>
                    </a:xfrm>
                    <a:prstGeom prst="rect">
                      <a:avLst/>
                    </a:prstGeom>
                    <a:noFill/>
                    <a:ln w="9525">
                      <a:noFill/>
                      <a:miter lim="800000"/>
                      <a:headEnd/>
                      <a:tailEnd/>
                    </a:ln>
                  </pic:spPr>
                </pic:pic>
              </a:graphicData>
            </a:graphic>
          </wp:inline>
        </w:drawing>
      </w:r>
    </w:p>
    <w:p w14:paraId="781E2CF1" w14:textId="77777777" w:rsidR="004B1A77" w:rsidRPr="002511D0" w:rsidRDefault="004B1A77" w:rsidP="002511D0">
      <w:pPr>
        <w:pStyle w:val="figur-tittel"/>
      </w:pPr>
      <w:r w:rsidRPr="002511D0">
        <w:t xml:space="preserve">Lønnsglidningen som andel av total lønnsvekst fra 1. oktober til 1. oktober for industriarbeidere i NHO-bedrifter </w:t>
      </w:r>
    </w:p>
    <w:p w14:paraId="38AF00BA" w14:textId="77777777" w:rsidR="004B1A77" w:rsidRPr="0053381F" w:rsidRDefault="004B1A77" w:rsidP="003F0A66">
      <w:pPr>
        <w:pStyle w:val="Kilde"/>
      </w:pPr>
      <w:r w:rsidRPr="0053381F">
        <w:t xml:space="preserve">Kilder: NHO og </w:t>
      </w:r>
      <w:r w:rsidR="00D35CC5">
        <w:t>Statistisk sentralbyrå</w:t>
      </w:r>
    </w:p>
    <w:p w14:paraId="2CBBBE0E" w14:textId="77777777" w:rsidR="004B1A77" w:rsidRDefault="004B1A77" w:rsidP="003F0A66">
      <w:pPr>
        <w:pStyle w:val="tabell-tittel"/>
      </w:pPr>
      <w:r w:rsidRPr="0053381F">
        <w:t>Tariffmessig lønnsøkning og lønnsglidning for industriarbeidere basert på timefortjenester</w:t>
      </w:r>
      <w:r w:rsidRPr="0053381F">
        <w:rPr>
          <w:rStyle w:val="skrift-hevet"/>
          <w:rFonts w:cs="Arial"/>
          <w:sz w:val="20"/>
          <w:szCs w:val="20"/>
        </w:rPr>
        <w:t>1</w:t>
      </w:r>
      <w:r w:rsidRPr="0053381F">
        <w:t>, omregnet til 37,5 t/uke. Endring i prosent fra tilsvarende periode året før.</w:t>
      </w:r>
    </w:p>
    <w:tbl>
      <w:tblPr>
        <w:tblStyle w:val="TrykketTabell"/>
        <w:tblW w:w="4791" w:type="pct"/>
        <w:tblLook w:val="04A0" w:firstRow="1" w:lastRow="0" w:firstColumn="1" w:lastColumn="0" w:noHBand="0" w:noVBand="1"/>
      </w:tblPr>
      <w:tblGrid>
        <w:gridCol w:w="1351"/>
        <w:gridCol w:w="1659"/>
        <w:gridCol w:w="1389"/>
        <w:gridCol w:w="1876"/>
        <w:gridCol w:w="2416"/>
      </w:tblGrid>
      <w:tr w:rsidR="00A81216" w:rsidRPr="00A81216" w14:paraId="5A71EB69" w14:textId="77777777" w:rsidTr="00A81216">
        <w:trPr>
          <w:cnfStyle w:val="100000000000" w:firstRow="1" w:lastRow="0" w:firstColumn="0" w:lastColumn="0" w:oddVBand="0" w:evenVBand="0" w:oddHBand="0" w:evenHBand="0" w:firstRowFirstColumn="0" w:firstRowLastColumn="0" w:lastRowFirstColumn="0" w:lastRowLastColumn="0"/>
          <w:trHeight w:val="340"/>
        </w:trPr>
        <w:tc>
          <w:tcPr>
            <w:tcW w:w="778" w:type="pct"/>
            <w:tcBorders>
              <w:bottom w:val="nil"/>
            </w:tcBorders>
            <w:noWrap/>
            <w:vAlign w:val="bottom"/>
            <w:hideMark/>
          </w:tcPr>
          <w:p w14:paraId="3976FACD"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 </w:t>
            </w:r>
          </w:p>
        </w:tc>
        <w:tc>
          <w:tcPr>
            <w:tcW w:w="955" w:type="pct"/>
            <w:tcBorders>
              <w:bottom w:val="nil"/>
            </w:tcBorders>
            <w:noWrap/>
            <w:vAlign w:val="bottom"/>
            <w:hideMark/>
          </w:tcPr>
          <w:p w14:paraId="24804A8A" w14:textId="77777777" w:rsidR="00A81216" w:rsidRPr="00A81216" w:rsidRDefault="00A81216" w:rsidP="00795948">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Lønnsøkning</w:t>
            </w:r>
          </w:p>
        </w:tc>
        <w:tc>
          <w:tcPr>
            <w:tcW w:w="1877" w:type="pct"/>
            <w:gridSpan w:val="2"/>
            <w:noWrap/>
            <w:vAlign w:val="bottom"/>
            <w:hideMark/>
          </w:tcPr>
          <w:p w14:paraId="68B84F38" w14:textId="77777777" w:rsidR="00A81216" w:rsidRPr="00A81216" w:rsidRDefault="00A81216" w:rsidP="00A81216">
            <w:pPr>
              <w:spacing w:after="0"/>
              <w:jc w:val="center"/>
              <w:rPr>
                <w:rFonts w:ascii="Times New Roman" w:eastAsia="Times New Roman" w:hAnsi="Times New Roman"/>
                <w:color w:val="000000"/>
                <w:szCs w:val="24"/>
              </w:rPr>
            </w:pPr>
            <w:r>
              <w:rPr>
                <w:rFonts w:ascii="Times New Roman" w:eastAsia="Times New Roman" w:hAnsi="Times New Roman"/>
                <w:color w:val="000000"/>
                <w:szCs w:val="24"/>
              </w:rPr>
              <w:t>H</w:t>
            </w:r>
            <w:r w:rsidRPr="00A81216">
              <w:rPr>
                <w:rFonts w:ascii="Times New Roman" w:eastAsia="Times New Roman" w:hAnsi="Times New Roman"/>
                <w:color w:val="000000"/>
                <w:szCs w:val="24"/>
              </w:rPr>
              <w:t>erav</w:t>
            </w:r>
            <w:r>
              <w:rPr>
                <w:rFonts w:ascii="Times New Roman" w:eastAsia="Times New Roman" w:hAnsi="Times New Roman"/>
                <w:color w:val="000000"/>
                <w:szCs w:val="24"/>
              </w:rPr>
              <w:t>:</w:t>
            </w:r>
          </w:p>
        </w:tc>
        <w:tc>
          <w:tcPr>
            <w:tcW w:w="1390" w:type="pct"/>
            <w:tcBorders>
              <w:bottom w:val="nil"/>
            </w:tcBorders>
            <w:noWrap/>
            <w:vAlign w:val="bottom"/>
            <w:hideMark/>
          </w:tcPr>
          <w:p w14:paraId="01C4154D" w14:textId="77777777" w:rsidR="00A81216" w:rsidRPr="00A81216" w:rsidRDefault="00A81216" w:rsidP="00795948">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Lønnsglidning</w:t>
            </w:r>
          </w:p>
        </w:tc>
      </w:tr>
      <w:tr w:rsidR="004B1A77" w:rsidRPr="00A81216" w14:paraId="5B56527A" w14:textId="77777777" w:rsidTr="00A81216">
        <w:trPr>
          <w:trHeight w:val="315"/>
        </w:trPr>
        <w:tc>
          <w:tcPr>
            <w:tcW w:w="778" w:type="pct"/>
            <w:tcBorders>
              <w:top w:val="nil"/>
            </w:tcBorders>
            <w:noWrap/>
            <w:vAlign w:val="bottom"/>
            <w:hideMark/>
          </w:tcPr>
          <w:p w14:paraId="5F60FD14" w14:textId="77777777" w:rsidR="004B1A77" w:rsidRPr="00A81216" w:rsidRDefault="004B1A77"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 </w:t>
            </w:r>
          </w:p>
        </w:tc>
        <w:tc>
          <w:tcPr>
            <w:tcW w:w="955" w:type="pct"/>
            <w:tcBorders>
              <w:top w:val="nil"/>
            </w:tcBorders>
            <w:noWrap/>
            <w:vAlign w:val="bottom"/>
            <w:hideMark/>
          </w:tcPr>
          <w:p w14:paraId="26D9C242" w14:textId="77777777" w:rsidR="004B1A77" w:rsidRPr="00A81216" w:rsidRDefault="004B1A77" w:rsidP="00795948">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pr. time</w:t>
            </w:r>
          </w:p>
        </w:tc>
        <w:tc>
          <w:tcPr>
            <w:tcW w:w="797" w:type="pct"/>
            <w:tcBorders>
              <w:top w:val="single" w:sz="4" w:space="0" w:color="auto"/>
            </w:tcBorders>
            <w:noWrap/>
            <w:vAlign w:val="bottom"/>
            <w:hideMark/>
          </w:tcPr>
          <w:p w14:paraId="0AFE173A" w14:textId="77777777" w:rsidR="004B1A77" w:rsidRPr="00A81216" w:rsidRDefault="004B1A77" w:rsidP="00795948">
            <w:pPr>
              <w:spacing w:after="0"/>
              <w:rPr>
                <w:rFonts w:ascii="Times New Roman" w:eastAsia="Times New Roman" w:hAnsi="Times New Roman"/>
                <w:color w:val="000000"/>
                <w:szCs w:val="24"/>
              </w:rPr>
            </w:pPr>
          </w:p>
        </w:tc>
        <w:tc>
          <w:tcPr>
            <w:tcW w:w="1080" w:type="pct"/>
            <w:tcBorders>
              <w:top w:val="single" w:sz="4" w:space="0" w:color="auto"/>
            </w:tcBorders>
            <w:noWrap/>
            <w:vAlign w:val="bottom"/>
            <w:hideMark/>
          </w:tcPr>
          <w:p w14:paraId="50CDB6DB" w14:textId="77777777" w:rsidR="004B1A77" w:rsidRPr="00A81216" w:rsidRDefault="004B1A77" w:rsidP="00795948">
            <w:pPr>
              <w:spacing w:after="0"/>
              <w:rPr>
                <w:rFonts w:ascii="Times New Roman" w:eastAsia="Times New Roman" w:hAnsi="Times New Roman"/>
                <w:color w:val="000000"/>
                <w:szCs w:val="24"/>
                <w:vertAlign w:val="superscript"/>
              </w:rPr>
            </w:pPr>
          </w:p>
        </w:tc>
        <w:tc>
          <w:tcPr>
            <w:tcW w:w="1390" w:type="pct"/>
            <w:tcBorders>
              <w:top w:val="nil"/>
            </w:tcBorders>
            <w:noWrap/>
            <w:vAlign w:val="bottom"/>
            <w:hideMark/>
          </w:tcPr>
          <w:p w14:paraId="7EECBE88" w14:textId="77777777" w:rsidR="004B1A77" w:rsidRPr="00A81216" w:rsidRDefault="004B1A77" w:rsidP="00795948">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i prosent av total</w:t>
            </w:r>
          </w:p>
        </w:tc>
      </w:tr>
      <w:tr w:rsidR="00A81216" w:rsidRPr="00A81216" w14:paraId="23087DD5" w14:textId="77777777" w:rsidTr="00A81216">
        <w:trPr>
          <w:trHeight w:val="330"/>
        </w:trPr>
        <w:tc>
          <w:tcPr>
            <w:tcW w:w="778" w:type="pct"/>
            <w:tcBorders>
              <w:bottom w:val="single" w:sz="4" w:space="0" w:color="auto"/>
            </w:tcBorders>
            <w:noWrap/>
            <w:vAlign w:val="bottom"/>
            <w:hideMark/>
          </w:tcPr>
          <w:p w14:paraId="19A701E4"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 </w:t>
            </w:r>
          </w:p>
        </w:tc>
        <w:tc>
          <w:tcPr>
            <w:tcW w:w="955" w:type="pct"/>
            <w:tcBorders>
              <w:bottom w:val="single" w:sz="4" w:space="0" w:color="auto"/>
            </w:tcBorders>
            <w:noWrap/>
            <w:vAlign w:val="bottom"/>
            <w:hideMark/>
          </w:tcPr>
          <w:p w14:paraId="37004D10" w14:textId="77777777" w:rsidR="00A81216" w:rsidRPr="00A81216" w:rsidRDefault="00A81216" w:rsidP="00795948">
            <w:pPr>
              <w:spacing w:after="0"/>
              <w:rPr>
                <w:rFonts w:ascii="Times New Roman" w:eastAsia="Times New Roman" w:hAnsi="Times New Roman"/>
                <w:color w:val="000000"/>
                <w:szCs w:val="24"/>
              </w:rPr>
            </w:pPr>
          </w:p>
        </w:tc>
        <w:tc>
          <w:tcPr>
            <w:tcW w:w="797" w:type="pct"/>
            <w:tcBorders>
              <w:bottom w:val="single" w:sz="4" w:space="0" w:color="auto"/>
            </w:tcBorders>
            <w:noWrap/>
            <w:vAlign w:val="bottom"/>
            <w:hideMark/>
          </w:tcPr>
          <w:p w14:paraId="2199325C" w14:textId="77777777" w:rsidR="00A81216" w:rsidRPr="00A81216" w:rsidRDefault="00A81216" w:rsidP="009529DF">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Tarifftillegg</w:t>
            </w:r>
          </w:p>
        </w:tc>
        <w:tc>
          <w:tcPr>
            <w:tcW w:w="1080" w:type="pct"/>
            <w:tcBorders>
              <w:bottom w:val="single" w:sz="4" w:space="0" w:color="auto"/>
            </w:tcBorders>
            <w:noWrap/>
            <w:vAlign w:val="bottom"/>
            <w:hideMark/>
          </w:tcPr>
          <w:p w14:paraId="0D2DBB35" w14:textId="77777777" w:rsidR="00A81216" w:rsidRPr="00A81216" w:rsidRDefault="00A81216" w:rsidP="009529DF">
            <w:pPr>
              <w:spacing w:after="0"/>
              <w:rPr>
                <w:rFonts w:ascii="Times New Roman" w:eastAsia="Times New Roman" w:hAnsi="Times New Roman"/>
                <w:color w:val="000000"/>
                <w:szCs w:val="24"/>
                <w:vertAlign w:val="superscript"/>
              </w:rPr>
            </w:pPr>
            <w:r w:rsidRPr="00A81216">
              <w:rPr>
                <w:rFonts w:ascii="Times New Roman" w:eastAsia="Times New Roman" w:hAnsi="Times New Roman"/>
                <w:color w:val="000000"/>
                <w:szCs w:val="24"/>
              </w:rPr>
              <w:t>Lønnsglidning</w:t>
            </w:r>
            <w:r>
              <w:rPr>
                <w:rFonts w:ascii="Times New Roman" w:eastAsia="Times New Roman" w:hAnsi="Times New Roman"/>
                <w:color w:val="000000"/>
                <w:szCs w:val="24"/>
                <w:vertAlign w:val="superscript"/>
              </w:rPr>
              <w:t>2</w:t>
            </w:r>
          </w:p>
        </w:tc>
        <w:tc>
          <w:tcPr>
            <w:tcW w:w="1390" w:type="pct"/>
            <w:tcBorders>
              <w:bottom w:val="single" w:sz="4" w:space="0" w:color="auto"/>
            </w:tcBorders>
            <w:noWrap/>
            <w:vAlign w:val="bottom"/>
            <w:hideMark/>
          </w:tcPr>
          <w:p w14:paraId="2E73942E" w14:textId="77777777" w:rsidR="00A81216" w:rsidRPr="00A81216" w:rsidRDefault="00A81216" w:rsidP="00795948">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lønnsglidning</w:t>
            </w:r>
          </w:p>
        </w:tc>
      </w:tr>
      <w:tr w:rsidR="00A81216" w:rsidRPr="00A81216" w14:paraId="66E00E48" w14:textId="77777777" w:rsidTr="00A81216">
        <w:trPr>
          <w:trHeight w:val="330"/>
        </w:trPr>
        <w:tc>
          <w:tcPr>
            <w:tcW w:w="778" w:type="pct"/>
            <w:tcBorders>
              <w:top w:val="single" w:sz="4" w:space="0" w:color="auto"/>
              <w:bottom w:val="single" w:sz="4" w:space="0" w:color="auto"/>
            </w:tcBorders>
            <w:noWrap/>
            <w:vAlign w:val="bottom"/>
            <w:hideMark/>
          </w:tcPr>
          <w:p w14:paraId="17D0150B"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 </w:t>
            </w:r>
          </w:p>
        </w:tc>
        <w:tc>
          <w:tcPr>
            <w:tcW w:w="955" w:type="pct"/>
            <w:tcBorders>
              <w:top w:val="single" w:sz="4" w:space="0" w:color="auto"/>
              <w:bottom w:val="single" w:sz="4" w:space="0" w:color="auto"/>
            </w:tcBorders>
            <w:noWrap/>
            <w:vAlign w:val="bottom"/>
            <w:hideMark/>
          </w:tcPr>
          <w:p w14:paraId="24C41779" w14:textId="77777777" w:rsidR="00A81216" w:rsidRPr="00A81216" w:rsidRDefault="00CC745B" w:rsidP="00795948">
            <w:pPr>
              <w:spacing w:after="0"/>
              <w:jc w:val="center"/>
              <w:rPr>
                <w:rFonts w:ascii="Times New Roman" w:eastAsia="Times New Roman" w:hAnsi="Times New Roman"/>
                <w:color w:val="000000"/>
                <w:szCs w:val="24"/>
              </w:rPr>
            </w:pPr>
            <w:r>
              <w:rPr>
                <w:rFonts w:ascii="Times New Roman" w:eastAsia="Times New Roman" w:hAnsi="Times New Roman"/>
                <w:color w:val="000000"/>
                <w:szCs w:val="24"/>
              </w:rPr>
              <w:t>Prosent</w:t>
            </w:r>
          </w:p>
        </w:tc>
        <w:tc>
          <w:tcPr>
            <w:tcW w:w="797" w:type="pct"/>
            <w:tcBorders>
              <w:top w:val="single" w:sz="4" w:space="0" w:color="auto"/>
              <w:bottom w:val="single" w:sz="4" w:space="0" w:color="auto"/>
            </w:tcBorders>
            <w:noWrap/>
            <w:vAlign w:val="bottom"/>
            <w:hideMark/>
          </w:tcPr>
          <w:p w14:paraId="11C53395" w14:textId="77777777" w:rsidR="00A81216" w:rsidRPr="00A81216" w:rsidRDefault="00CC745B" w:rsidP="00795948">
            <w:pPr>
              <w:spacing w:after="0"/>
              <w:jc w:val="center"/>
              <w:rPr>
                <w:rFonts w:ascii="Times New Roman" w:eastAsia="Times New Roman" w:hAnsi="Times New Roman"/>
                <w:color w:val="000000"/>
                <w:szCs w:val="24"/>
              </w:rPr>
            </w:pPr>
            <w:r>
              <w:rPr>
                <w:rFonts w:ascii="Times New Roman" w:eastAsia="Times New Roman" w:hAnsi="Times New Roman"/>
                <w:color w:val="000000"/>
                <w:szCs w:val="24"/>
              </w:rPr>
              <w:t>Prosent</w:t>
            </w:r>
          </w:p>
        </w:tc>
        <w:tc>
          <w:tcPr>
            <w:tcW w:w="1080" w:type="pct"/>
            <w:tcBorders>
              <w:top w:val="single" w:sz="4" w:space="0" w:color="auto"/>
              <w:bottom w:val="single" w:sz="4" w:space="0" w:color="auto"/>
            </w:tcBorders>
            <w:noWrap/>
            <w:vAlign w:val="bottom"/>
            <w:hideMark/>
          </w:tcPr>
          <w:p w14:paraId="55589E90" w14:textId="77777777" w:rsidR="00A81216" w:rsidRPr="00A81216" w:rsidRDefault="00CC745B" w:rsidP="00795948">
            <w:pPr>
              <w:spacing w:after="0"/>
              <w:jc w:val="center"/>
              <w:rPr>
                <w:rFonts w:ascii="Times New Roman" w:eastAsia="Times New Roman" w:hAnsi="Times New Roman"/>
                <w:color w:val="000000"/>
                <w:szCs w:val="24"/>
              </w:rPr>
            </w:pPr>
            <w:r>
              <w:rPr>
                <w:rFonts w:ascii="Times New Roman" w:eastAsia="Times New Roman" w:hAnsi="Times New Roman"/>
                <w:color w:val="000000"/>
                <w:szCs w:val="24"/>
              </w:rPr>
              <w:t>Prosent</w:t>
            </w:r>
          </w:p>
        </w:tc>
        <w:tc>
          <w:tcPr>
            <w:tcW w:w="1390" w:type="pct"/>
            <w:tcBorders>
              <w:top w:val="single" w:sz="4" w:space="0" w:color="auto"/>
              <w:bottom w:val="single" w:sz="4" w:space="0" w:color="auto"/>
            </w:tcBorders>
            <w:noWrap/>
            <w:vAlign w:val="bottom"/>
            <w:hideMark/>
          </w:tcPr>
          <w:p w14:paraId="43C7E66F" w14:textId="77777777" w:rsidR="00A81216" w:rsidRPr="00A81216" w:rsidRDefault="00CC745B" w:rsidP="00795948">
            <w:pPr>
              <w:spacing w:after="0"/>
              <w:jc w:val="center"/>
              <w:rPr>
                <w:rFonts w:ascii="Times New Roman" w:eastAsia="Times New Roman" w:hAnsi="Times New Roman"/>
                <w:color w:val="000000"/>
                <w:szCs w:val="24"/>
              </w:rPr>
            </w:pPr>
            <w:r>
              <w:rPr>
                <w:rFonts w:ascii="Times New Roman" w:eastAsia="Times New Roman" w:hAnsi="Times New Roman"/>
                <w:color w:val="000000"/>
                <w:szCs w:val="24"/>
              </w:rPr>
              <w:t>Prosent</w:t>
            </w:r>
          </w:p>
        </w:tc>
      </w:tr>
      <w:tr w:rsidR="00A81216" w:rsidRPr="00A81216" w14:paraId="71432EA8" w14:textId="77777777" w:rsidTr="00A81216">
        <w:trPr>
          <w:trHeight w:val="315"/>
        </w:trPr>
        <w:tc>
          <w:tcPr>
            <w:tcW w:w="778" w:type="pct"/>
            <w:tcBorders>
              <w:top w:val="single" w:sz="4" w:space="0" w:color="auto"/>
            </w:tcBorders>
            <w:noWrap/>
            <w:vAlign w:val="bottom"/>
            <w:hideMark/>
          </w:tcPr>
          <w:p w14:paraId="3C90D7D1"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2005</w:t>
            </w:r>
          </w:p>
        </w:tc>
        <w:tc>
          <w:tcPr>
            <w:tcW w:w="955" w:type="pct"/>
            <w:tcBorders>
              <w:top w:val="single" w:sz="4" w:space="0" w:color="auto"/>
            </w:tcBorders>
            <w:vAlign w:val="bottom"/>
            <w:hideMark/>
          </w:tcPr>
          <w:p w14:paraId="1BB449D7"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3,4</w:t>
            </w:r>
          </w:p>
        </w:tc>
        <w:tc>
          <w:tcPr>
            <w:tcW w:w="797" w:type="pct"/>
            <w:tcBorders>
              <w:top w:val="single" w:sz="4" w:space="0" w:color="auto"/>
            </w:tcBorders>
            <w:vAlign w:val="bottom"/>
            <w:hideMark/>
          </w:tcPr>
          <w:p w14:paraId="6E817992"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0,9</w:t>
            </w:r>
          </w:p>
        </w:tc>
        <w:tc>
          <w:tcPr>
            <w:tcW w:w="1080" w:type="pct"/>
            <w:tcBorders>
              <w:top w:val="single" w:sz="4" w:space="0" w:color="auto"/>
            </w:tcBorders>
            <w:vAlign w:val="bottom"/>
            <w:hideMark/>
          </w:tcPr>
          <w:p w14:paraId="7821C647"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2,5</w:t>
            </w:r>
          </w:p>
        </w:tc>
        <w:tc>
          <w:tcPr>
            <w:tcW w:w="1390" w:type="pct"/>
            <w:tcBorders>
              <w:top w:val="single" w:sz="4" w:space="0" w:color="auto"/>
            </w:tcBorders>
            <w:vAlign w:val="bottom"/>
            <w:hideMark/>
          </w:tcPr>
          <w:p w14:paraId="42C095E4"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74</w:t>
            </w:r>
          </w:p>
        </w:tc>
      </w:tr>
      <w:tr w:rsidR="00A81216" w:rsidRPr="00A81216" w14:paraId="3B5C3B00" w14:textId="77777777" w:rsidTr="00A81216">
        <w:trPr>
          <w:trHeight w:val="315"/>
        </w:trPr>
        <w:tc>
          <w:tcPr>
            <w:tcW w:w="778" w:type="pct"/>
            <w:noWrap/>
            <w:vAlign w:val="bottom"/>
            <w:hideMark/>
          </w:tcPr>
          <w:p w14:paraId="3961D346"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01.okt</w:t>
            </w:r>
          </w:p>
        </w:tc>
        <w:tc>
          <w:tcPr>
            <w:tcW w:w="955" w:type="pct"/>
            <w:vAlign w:val="bottom"/>
            <w:hideMark/>
          </w:tcPr>
          <w:p w14:paraId="78F30229"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3,4</w:t>
            </w:r>
          </w:p>
        </w:tc>
        <w:tc>
          <w:tcPr>
            <w:tcW w:w="797" w:type="pct"/>
            <w:vAlign w:val="bottom"/>
            <w:hideMark/>
          </w:tcPr>
          <w:p w14:paraId="1DA6E804"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0,7</w:t>
            </w:r>
          </w:p>
        </w:tc>
        <w:tc>
          <w:tcPr>
            <w:tcW w:w="1080" w:type="pct"/>
            <w:vAlign w:val="bottom"/>
            <w:hideMark/>
          </w:tcPr>
          <w:p w14:paraId="271FA484"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2,7</w:t>
            </w:r>
          </w:p>
        </w:tc>
        <w:tc>
          <w:tcPr>
            <w:tcW w:w="1390" w:type="pct"/>
            <w:vAlign w:val="bottom"/>
            <w:hideMark/>
          </w:tcPr>
          <w:p w14:paraId="03F7253D"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79</w:t>
            </w:r>
          </w:p>
        </w:tc>
      </w:tr>
      <w:tr w:rsidR="00A81216" w:rsidRPr="00A81216" w14:paraId="12C8F40E" w14:textId="77777777" w:rsidTr="00A81216">
        <w:trPr>
          <w:trHeight w:val="315"/>
        </w:trPr>
        <w:tc>
          <w:tcPr>
            <w:tcW w:w="778" w:type="pct"/>
            <w:noWrap/>
            <w:vAlign w:val="bottom"/>
            <w:hideMark/>
          </w:tcPr>
          <w:p w14:paraId="5C503E6C"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2006</w:t>
            </w:r>
          </w:p>
        </w:tc>
        <w:tc>
          <w:tcPr>
            <w:tcW w:w="955" w:type="pct"/>
            <w:vAlign w:val="bottom"/>
            <w:hideMark/>
          </w:tcPr>
          <w:p w14:paraId="0D77A3C2"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3,6</w:t>
            </w:r>
          </w:p>
        </w:tc>
        <w:tc>
          <w:tcPr>
            <w:tcW w:w="797" w:type="pct"/>
            <w:vAlign w:val="bottom"/>
            <w:hideMark/>
          </w:tcPr>
          <w:p w14:paraId="41D1F9E1"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0,9</w:t>
            </w:r>
          </w:p>
        </w:tc>
        <w:tc>
          <w:tcPr>
            <w:tcW w:w="1080" w:type="pct"/>
            <w:vAlign w:val="bottom"/>
            <w:hideMark/>
          </w:tcPr>
          <w:p w14:paraId="2F6C139E"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2,7</w:t>
            </w:r>
          </w:p>
        </w:tc>
        <w:tc>
          <w:tcPr>
            <w:tcW w:w="1390" w:type="pct"/>
            <w:vAlign w:val="bottom"/>
            <w:hideMark/>
          </w:tcPr>
          <w:p w14:paraId="603956EF"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75</w:t>
            </w:r>
          </w:p>
        </w:tc>
      </w:tr>
      <w:tr w:rsidR="00A81216" w:rsidRPr="00A81216" w14:paraId="2B1FF854" w14:textId="77777777" w:rsidTr="00A81216">
        <w:trPr>
          <w:trHeight w:val="315"/>
        </w:trPr>
        <w:tc>
          <w:tcPr>
            <w:tcW w:w="778" w:type="pct"/>
            <w:noWrap/>
            <w:vAlign w:val="bottom"/>
            <w:hideMark/>
          </w:tcPr>
          <w:p w14:paraId="42477FC6"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01.okt</w:t>
            </w:r>
          </w:p>
        </w:tc>
        <w:tc>
          <w:tcPr>
            <w:tcW w:w="955" w:type="pct"/>
            <w:vAlign w:val="bottom"/>
            <w:hideMark/>
          </w:tcPr>
          <w:p w14:paraId="4BFD9BBB"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4</w:t>
            </w:r>
            <w:r w:rsidR="00A83D98">
              <w:rPr>
                <w:rFonts w:ascii="Times New Roman" w:eastAsia="Times New Roman" w:hAnsi="Times New Roman"/>
                <w:color w:val="000000"/>
                <w:szCs w:val="24"/>
              </w:rPr>
              <w:t>,0</w:t>
            </w:r>
          </w:p>
        </w:tc>
        <w:tc>
          <w:tcPr>
            <w:tcW w:w="797" w:type="pct"/>
            <w:vAlign w:val="bottom"/>
            <w:hideMark/>
          </w:tcPr>
          <w:p w14:paraId="5B4C35BD"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1,3</w:t>
            </w:r>
          </w:p>
        </w:tc>
        <w:tc>
          <w:tcPr>
            <w:tcW w:w="1080" w:type="pct"/>
            <w:vAlign w:val="bottom"/>
            <w:hideMark/>
          </w:tcPr>
          <w:p w14:paraId="15B68794"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2,7</w:t>
            </w:r>
          </w:p>
        </w:tc>
        <w:tc>
          <w:tcPr>
            <w:tcW w:w="1390" w:type="pct"/>
            <w:vAlign w:val="bottom"/>
            <w:hideMark/>
          </w:tcPr>
          <w:p w14:paraId="167BEC2B"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68</w:t>
            </w:r>
          </w:p>
        </w:tc>
      </w:tr>
      <w:tr w:rsidR="00A81216" w:rsidRPr="00A81216" w14:paraId="31F20392" w14:textId="77777777" w:rsidTr="00A81216">
        <w:trPr>
          <w:trHeight w:val="315"/>
        </w:trPr>
        <w:tc>
          <w:tcPr>
            <w:tcW w:w="778" w:type="pct"/>
            <w:noWrap/>
            <w:vAlign w:val="bottom"/>
            <w:hideMark/>
          </w:tcPr>
          <w:p w14:paraId="048665AB"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2007</w:t>
            </w:r>
          </w:p>
        </w:tc>
        <w:tc>
          <w:tcPr>
            <w:tcW w:w="955" w:type="pct"/>
            <w:vAlign w:val="bottom"/>
            <w:hideMark/>
          </w:tcPr>
          <w:p w14:paraId="32F6F89C"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5,5</w:t>
            </w:r>
          </w:p>
        </w:tc>
        <w:tc>
          <w:tcPr>
            <w:tcW w:w="797" w:type="pct"/>
            <w:vAlign w:val="bottom"/>
            <w:hideMark/>
          </w:tcPr>
          <w:p w14:paraId="47AC47F2"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1,7</w:t>
            </w:r>
          </w:p>
        </w:tc>
        <w:tc>
          <w:tcPr>
            <w:tcW w:w="1080" w:type="pct"/>
            <w:vAlign w:val="bottom"/>
            <w:hideMark/>
          </w:tcPr>
          <w:p w14:paraId="3750EF7F"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3,8</w:t>
            </w:r>
          </w:p>
        </w:tc>
        <w:tc>
          <w:tcPr>
            <w:tcW w:w="1390" w:type="pct"/>
            <w:vAlign w:val="bottom"/>
            <w:hideMark/>
          </w:tcPr>
          <w:p w14:paraId="3700BA26"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69</w:t>
            </w:r>
          </w:p>
        </w:tc>
      </w:tr>
      <w:tr w:rsidR="00A81216" w:rsidRPr="00A81216" w14:paraId="5711C79B" w14:textId="77777777" w:rsidTr="00A81216">
        <w:trPr>
          <w:trHeight w:val="315"/>
        </w:trPr>
        <w:tc>
          <w:tcPr>
            <w:tcW w:w="778" w:type="pct"/>
            <w:noWrap/>
            <w:vAlign w:val="bottom"/>
            <w:hideMark/>
          </w:tcPr>
          <w:p w14:paraId="2C7FC19F"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01.okt</w:t>
            </w:r>
          </w:p>
        </w:tc>
        <w:tc>
          <w:tcPr>
            <w:tcW w:w="955" w:type="pct"/>
            <w:vAlign w:val="bottom"/>
            <w:hideMark/>
          </w:tcPr>
          <w:p w14:paraId="3C33B279"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5,9</w:t>
            </w:r>
          </w:p>
        </w:tc>
        <w:tc>
          <w:tcPr>
            <w:tcW w:w="797" w:type="pct"/>
            <w:vAlign w:val="bottom"/>
            <w:hideMark/>
          </w:tcPr>
          <w:p w14:paraId="2652B143"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1,7</w:t>
            </w:r>
          </w:p>
        </w:tc>
        <w:tc>
          <w:tcPr>
            <w:tcW w:w="1080" w:type="pct"/>
            <w:vAlign w:val="bottom"/>
            <w:hideMark/>
          </w:tcPr>
          <w:p w14:paraId="4D6720FE"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4,2</w:t>
            </w:r>
          </w:p>
        </w:tc>
        <w:tc>
          <w:tcPr>
            <w:tcW w:w="1390" w:type="pct"/>
            <w:vAlign w:val="bottom"/>
            <w:hideMark/>
          </w:tcPr>
          <w:p w14:paraId="08699F52"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71</w:t>
            </w:r>
          </w:p>
        </w:tc>
      </w:tr>
      <w:tr w:rsidR="00A81216" w:rsidRPr="00A81216" w14:paraId="4A0B9E06" w14:textId="77777777" w:rsidTr="00A81216">
        <w:trPr>
          <w:trHeight w:val="315"/>
        </w:trPr>
        <w:tc>
          <w:tcPr>
            <w:tcW w:w="778" w:type="pct"/>
            <w:noWrap/>
            <w:vAlign w:val="bottom"/>
            <w:hideMark/>
          </w:tcPr>
          <w:p w14:paraId="602375B3"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2008</w:t>
            </w:r>
          </w:p>
        </w:tc>
        <w:tc>
          <w:tcPr>
            <w:tcW w:w="955" w:type="pct"/>
            <w:vAlign w:val="bottom"/>
            <w:hideMark/>
          </w:tcPr>
          <w:p w14:paraId="4B673F8D"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5,7</w:t>
            </w:r>
          </w:p>
        </w:tc>
        <w:tc>
          <w:tcPr>
            <w:tcW w:w="797" w:type="pct"/>
            <w:vAlign w:val="bottom"/>
            <w:hideMark/>
          </w:tcPr>
          <w:p w14:paraId="52FDD0CC"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1,7</w:t>
            </w:r>
          </w:p>
        </w:tc>
        <w:tc>
          <w:tcPr>
            <w:tcW w:w="1080" w:type="pct"/>
            <w:vAlign w:val="bottom"/>
            <w:hideMark/>
          </w:tcPr>
          <w:p w14:paraId="6E40145F"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4</w:t>
            </w:r>
            <w:r w:rsidR="00A83D98">
              <w:rPr>
                <w:rFonts w:ascii="Times New Roman" w:eastAsia="Times New Roman" w:hAnsi="Times New Roman"/>
                <w:color w:val="000000"/>
                <w:szCs w:val="24"/>
              </w:rPr>
              <w:t>,0</w:t>
            </w:r>
          </w:p>
        </w:tc>
        <w:tc>
          <w:tcPr>
            <w:tcW w:w="1390" w:type="pct"/>
            <w:vAlign w:val="bottom"/>
            <w:hideMark/>
          </w:tcPr>
          <w:p w14:paraId="2B5A80CA"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70</w:t>
            </w:r>
          </w:p>
        </w:tc>
      </w:tr>
      <w:tr w:rsidR="00A81216" w:rsidRPr="00A81216" w14:paraId="4BA4E257" w14:textId="77777777" w:rsidTr="00A81216">
        <w:trPr>
          <w:trHeight w:val="315"/>
        </w:trPr>
        <w:tc>
          <w:tcPr>
            <w:tcW w:w="778" w:type="pct"/>
            <w:noWrap/>
            <w:vAlign w:val="bottom"/>
            <w:hideMark/>
          </w:tcPr>
          <w:p w14:paraId="3ABA2173"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01.okt</w:t>
            </w:r>
          </w:p>
        </w:tc>
        <w:tc>
          <w:tcPr>
            <w:tcW w:w="955" w:type="pct"/>
            <w:vAlign w:val="bottom"/>
            <w:hideMark/>
          </w:tcPr>
          <w:p w14:paraId="11A20761"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5,8</w:t>
            </w:r>
          </w:p>
        </w:tc>
        <w:tc>
          <w:tcPr>
            <w:tcW w:w="797" w:type="pct"/>
            <w:vAlign w:val="bottom"/>
            <w:hideMark/>
          </w:tcPr>
          <w:p w14:paraId="1001DC79"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1,7</w:t>
            </w:r>
          </w:p>
        </w:tc>
        <w:tc>
          <w:tcPr>
            <w:tcW w:w="1080" w:type="pct"/>
            <w:vAlign w:val="bottom"/>
            <w:hideMark/>
          </w:tcPr>
          <w:p w14:paraId="3273C555"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4,1</w:t>
            </w:r>
          </w:p>
        </w:tc>
        <w:tc>
          <w:tcPr>
            <w:tcW w:w="1390" w:type="pct"/>
            <w:vAlign w:val="bottom"/>
            <w:hideMark/>
          </w:tcPr>
          <w:p w14:paraId="1E660A46"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71</w:t>
            </w:r>
          </w:p>
        </w:tc>
      </w:tr>
      <w:tr w:rsidR="00A81216" w:rsidRPr="00A81216" w14:paraId="7785A096" w14:textId="77777777" w:rsidTr="00A81216">
        <w:trPr>
          <w:trHeight w:val="315"/>
        </w:trPr>
        <w:tc>
          <w:tcPr>
            <w:tcW w:w="778" w:type="pct"/>
            <w:noWrap/>
            <w:vAlign w:val="bottom"/>
            <w:hideMark/>
          </w:tcPr>
          <w:p w14:paraId="0F8C0551"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2009</w:t>
            </w:r>
          </w:p>
        </w:tc>
        <w:tc>
          <w:tcPr>
            <w:tcW w:w="955" w:type="pct"/>
            <w:vAlign w:val="bottom"/>
            <w:hideMark/>
          </w:tcPr>
          <w:p w14:paraId="09B4A283"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3,9</w:t>
            </w:r>
          </w:p>
        </w:tc>
        <w:tc>
          <w:tcPr>
            <w:tcW w:w="797" w:type="pct"/>
            <w:vAlign w:val="bottom"/>
            <w:hideMark/>
          </w:tcPr>
          <w:p w14:paraId="71CB23E6"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0,5</w:t>
            </w:r>
          </w:p>
        </w:tc>
        <w:tc>
          <w:tcPr>
            <w:tcW w:w="1080" w:type="pct"/>
            <w:vAlign w:val="bottom"/>
            <w:hideMark/>
          </w:tcPr>
          <w:p w14:paraId="192D241F"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3,4</w:t>
            </w:r>
          </w:p>
        </w:tc>
        <w:tc>
          <w:tcPr>
            <w:tcW w:w="1390" w:type="pct"/>
            <w:vAlign w:val="bottom"/>
            <w:hideMark/>
          </w:tcPr>
          <w:p w14:paraId="73CF6C96"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87</w:t>
            </w:r>
          </w:p>
        </w:tc>
      </w:tr>
      <w:tr w:rsidR="00A81216" w:rsidRPr="00A81216" w14:paraId="7083E96E" w14:textId="77777777" w:rsidTr="00A81216">
        <w:trPr>
          <w:trHeight w:val="315"/>
        </w:trPr>
        <w:tc>
          <w:tcPr>
            <w:tcW w:w="778" w:type="pct"/>
            <w:noWrap/>
            <w:vAlign w:val="bottom"/>
            <w:hideMark/>
          </w:tcPr>
          <w:p w14:paraId="5C6EA27C"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01.okt</w:t>
            </w:r>
          </w:p>
        </w:tc>
        <w:tc>
          <w:tcPr>
            <w:tcW w:w="955" w:type="pct"/>
            <w:vAlign w:val="bottom"/>
            <w:hideMark/>
          </w:tcPr>
          <w:p w14:paraId="1B5C62F7"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3,2</w:t>
            </w:r>
          </w:p>
        </w:tc>
        <w:tc>
          <w:tcPr>
            <w:tcW w:w="797" w:type="pct"/>
            <w:vAlign w:val="bottom"/>
            <w:hideMark/>
          </w:tcPr>
          <w:p w14:paraId="424D5122"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0,6</w:t>
            </w:r>
          </w:p>
        </w:tc>
        <w:tc>
          <w:tcPr>
            <w:tcW w:w="1080" w:type="pct"/>
            <w:vAlign w:val="bottom"/>
            <w:hideMark/>
          </w:tcPr>
          <w:p w14:paraId="2B2E500F"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2,6</w:t>
            </w:r>
          </w:p>
        </w:tc>
        <w:tc>
          <w:tcPr>
            <w:tcW w:w="1390" w:type="pct"/>
            <w:vAlign w:val="bottom"/>
            <w:hideMark/>
          </w:tcPr>
          <w:p w14:paraId="2AC20699"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81</w:t>
            </w:r>
          </w:p>
        </w:tc>
      </w:tr>
      <w:tr w:rsidR="00A81216" w:rsidRPr="00A81216" w14:paraId="118355D2" w14:textId="77777777" w:rsidTr="00A81216">
        <w:trPr>
          <w:trHeight w:val="315"/>
        </w:trPr>
        <w:tc>
          <w:tcPr>
            <w:tcW w:w="778" w:type="pct"/>
            <w:noWrap/>
            <w:vAlign w:val="bottom"/>
            <w:hideMark/>
          </w:tcPr>
          <w:p w14:paraId="0F9F169A"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2010</w:t>
            </w:r>
          </w:p>
        </w:tc>
        <w:tc>
          <w:tcPr>
            <w:tcW w:w="955" w:type="pct"/>
            <w:vAlign w:val="bottom"/>
            <w:hideMark/>
          </w:tcPr>
          <w:p w14:paraId="6532CC50"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3,6</w:t>
            </w:r>
          </w:p>
        </w:tc>
        <w:tc>
          <w:tcPr>
            <w:tcW w:w="797" w:type="pct"/>
            <w:vAlign w:val="bottom"/>
            <w:hideMark/>
          </w:tcPr>
          <w:p w14:paraId="68D50602"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1,2</w:t>
            </w:r>
          </w:p>
        </w:tc>
        <w:tc>
          <w:tcPr>
            <w:tcW w:w="1080" w:type="pct"/>
            <w:vAlign w:val="bottom"/>
            <w:hideMark/>
          </w:tcPr>
          <w:p w14:paraId="4F54589C"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2,4</w:t>
            </w:r>
          </w:p>
        </w:tc>
        <w:tc>
          <w:tcPr>
            <w:tcW w:w="1390" w:type="pct"/>
            <w:vAlign w:val="bottom"/>
            <w:hideMark/>
          </w:tcPr>
          <w:p w14:paraId="71D8495C"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67</w:t>
            </w:r>
          </w:p>
        </w:tc>
      </w:tr>
      <w:tr w:rsidR="00A81216" w:rsidRPr="00A81216" w14:paraId="616EA802" w14:textId="77777777" w:rsidTr="00A81216">
        <w:trPr>
          <w:trHeight w:val="315"/>
        </w:trPr>
        <w:tc>
          <w:tcPr>
            <w:tcW w:w="778" w:type="pct"/>
            <w:noWrap/>
            <w:vAlign w:val="bottom"/>
            <w:hideMark/>
          </w:tcPr>
          <w:p w14:paraId="76801574"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01.okt</w:t>
            </w:r>
          </w:p>
        </w:tc>
        <w:tc>
          <w:tcPr>
            <w:tcW w:w="955" w:type="pct"/>
            <w:vAlign w:val="bottom"/>
            <w:hideMark/>
          </w:tcPr>
          <w:p w14:paraId="2AC3FDE0"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3,9</w:t>
            </w:r>
          </w:p>
        </w:tc>
        <w:tc>
          <w:tcPr>
            <w:tcW w:w="797" w:type="pct"/>
            <w:vAlign w:val="bottom"/>
            <w:hideMark/>
          </w:tcPr>
          <w:p w14:paraId="3BEF423B"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1,5</w:t>
            </w:r>
          </w:p>
        </w:tc>
        <w:tc>
          <w:tcPr>
            <w:tcW w:w="1080" w:type="pct"/>
            <w:vAlign w:val="bottom"/>
            <w:hideMark/>
          </w:tcPr>
          <w:p w14:paraId="64CCB2B0"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2,4</w:t>
            </w:r>
          </w:p>
        </w:tc>
        <w:tc>
          <w:tcPr>
            <w:tcW w:w="1390" w:type="pct"/>
            <w:vAlign w:val="bottom"/>
            <w:hideMark/>
          </w:tcPr>
          <w:p w14:paraId="1BF0014D"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61</w:t>
            </w:r>
          </w:p>
        </w:tc>
      </w:tr>
      <w:tr w:rsidR="00A81216" w:rsidRPr="00A81216" w14:paraId="696773BA" w14:textId="77777777" w:rsidTr="00A81216">
        <w:trPr>
          <w:trHeight w:val="315"/>
        </w:trPr>
        <w:tc>
          <w:tcPr>
            <w:tcW w:w="778" w:type="pct"/>
            <w:noWrap/>
            <w:vAlign w:val="bottom"/>
            <w:hideMark/>
          </w:tcPr>
          <w:p w14:paraId="6D30480A"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2011</w:t>
            </w:r>
          </w:p>
        </w:tc>
        <w:tc>
          <w:tcPr>
            <w:tcW w:w="955" w:type="pct"/>
            <w:vAlign w:val="bottom"/>
            <w:hideMark/>
          </w:tcPr>
          <w:p w14:paraId="70489660"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4,4</w:t>
            </w:r>
          </w:p>
        </w:tc>
        <w:tc>
          <w:tcPr>
            <w:tcW w:w="797" w:type="pct"/>
            <w:vAlign w:val="bottom"/>
            <w:hideMark/>
          </w:tcPr>
          <w:p w14:paraId="2BBDCCB3"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1,3</w:t>
            </w:r>
          </w:p>
        </w:tc>
        <w:tc>
          <w:tcPr>
            <w:tcW w:w="1080" w:type="pct"/>
            <w:vAlign w:val="bottom"/>
            <w:hideMark/>
          </w:tcPr>
          <w:p w14:paraId="2B62B131"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3,1</w:t>
            </w:r>
          </w:p>
        </w:tc>
        <w:tc>
          <w:tcPr>
            <w:tcW w:w="1390" w:type="pct"/>
            <w:vAlign w:val="bottom"/>
            <w:hideMark/>
          </w:tcPr>
          <w:p w14:paraId="04346731"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70</w:t>
            </w:r>
          </w:p>
        </w:tc>
      </w:tr>
      <w:tr w:rsidR="00A81216" w:rsidRPr="00A81216" w14:paraId="11B593B7" w14:textId="77777777" w:rsidTr="00A81216">
        <w:trPr>
          <w:trHeight w:val="315"/>
        </w:trPr>
        <w:tc>
          <w:tcPr>
            <w:tcW w:w="778" w:type="pct"/>
            <w:noWrap/>
            <w:vAlign w:val="bottom"/>
            <w:hideMark/>
          </w:tcPr>
          <w:p w14:paraId="40CF97DD"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01.okt</w:t>
            </w:r>
          </w:p>
        </w:tc>
        <w:tc>
          <w:tcPr>
            <w:tcW w:w="955" w:type="pct"/>
            <w:vAlign w:val="bottom"/>
            <w:hideMark/>
          </w:tcPr>
          <w:p w14:paraId="7701C556"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4,5</w:t>
            </w:r>
          </w:p>
        </w:tc>
        <w:tc>
          <w:tcPr>
            <w:tcW w:w="797" w:type="pct"/>
            <w:vAlign w:val="bottom"/>
            <w:hideMark/>
          </w:tcPr>
          <w:p w14:paraId="19FC5C18"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1,1</w:t>
            </w:r>
          </w:p>
        </w:tc>
        <w:tc>
          <w:tcPr>
            <w:tcW w:w="1080" w:type="pct"/>
            <w:vAlign w:val="bottom"/>
            <w:hideMark/>
          </w:tcPr>
          <w:p w14:paraId="0165D545"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3,4</w:t>
            </w:r>
          </w:p>
        </w:tc>
        <w:tc>
          <w:tcPr>
            <w:tcW w:w="1390" w:type="pct"/>
            <w:vAlign w:val="bottom"/>
            <w:hideMark/>
          </w:tcPr>
          <w:p w14:paraId="3AB375A8"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76</w:t>
            </w:r>
          </w:p>
        </w:tc>
      </w:tr>
      <w:tr w:rsidR="00A81216" w:rsidRPr="00A81216" w14:paraId="6BBA121D" w14:textId="77777777" w:rsidTr="00A81216">
        <w:trPr>
          <w:trHeight w:val="315"/>
        </w:trPr>
        <w:tc>
          <w:tcPr>
            <w:tcW w:w="778" w:type="pct"/>
            <w:noWrap/>
            <w:vAlign w:val="bottom"/>
            <w:hideMark/>
          </w:tcPr>
          <w:p w14:paraId="7DF07EB6"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2012</w:t>
            </w:r>
          </w:p>
        </w:tc>
        <w:tc>
          <w:tcPr>
            <w:tcW w:w="955" w:type="pct"/>
            <w:vAlign w:val="bottom"/>
            <w:hideMark/>
          </w:tcPr>
          <w:p w14:paraId="0E3A04E8"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4,1</w:t>
            </w:r>
          </w:p>
        </w:tc>
        <w:tc>
          <w:tcPr>
            <w:tcW w:w="797" w:type="pct"/>
            <w:vAlign w:val="bottom"/>
            <w:hideMark/>
          </w:tcPr>
          <w:p w14:paraId="62DAE443"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1,3</w:t>
            </w:r>
          </w:p>
        </w:tc>
        <w:tc>
          <w:tcPr>
            <w:tcW w:w="1080" w:type="pct"/>
            <w:vAlign w:val="bottom"/>
            <w:hideMark/>
          </w:tcPr>
          <w:p w14:paraId="0273D016"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2,8</w:t>
            </w:r>
          </w:p>
        </w:tc>
        <w:tc>
          <w:tcPr>
            <w:tcW w:w="1390" w:type="pct"/>
            <w:vAlign w:val="bottom"/>
            <w:hideMark/>
          </w:tcPr>
          <w:p w14:paraId="30028521"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68</w:t>
            </w:r>
          </w:p>
        </w:tc>
      </w:tr>
      <w:tr w:rsidR="00A81216" w:rsidRPr="00A81216" w14:paraId="71DF8DD2" w14:textId="77777777" w:rsidTr="00A81216">
        <w:trPr>
          <w:trHeight w:val="315"/>
        </w:trPr>
        <w:tc>
          <w:tcPr>
            <w:tcW w:w="778" w:type="pct"/>
            <w:noWrap/>
            <w:vAlign w:val="bottom"/>
            <w:hideMark/>
          </w:tcPr>
          <w:p w14:paraId="5C55CC2F"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01.okt</w:t>
            </w:r>
          </w:p>
        </w:tc>
        <w:tc>
          <w:tcPr>
            <w:tcW w:w="955" w:type="pct"/>
            <w:vAlign w:val="bottom"/>
            <w:hideMark/>
          </w:tcPr>
          <w:p w14:paraId="62870568"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4,1</w:t>
            </w:r>
          </w:p>
        </w:tc>
        <w:tc>
          <w:tcPr>
            <w:tcW w:w="797" w:type="pct"/>
            <w:vAlign w:val="bottom"/>
            <w:hideMark/>
          </w:tcPr>
          <w:p w14:paraId="70E75AEB"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1,4</w:t>
            </w:r>
          </w:p>
        </w:tc>
        <w:tc>
          <w:tcPr>
            <w:tcW w:w="1080" w:type="pct"/>
            <w:vAlign w:val="bottom"/>
            <w:hideMark/>
          </w:tcPr>
          <w:p w14:paraId="7697D80A"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2,7</w:t>
            </w:r>
          </w:p>
        </w:tc>
        <w:tc>
          <w:tcPr>
            <w:tcW w:w="1390" w:type="pct"/>
            <w:vAlign w:val="bottom"/>
            <w:hideMark/>
          </w:tcPr>
          <w:p w14:paraId="3A47DC69"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66</w:t>
            </w:r>
          </w:p>
        </w:tc>
      </w:tr>
      <w:tr w:rsidR="00A81216" w:rsidRPr="00A81216" w14:paraId="32FE1243" w14:textId="77777777" w:rsidTr="00A81216">
        <w:trPr>
          <w:trHeight w:val="300"/>
        </w:trPr>
        <w:tc>
          <w:tcPr>
            <w:tcW w:w="778" w:type="pct"/>
            <w:noWrap/>
            <w:vAlign w:val="bottom"/>
            <w:hideMark/>
          </w:tcPr>
          <w:p w14:paraId="28509DC9"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2013</w:t>
            </w:r>
          </w:p>
        </w:tc>
        <w:tc>
          <w:tcPr>
            <w:tcW w:w="955" w:type="pct"/>
            <w:vAlign w:val="bottom"/>
            <w:hideMark/>
          </w:tcPr>
          <w:p w14:paraId="37C20275"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3,5</w:t>
            </w:r>
          </w:p>
        </w:tc>
        <w:tc>
          <w:tcPr>
            <w:tcW w:w="797" w:type="pct"/>
            <w:vAlign w:val="bottom"/>
            <w:hideMark/>
          </w:tcPr>
          <w:p w14:paraId="28E52590"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0,8</w:t>
            </w:r>
          </w:p>
        </w:tc>
        <w:tc>
          <w:tcPr>
            <w:tcW w:w="1080" w:type="pct"/>
            <w:vAlign w:val="bottom"/>
            <w:hideMark/>
          </w:tcPr>
          <w:p w14:paraId="79DEBDBB"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2,7</w:t>
            </w:r>
          </w:p>
        </w:tc>
        <w:tc>
          <w:tcPr>
            <w:tcW w:w="1390" w:type="pct"/>
            <w:vAlign w:val="bottom"/>
            <w:hideMark/>
          </w:tcPr>
          <w:p w14:paraId="7121A684"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77</w:t>
            </w:r>
          </w:p>
        </w:tc>
      </w:tr>
      <w:tr w:rsidR="00A81216" w:rsidRPr="00A81216" w14:paraId="439AED07" w14:textId="77777777" w:rsidTr="00A81216">
        <w:trPr>
          <w:trHeight w:val="315"/>
        </w:trPr>
        <w:tc>
          <w:tcPr>
            <w:tcW w:w="778" w:type="pct"/>
            <w:noWrap/>
            <w:vAlign w:val="bottom"/>
            <w:hideMark/>
          </w:tcPr>
          <w:p w14:paraId="580F5500"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01.okt</w:t>
            </w:r>
          </w:p>
        </w:tc>
        <w:tc>
          <w:tcPr>
            <w:tcW w:w="955" w:type="pct"/>
            <w:vAlign w:val="bottom"/>
            <w:hideMark/>
          </w:tcPr>
          <w:p w14:paraId="5F3CD7D6"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3,3</w:t>
            </w:r>
          </w:p>
        </w:tc>
        <w:tc>
          <w:tcPr>
            <w:tcW w:w="797" w:type="pct"/>
            <w:vAlign w:val="bottom"/>
            <w:hideMark/>
          </w:tcPr>
          <w:p w14:paraId="3C3109BB"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0,5</w:t>
            </w:r>
          </w:p>
        </w:tc>
        <w:tc>
          <w:tcPr>
            <w:tcW w:w="1080" w:type="pct"/>
            <w:vAlign w:val="bottom"/>
            <w:hideMark/>
          </w:tcPr>
          <w:p w14:paraId="404F0E5F"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2,8</w:t>
            </w:r>
          </w:p>
        </w:tc>
        <w:tc>
          <w:tcPr>
            <w:tcW w:w="1390" w:type="pct"/>
            <w:vAlign w:val="bottom"/>
            <w:hideMark/>
          </w:tcPr>
          <w:p w14:paraId="33E71845"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85</w:t>
            </w:r>
          </w:p>
        </w:tc>
      </w:tr>
      <w:tr w:rsidR="00A81216" w:rsidRPr="00A81216" w14:paraId="752D8F65" w14:textId="77777777" w:rsidTr="00A81216">
        <w:trPr>
          <w:trHeight w:val="375"/>
        </w:trPr>
        <w:tc>
          <w:tcPr>
            <w:tcW w:w="778" w:type="pct"/>
            <w:noWrap/>
            <w:vAlign w:val="bottom"/>
            <w:hideMark/>
          </w:tcPr>
          <w:p w14:paraId="2983F6D8"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2014</w:t>
            </w:r>
          </w:p>
        </w:tc>
        <w:tc>
          <w:tcPr>
            <w:tcW w:w="955" w:type="pct"/>
            <w:vAlign w:val="bottom"/>
            <w:hideMark/>
          </w:tcPr>
          <w:p w14:paraId="46A17304"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3</w:t>
            </w:r>
            <w:r w:rsidR="00A83D98">
              <w:rPr>
                <w:rFonts w:ascii="Times New Roman" w:eastAsia="Times New Roman" w:hAnsi="Times New Roman"/>
                <w:color w:val="000000"/>
                <w:szCs w:val="24"/>
              </w:rPr>
              <w:t>,0</w:t>
            </w:r>
          </w:p>
        </w:tc>
        <w:tc>
          <w:tcPr>
            <w:tcW w:w="797" w:type="pct"/>
            <w:vAlign w:val="bottom"/>
            <w:hideMark/>
          </w:tcPr>
          <w:p w14:paraId="3AC64349"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0,7</w:t>
            </w:r>
          </w:p>
        </w:tc>
        <w:tc>
          <w:tcPr>
            <w:tcW w:w="1080" w:type="pct"/>
            <w:noWrap/>
            <w:vAlign w:val="bottom"/>
            <w:hideMark/>
          </w:tcPr>
          <w:p w14:paraId="63101166" w14:textId="77777777" w:rsidR="00A81216" w:rsidRPr="00A81216" w:rsidRDefault="00A81216" w:rsidP="00A83D9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2</w:t>
            </w:r>
            <w:r w:rsidR="00A83D98">
              <w:rPr>
                <w:rFonts w:ascii="Times New Roman" w:eastAsia="Times New Roman" w:hAnsi="Times New Roman"/>
                <w:color w:val="000000"/>
                <w:szCs w:val="24"/>
              </w:rPr>
              <w:t>,3</w:t>
            </w:r>
          </w:p>
        </w:tc>
        <w:tc>
          <w:tcPr>
            <w:tcW w:w="1390" w:type="pct"/>
            <w:vAlign w:val="bottom"/>
            <w:hideMark/>
          </w:tcPr>
          <w:p w14:paraId="7A7853A3" w14:textId="77777777" w:rsidR="00A81216" w:rsidRPr="00A81216" w:rsidRDefault="00A81216" w:rsidP="00A83D9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7</w:t>
            </w:r>
            <w:r w:rsidR="00A83D98">
              <w:rPr>
                <w:rFonts w:ascii="Times New Roman" w:eastAsia="Times New Roman" w:hAnsi="Times New Roman"/>
                <w:color w:val="000000"/>
                <w:szCs w:val="24"/>
              </w:rPr>
              <w:t>7</w:t>
            </w:r>
          </w:p>
        </w:tc>
      </w:tr>
      <w:tr w:rsidR="00A81216" w:rsidRPr="00A81216" w14:paraId="4739BDCF" w14:textId="77777777" w:rsidTr="00A81216">
        <w:trPr>
          <w:trHeight w:val="315"/>
        </w:trPr>
        <w:tc>
          <w:tcPr>
            <w:tcW w:w="778" w:type="pct"/>
            <w:noWrap/>
            <w:vAlign w:val="bottom"/>
            <w:hideMark/>
          </w:tcPr>
          <w:p w14:paraId="6FE30735" w14:textId="77777777" w:rsidR="00A81216" w:rsidRPr="00A81216" w:rsidRDefault="00A81216" w:rsidP="00A81216">
            <w:pPr>
              <w:spacing w:after="0"/>
              <w:rPr>
                <w:rFonts w:ascii="Times New Roman" w:eastAsia="Times New Roman" w:hAnsi="Times New Roman"/>
                <w:color w:val="000000"/>
                <w:szCs w:val="24"/>
              </w:rPr>
            </w:pPr>
            <w:r w:rsidRPr="00A81216">
              <w:rPr>
                <w:rFonts w:ascii="Times New Roman" w:eastAsia="Times New Roman" w:hAnsi="Times New Roman"/>
                <w:color w:val="000000"/>
                <w:szCs w:val="24"/>
              </w:rPr>
              <w:t>01.okt</w:t>
            </w:r>
          </w:p>
        </w:tc>
        <w:tc>
          <w:tcPr>
            <w:tcW w:w="955" w:type="pct"/>
            <w:vAlign w:val="bottom"/>
            <w:hideMark/>
          </w:tcPr>
          <w:p w14:paraId="73985D49" w14:textId="77777777" w:rsidR="00A81216" w:rsidRPr="00A81216" w:rsidRDefault="00A83D98" w:rsidP="00795948">
            <w:pPr>
              <w:spacing w:after="0"/>
              <w:jc w:val="center"/>
              <w:rPr>
                <w:rFonts w:ascii="Times New Roman" w:eastAsia="Times New Roman" w:hAnsi="Times New Roman"/>
                <w:color w:val="000000"/>
                <w:szCs w:val="24"/>
              </w:rPr>
            </w:pPr>
            <w:r>
              <w:rPr>
                <w:rFonts w:ascii="Times New Roman" w:eastAsia="Times New Roman" w:hAnsi="Times New Roman"/>
                <w:color w:val="000000"/>
                <w:szCs w:val="24"/>
              </w:rPr>
              <w:t>2,8</w:t>
            </w:r>
          </w:p>
        </w:tc>
        <w:tc>
          <w:tcPr>
            <w:tcW w:w="797" w:type="pct"/>
            <w:vAlign w:val="bottom"/>
            <w:hideMark/>
          </w:tcPr>
          <w:p w14:paraId="373F9C0D" w14:textId="77777777" w:rsidR="00A81216" w:rsidRPr="00A81216" w:rsidRDefault="00A81216" w:rsidP="0079594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1,0</w:t>
            </w:r>
          </w:p>
        </w:tc>
        <w:tc>
          <w:tcPr>
            <w:tcW w:w="1080" w:type="pct"/>
            <w:vAlign w:val="bottom"/>
            <w:hideMark/>
          </w:tcPr>
          <w:p w14:paraId="1E52732B" w14:textId="77777777" w:rsidR="00A81216" w:rsidRPr="00A81216" w:rsidRDefault="00A83D98" w:rsidP="00795948">
            <w:pPr>
              <w:spacing w:after="0"/>
              <w:jc w:val="center"/>
              <w:rPr>
                <w:rFonts w:ascii="Times New Roman" w:eastAsia="Times New Roman" w:hAnsi="Times New Roman"/>
                <w:color w:val="000000"/>
                <w:szCs w:val="24"/>
              </w:rPr>
            </w:pPr>
            <w:r>
              <w:rPr>
                <w:rFonts w:ascii="Times New Roman" w:eastAsia="Times New Roman" w:hAnsi="Times New Roman"/>
                <w:color w:val="000000"/>
                <w:szCs w:val="24"/>
              </w:rPr>
              <w:t>1,8</w:t>
            </w:r>
          </w:p>
        </w:tc>
        <w:tc>
          <w:tcPr>
            <w:tcW w:w="1390" w:type="pct"/>
            <w:vAlign w:val="bottom"/>
            <w:hideMark/>
          </w:tcPr>
          <w:p w14:paraId="5C19074B" w14:textId="77777777" w:rsidR="00A81216" w:rsidRPr="00A81216" w:rsidRDefault="00A81216" w:rsidP="00A83D98">
            <w:pPr>
              <w:spacing w:after="0"/>
              <w:jc w:val="center"/>
              <w:rPr>
                <w:rFonts w:ascii="Times New Roman" w:eastAsia="Times New Roman" w:hAnsi="Times New Roman"/>
                <w:color w:val="000000"/>
                <w:szCs w:val="24"/>
              </w:rPr>
            </w:pPr>
            <w:r w:rsidRPr="00A81216">
              <w:rPr>
                <w:rFonts w:ascii="Times New Roman" w:eastAsia="Times New Roman" w:hAnsi="Times New Roman"/>
                <w:color w:val="000000"/>
                <w:szCs w:val="24"/>
              </w:rPr>
              <w:t>6</w:t>
            </w:r>
            <w:r w:rsidR="00A83D98">
              <w:rPr>
                <w:rFonts w:ascii="Times New Roman" w:eastAsia="Times New Roman" w:hAnsi="Times New Roman"/>
                <w:color w:val="000000"/>
                <w:szCs w:val="24"/>
              </w:rPr>
              <w:t>4</w:t>
            </w:r>
          </w:p>
        </w:tc>
      </w:tr>
    </w:tbl>
    <w:p w14:paraId="0D3387D1" w14:textId="77777777" w:rsidR="004B1A77" w:rsidRPr="005D0F48" w:rsidRDefault="003F0A66" w:rsidP="00EB3FB8">
      <w:pPr>
        <w:pStyle w:val="tabell-noter"/>
      </w:pPr>
      <w:r>
        <w:rPr>
          <w:vertAlign w:val="superscript"/>
        </w:rPr>
        <w:lastRenderedPageBreak/>
        <w:t xml:space="preserve">1 </w:t>
      </w:r>
      <w:r w:rsidR="004B1A77" w:rsidRPr="005D0F48">
        <w:t xml:space="preserve">Beregningsgrunnlaget: Gjennomsnittlig timefortjeneste ekskl. overtidstillegg, betaling for helligdager, feriepenger o.l. Omregning av timefortjenestene til felles ukebasis har betydning bare når det er vesentlige endringer i arbeidstiden. </w:t>
      </w:r>
    </w:p>
    <w:p w14:paraId="0CEE19B2" w14:textId="77777777" w:rsidR="004B1A77" w:rsidRPr="005D0F48" w:rsidRDefault="003F0A66" w:rsidP="00EB3FB8">
      <w:pPr>
        <w:pStyle w:val="tabell-noter"/>
      </w:pPr>
      <w:r>
        <w:rPr>
          <w:vertAlign w:val="superscript"/>
        </w:rPr>
        <w:t xml:space="preserve">2 </w:t>
      </w:r>
      <w:r w:rsidR="004B1A77" w:rsidRPr="005D0F48">
        <w:t>Lønnsglidningen er basert på at hele lønnsveksten mellom tilsvarende registreringsperioder i to påfølgende år er dekomponert i tarifftillegg og lønnsglidning. Dette avviker fra dekomponeringen i tabell 1.3 hvor kalenderårslønnsveksten er dekomponert i lønnsoverheng (som består både av tarifftillegg og lønnsglidning), samt bidrag til kalenderårslønnsveksten fra henholdsvis tarifftillegg og lønnsglidning.</w:t>
      </w:r>
    </w:p>
    <w:p w14:paraId="255C810E" w14:textId="77777777" w:rsidR="004B1A77" w:rsidRPr="00C11148" w:rsidRDefault="004B1A77" w:rsidP="00B20B72">
      <w:pPr>
        <w:pStyle w:val="Kilde"/>
      </w:pPr>
      <w:r w:rsidRPr="005D0F48">
        <w:t>Kilder: Grunnlagsmaterialet til Statistisk sentralbyrås strukturstatistikk og NHO</w:t>
      </w:r>
    </w:p>
    <w:p w14:paraId="68CFC32F" w14:textId="77777777" w:rsidR="004B1A77" w:rsidRDefault="004B1A77" w:rsidP="004B1A77">
      <w:pPr>
        <w:pStyle w:val="Overskrift3"/>
      </w:pPr>
      <w:bookmarkStart w:id="63" w:name="_Toc320820661"/>
      <w:bookmarkStart w:id="64" w:name="_Toc351913430"/>
      <w:bookmarkStart w:id="65" w:name="_Toc380506124"/>
      <w:bookmarkStart w:id="66" w:name="_Toc422226817"/>
      <w:r w:rsidRPr="00BA1C84">
        <w:t>Lønnsutviklingen for andre arbeidergrupper i NHO-området</w:t>
      </w:r>
      <w:bookmarkEnd w:id="63"/>
      <w:bookmarkEnd w:id="64"/>
      <w:bookmarkEnd w:id="65"/>
      <w:bookmarkEnd w:id="66"/>
    </w:p>
    <w:p w14:paraId="33EDD361" w14:textId="77777777" w:rsidR="00891CA1" w:rsidRPr="00E7480D" w:rsidRDefault="00515B03" w:rsidP="00891CA1">
      <w:pPr>
        <w:autoSpaceDE w:val="0"/>
        <w:autoSpaceDN w:val="0"/>
        <w:adjustRightInd w:val="0"/>
        <w:rPr>
          <w:rFonts w:ascii="Times New Roman" w:hAnsi="Times New Roman"/>
          <w:color w:val="000000"/>
          <w:szCs w:val="24"/>
        </w:rPr>
      </w:pPr>
      <w:r w:rsidRPr="00E7480D">
        <w:rPr>
          <w:rFonts w:ascii="Times New Roman" w:hAnsi="Times New Roman"/>
          <w:color w:val="000000"/>
          <w:szCs w:val="24"/>
        </w:rPr>
        <w:t xml:space="preserve">For arbeidere i </w:t>
      </w:r>
      <w:r w:rsidRPr="00E7480D">
        <w:rPr>
          <w:rFonts w:ascii="Times New Roman" w:hAnsi="Times New Roman"/>
          <w:i/>
          <w:iCs/>
          <w:color w:val="000000"/>
          <w:szCs w:val="24"/>
        </w:rPr>
        <w:t xml:space="preserve">byggevirksomhet </w:t>
      </w:r>
      <w:r w:rsidRPr="00E7480D">
        <w:rPr>
          <w:rFonts w:ascii="Times New Roman" w:hAnsi="Times New Roman"/>
          <w:color w:val="000000"/>
          <w:szCs w:val="24"/>
        </w:rPr>
        <w:t>var årslønnsveksten 3,4 prosent fra 2013 til 2014, mot 3,6 prosent året før. Lønnsveksten fra 1. oktober 2013 til 1. oktober 2014 var 3,4</w:t>
      </w:r>
      <w:r w:rsidR="007076B2" w:rsidRPr="00E7480D">
        <w:rPr>
          <w:rFonts w:ascii="Times New Roman" w:hAnsi="Times New Roman"/>
          <w:color w:val="000000"/>
          <w:szCs w:val="24"/>
        </w:rPr>
        <w:t xml:space="preserve"> </w:t>
      </w:r>
      <w:r w:rsidRPr="00E7480D">
        <w:rPr>
          <w:rFonts w:ascii="Times New Roman" w:hAnsi="Times New Roman"/>
          <w:color w:val="000000"/>
          <w:szCs w:val="24"/>
        </w:rPr>
        <w:t xml:space="preserve">prosent, mot 3,7 prosent året før. </w:t>
      </w:r>
    </w:p>
    <w:p w14:paraId="085730C3" w14:textId="45D30056" w:rsidR="00515B03" w:rsidRPr="00E7480D" w:rsidRDefault="00515B03" w:rsidP="00891CA1">
      <w:pPr>
        <w:autoSpaceDE w:val="0"/>
        <w:autoSpaceDN w:val="0"/>
        <w:adjustRightInd w:val="0"/>
        <w:rPr>
          <w:rFonts w:ascii="Times New Roman" w:hAnsi="Times New Roman"/>
          <w:szCs w:val="24"/>
        </w:rPr>
      </w:pPr>
      <w:r w:rsidRPr="00E7480D">
        <w:rPr>
          <w:rFonts w:ascii="Times New Roman" w:hAnsi="Times New Roman"/>
          <w:i/>
          <w:iCs/>
          <w:color w:val="000000"/>
          <w:szCs w:val="24"/>
        </w:rPr>
        <w:t xml:space="preserve">Byggevirksomhet </w:t>
      </w:r>
      <w:r w:rsidRPr="00E7480D">
        <w:rPr>
          <w:rFonts w:ascii="Times New Roman" w:hAnsi="Times New Roman"/>
          <w:color w:val="000000"/>
          <w:szCs w:val="24"/>
        </w:rPr>
        <w:t xml:space="preserve">består av to hovedgrupper, arbeidere innenfor elektrofag (om lag ⅓) og andre byggfag (om lag ⅔) som tømrere, murere, grunnarbeid innenfor stein-, jord- og sementarbeid, bygge- og tømmermestere, malermestere, rørleggerbedrifter, kobber- og blikkenslagermestere etc. </w:t>
      </w:r>
      <w:r w:rsidRPr="00E7480D">
        <w:rPr>
          <w:rFonts w:ascii="Times New Roman" w:hAnsi="Times New Roman"/>
          <w:szCs w:val="24"/>
        </w:rPr>
        <w:t xml:space="preserve">Fellesoverenskomsten for byggfag, som utgjør om lag 2/3 av bygg totalt, hadde en lønnsvekst på 3,0 prosent fra 2013 til 2014, 0,4 prosentpoeng lavere enn gjennomsnittet for alle arbeidere innenfor byggevirksomhet. Det sentrale tariffoppgjøret i 2014 for Fellesoverenskomsten ga et generelt tillegg på 0,75 kr/t fra 1.april. I tillegg ble det gitt garantitillegg på minstelønnssatser, økning i akkordsatser, som sammen med generelt tillegg og lønnsoverhenget inn i 2014 slo ut med vel 2 prosentpoeng. En lønnsvekst fra 2013 til 2014 1 prosentpoeng høyere, kan derfor tilskrives lønnsglidning inkl. strukturelle endringer. </w:t>
      </w:r>
    </w:p>
    <w:p w14:paraId="13F66576" w14:textId="77777777" w:rsidR="00515B03" w:rsidRPr="00E7480D" w:rsidRDefault="00515B03" w:rsidP="00515B03">
      <w:pPr>
        <w:autoSpaceDE w:val="0"/>
        <w:autoSpaceDN w:val="0"/>
        <w:adjustRightInd w:val="0"/>
        <w:rPr>
          <w:rFonts w:ascii="Times New Roman" w:hAnsi="Times New Roman"/>
          <w:szCs w:val="24"/>
        </w:rPr>
      </w:pPr>
      <w:r w:rsidRPr="00E7480D">
        <w:rPr>
          <w:rFonts w:ascii="Times New Roman" w:hAnsi="Times New Roman"/>
          <w:szCs w:val="24"/>
        </w:rPr>
        <w:t>Gjennomsnittlig lønnsvekst i sektoren kan avvike betydelig fra tilleggene til den enkelte arbeider. Basert på tidligere år slår konjunkturelle forhold som berører byggevirksomheten fort ut i endret lønnsvekst i sektoren. For bygge- og anleggsvirksomhet samlet var årslønnsveksten 3,3 prosent fra 2013 til 2014.</w:t>
      </w:r>
    </w:p>
    <w:p w14:paraId="1A6427C9" w14:textId="17CF3292" w:rsidR="00DD46C9" w:rsidRPr="00E7480D" w:rsidRDefault="00DD46C9" w:rsidP="00515B03">
      <w:pPr>
        <w:autoSpaceDE w:val="0"/>
        <w:autoSpaceDN w:val="0"/>
        <w:adjustRightInd w:val="0"/>
        <w:rPr>
          <w:rFonts w:ascii="Times New Roman" w:hAnsi="Times New Roman"/>
          <w:szCs w:val="24"/>
        </w:rPr>
      </w:pPr>
      <w:r w:rsidRPr="00E7480D">
        <w:rPr>
          <w:rFonts w:ascii="Times New Roman" w:hAnsi="Times New Roman"/>
          <w:szCs w:val="24"/>
        </w:rPr>
        <w:t>Garantiordning for elektrofag, og tilpasning av akkord- og minstelønnssatser, bidrar til at lønnsveksten for byggevirksomhet samlet før lønnsglidning og strukturelle effekter, er anslagsvis 1¾ prosent fra 2014 til 2015, inklusive lønnsoverheng fra 2014.</w:t>
      </w:r>
    </w:p>
    <w:p w14:paraId="6E9F1151" w14:textId="0F5707FD" w:rsidR="00515B03" w:rsidRPr="00E7480D" w:rsidRDefault="00515B03" w:rsidP="00515B03">
      <w:pPr>
        <w:autoSpaceDE w:val="0"/>
        <w:autoSpaceDN w:val="0"/>
        <w:adjustRightInd w:val="0"/>
        <w:rPr>
          <w:rFonts w:ascii="Times New Roman" w:hAnsi="Times New Roman"/>
          <w:szCs w:val="24"/>
        </w:rPr>
      </w:pPr>
      <w:r w:rsidRPr="00E7480D">
        <w:rPr>
          <w:rFonts w:ascii="Times New Roman" w:hAnsi="Times New Roman"/>
          <w:szCs w:val="24"/>
        </w:rPr>
        <w:t xml:space="preserve">For arbeidere innenfor </w:t>
      </w:r>
      <w:r w:rsidRPr="00E7480D">
        <w:rPr>
          <w:rFonts w:ascii="Times New Roman" w:hAnsi="Times New Roman"/>
          <w:i/>
          <w:iCs/>
          <w:szCs w:val="24"/>
        </w:rPr>
        <w:t xml:space="preserve">transportsektoren </w:t>
      </w:r>
      <w:r w:rsidRPr="00E7480D">
        <w:rPr>
          <w:rFonts w:ascii="Times New Roman" w:hAnsi="Times New Roman"/>
          <w:szCs w:val="24"/>
        </w:rPr>
        <w:t xml:space="preserve">i NHO-området samlet, var årslønnsveksten fra 2013 til 2014 3,0 prosent, mot 3,8 prosent året før. Lønnsveksten fra 1. oktober 2013 til 1. oktober 2014 var 2,9 prosent. Det er store variasjoner mellom undergrupper. </w:t>
      </w:r>
    </w:p>
    <w:p w14:paraId="67684C21" w14:textId="0039FDB3" w:rsidR="00515B03" w:rsidRPr="00E7480D" w:rsidRDefault="00515B03" w:rsidP="00515B03">
      <w:pPr>
        <w:autoSpaceDE w:val="0"/>
        <w:autoSpaceDN w:val="0"/>
        <w:adjustRightInd w:val="0"/>
        <w:rPr>
          <w:rFonts w:ascii="Times New Roman" w:hAnsi="Times New Roman"/>
          <w:szCs w:val="24"/>
        </w:rPr>
      </w:pPr>
      <w:r w:rsidRPr="00E7480D">
        <w:rPr>
          <w:rFonts w:ascii="Times New Roman" w:hAnsi="Times New Roman"/>
          <w:szCs w:val="24"/>
        </w:rPr>
        <w:t xml:space="preserve">Transportsektoren (arbeidere) i NHO-området omfatter blant annet rutebilsektoren, spedisjonsfirmaer, innenriks sjøfart, godstransport, avisbudavtalen og i noe mindre grad grossistbedrifter, oljeselskaper </w:t>
      </w:r>
      <w:r w:rsidR="00A864A2" w:rsidRPr="00E7480D">
        <w:rPr>
          <w:rFonts w:ascii="Times New Roman" w:hAnsi="Times New Roman"/>
          <w:szCs w:val="24"/>
        </w:rPr>
        <w:t>mv.</w:t>
      </w:r>
      <w:r w:rsidRPr="00E7480D">
        <w:rPr>
          <w:rFonts w:ascii="Times New Roman" w:hAnsi="Times New Roman"/>
          <w:szCs w:val="24"/>
        </w:rPr>
        <w:t xml:space="preserve"> Om lag 50 prosent av årsverkene i transportsektoren er avtaler med lokal forhandlingsrett. Noen områder (for eksempel innenriks sjøfart og spedisjonsfirmaer) har lokale lønnsforhandlinger, mens bussbransjen vanligvis ikke har lokale forhandlinger. I denne bransjen kan det imidlertid være lønnselementer knyttet til bruk av lønnsvekst knyttet til "kompetansemoduler". </w:t>
      </w:r>
    </w:p>
    <w:p w14:paraId="7E48F0D3" w14:textId="3ACA97CA" w:rsidR="00DD46C9" w:rsidRPr="00E7480D" w:rsidRDefault="00660836" w:rsidP="00DD46C9">
      <w:pPr>
        <w:autoSpaceDE w:val="0"/>
        <w:autoSpaceDN w:val="0"/>
        <w:adjustRightInd w:val="0"/>
        <w:rPr>
          <w:rFonts w:ascii="Times New Roman" w:hAnsi="Times New Roman"/>
          <w:szCs w:val="24"/>
        </w:rPr>
      </w:pPr>
      <w:r>
        <w:rPr>
          <w:rFonts w:ascii="Times New Roman" w:hAnsi="Times New Roman"/>
          <w:szCs w:val="24"/>
        </w:rPr>
        <w:t xml:space="preserve">Det ble gitt lønnstillegg for enkelte områder </w:t>
      </w:r>
      <w:r w:rsidR="00DD46C9" w:rsidRPr="00E7480D">
        <w:rPr>
          <w:rFonts w:ascii="Times New Roman" w:hAnsi="Times New Roman"/>
          <w:szCs w:val="24"/>
        </w:rPr>
        <w:t>på kr. 1,75</w:t>
      </w:r>
      <w:r w:rsidR="003A3138">
        <w:rPr>
          <w:rFonts w:ascii="Times New Roman" w:hAnsi="Times New Roman"/>
          <w:szCs w:val="24"/>
        </w:rPr>
        <w:t xml:space="preserve"> </w:t>
      </w:r>
      <w:r w:rsidR="00114873">
        <w:rPr>
          <w:rFonts w:ascii="Times New Roman" w:hAnsi="Times New Roman"/>
          <w:szCs w:val="24"/>
        </w:rPr>
        <w:t>fra 1. april 2015</w:t>
      </w:r>
      <w:r>
        <w:rPr>
          <w:rFonts w:ascii="Times New Roman" w:hAnsi="Times New Roman"/>
          <w:szCs w:val="24"/>
        </w:rPr>
        <w:t>. Sammen med</w:t>
      </w:r>
      <w:r w:rsidR="00114873">
        <w:rPr>
          <w:rFonts w:ascii="Times New Roman" w:hAnsi="Times New Roman"/>
          <w:szCs w:val="24"/>
        </w:rPr>
        <w:t xml:space="preserve"> </w:t>
      </w:r>
      <w:r w:rsidR="00DD46C9" w:rsidRPr="00E7480D">
        <w:rPr>
          <w:rFonts w:ascii="Times New Roman" w:hAnsi="Times New Roman"/>
          <w:szCs w:val="24"/>
        </w:rPr>
        <w:t>tarifftillegg</w:t>
      </w:r>
      <w:r w:rsidR="00114873">
        <w:rPr>
          <w:rFonts w:ascii="Times New Roman" w:hAnsi="Times New Roman"/>
          <w:szCs w:val="24"/>
        </w:rPr>
        <w:t xml:space="preserve"> avtalt</w:t>
      </w:r>
      <w:r w:rsidR="00DD46C9" w:rsidRPr="00E7480D">
        <w:rPr>
          <w:rFonts w:ascii="Times New Roman" w:hAnsi="Times New Roman"/>
          <w:szCs w:val="24"/>
        </w:rPr>
        <w:t xml:space="preserve"> i 2014, samt lønnsoverhenget inn i 2015, bidrar </w:t>
      </w:r>
      <w:r>
        <w:rPr>
          <w:rFonts w:ascii="Times New Roman" w:hAnsi="Times New Roman"/>
          <w:szCs w:val="24"/>
        </w:rPr>
        <w:t xml:space="preserve">dette </w:t>
      </w:r>
      <w:r w:rsidR="00DD46C9" w:rsidRPr="00E7480D">
        <w:rPr>
          <w:rFonts w:ascii="Times New Roman" w:hAnsi="Times New Roman"/>
          <w:szCs w:val="24"/>
        </w:rPr>
        <w:t xml:space="preserve">til en </w:t>
      </w:r>
      <w:r>
        <w:rPr>
          <w:rFonts w:ascii="Times New Roman" w:hAnsi="Times New Roman"/>
          <w:szCs w:val="24"/>
        </w:rPr>
        <w:t>års</w:t>
      </w:r>
      <w:r w:rsidR="00DD46C9" w:rsidRPr="00E7480D">
        <w:rPr>
          <w:rFonts w:ascii="Times New Roman" w:hAnsi="Times New Roman"/>
          <w:szCs w:val="24"/>
        </w:rPr>
        <w:t xml:space="preserve">lønnsvekst på om lag 2¼ prosent fra 2014 til 2015 før </w:t>
      </w:r>
      <w:r>
        <w:rPr>
          <w:rFonts w:ascii="Times New Roman" w:hAnsi="Times New Roman"/>
          <w:szCs w:val="24"/>
        </w:rPr>
        <w:t xml:space="preserve">bidrag fra </w:t>
      </w:r>
      <w:r w:rsidR="00DD46C9" w:rsidRPr="00E7480D">
        <w:rPr>
          <w:rFonts w:ascii="Times New Roman" w:hAnsi="Times New Roman"/>
          <w:szCs w:val="24"/>
        </w:rPr>
        <w:t xml:space="preserve">lønnsglidning. </w:t>
      </w:r>
    </w:p>
    <w:p w14:paraId="7EE3C6B6" w14:textId="5713C566" w:rsidR="00515B03" w:rsidRDefault="00515B03" w:rsidP="00022754">
      <w:pPr>
        <w:autoSpaceDE w:val="0"/>
        <w:autoSpaceDN w:val="0"/>
        <w:adjustRightInd w:val="0"/>
        <w:rPr>
          <w:rFonts w:ascii="Times New Roman" w:hAnsi="Times New Roman"/>
          <w:szCs w:val="24"/>
        </w:rPr>
      </w:pPr>
      <w:r w:rsidRPr="00E7480D">
        <w:rPr>
          <w:rFonts w:ascii="Times New Roman" w:hAnsi="Times New Roman"/>
          <w:szCs w:val="24"/>
        </w:rPr>
        <w:t xml:space="preserve">Arbeidere innenfor </w:t>
      </w:r>
      <w:r w:rsidRPr="00E7480D">
        <w:rPr>
          <w:rFonts w:ascii="Times New Roman" w:hAnsi="Times New Roman"/>
          <w:i/>
          <w:iCs/>
          <w:szCs w:val="24"/>
        </w:rPr>
        <w:t xml:space="preserve">oljevirksomhet, offshore </w:t>
      </w:r>
      <w:r w:rsidRPr="00E7480D">
        <w:rPr>
          <w:rFonts w:ascii="Times New Roman" w:hAnsi="Times New Roman"/>
          <w:szCs w:val="24"/>
        </w:rPr>
        <w:t xml:space="preserve">består av operatørarbeidere, oljeboring og oljeservicearbeidere. Ingeniører og sivilingeniører klassifiseres som funksjonærer og er ikke med i gruppen ovenfor. </w:t>
      </w:r>
    </w:p>
    <w:p w14:paraId="034B3479" w14:textId="77777777" w:rsidR="00515B03" w:rsidRPr="00E7480D" w:rsidRDefault="00515B03" w:rsidP="00515B03">
      <w:pPr>
        <w:autoSpaceDE w:val="0"/>
        <w:autoSpaceDN w:val="0"/>
        <w:adjustRightInd w:val="0"/>
        <w:rPr>
          <w:rFonts w:ascii="Times New Roman" w:hAnsi="Times New Roman"/>
          <w:szCs w:val="24"/>
        </w:rPr>
      </w:pPr>
      <w:r w:rsidRPr="00E7480D">
        <w:rPr>
          <w:rFonts w:ascii="Times New Roman" w:hAnsi="Times New Roman"/>
          <w:szCs w:val="24"/>
        </w:rPr>
        <w:lastRenderedPageBreak/>
        <w:t xml:space="preserve">Offshorearbeidere samlet sett hadde en gjennomsnittlig økning i årslønn fra 2013 til 2014 </w:t>
      </w:r>
      <w:r w:rsidR="00F11467" w:rsidRPr="00E7480D">
        <w:rPr>
          <w:rFonts w:ascii="Times New Roman" w:hAnsi="Times New Roman"/>
          <w:szCs w:val="24"/>
        </w:rPr>
        <w:t xml:space="preserve">på </w:t>
      </w:r>
      <w:r w:rsidRPr="00E7480D">
        <w:rPr>
          <w:rFonts w:ascii="Times New Roman" w:hAnsi="Times New Roman"/>
          <w:szCs w:val="24"/>
        </w:rPr>
        <w:t xml:space="preserve">2,4 prosent, inklusive avtalt lønn, bonusutbetalinger samt uregelmessige tillegg, mot 4,2 prosent året før. Reduksjon i gjennomsnittlige bonus og uregelmessige tillegg bidrar til å redusere gjennomsnittlige lønnsvekst fra 2013 til 2014 med 1 prosentpoeng. </w:t>
      </w:r>
    </w:p>
    <w:p w14:paraId="7728BF46" w14:textId="77777777" w:rsidR="00515B03" w:rsidRPr="00E7480D" w:rsidRDefault="00515B03" w:rsidP="00515B03">
      <w:pPr>
        <w:autoSpaceDE w:val="0"/>
        <w:autoSpaceDN w:val="0"/>
        <w:adjustRightInd w:val="0"/>
        <w:rPr>
          <w:rFonts w:ascii="Times New Roman" w:hAnsi="Times New Roman"/>
          <w:szCs w:val="24"/>
        </w:rPr>
      </w:pPr>
      <w:r w:rsidRPr="00E7480D">
        <w:rPr>
          <w:rFonts w:ascii="Times New Roman" w:hAnsi="Times New Roman"/>
          <w:szCs w:val="24"/>
        </w:rPr>
        <w:t xml:space="preserve">Årsverkene fordeler seg nå likt på operatørarbeidere og antall oljeservicearbeidere. En automatisk virkning av ansiennitetstillegg per 1. januar hvert år bidrar med minst ½ prosentpoeng til gjennomsnittlig årslønnsvekst. </w:t>
      </w:r>
    </w:p>
    <w:p w14:paraId="713EDEE9" w14:textId="77777777" w:rsidR="00515B03" w:rsidRPr="00E7480D" w:rsidRDefault="00515B03" w:rsidP="00515B03">
      <w:pPr>
        <w:autoSpaceDE w:val="0"/>
        <w:autoSpaceDN w:val="0"/>
        <w:adjustRightInd w:val="0"/>
        <w:rPr>
          <w:rFonts w:ascii="Times New Roman" w:hAnsi="Times New Roman"/>
          <w:szCs w:val="24"/>
        </w:rPr>
      </w:pPr>
      <w:r w:rsidRPr="00E7480D">
        <w:rPr>
          <w:rFonts w:ascii="Times New Roman" w:hAnsi="Times New Roman"/>
          <w:szCs w:val="24"/>
        </w:rPr>
        <w:t xml:space="preserve">For </w:t>
      </w:r>
      <w:r w:rsidRPr="00E7480D">
        <w:rPr>
          <w:rFonts w:ascii="Times New Roman" w:hAnsi="Times New Roman"/>
          <w:i/>
          <w:iCs/>
          <w:szCs w:val="24"/>
        </w:rPr>
        <w:t xml:space="preserve">hotell og restaurantvirksomhet </w:t>
      </w:r>
      <w:r w:rsidRPr="00E7480D">
        <w:rPr>
          <w:rFonts w:ascii="Times New Roman" w:hAnsi="Times New Roman"/>
          <w:szCs w:val="24"/>
        </w:rPr>
        <w:t xml:space="preserve">var det en årslønnsvekst fra 2013 til 2014 på 3,1 prosent, mot 3,3 prosent året før. </w:t>
      </w:r>
    </w:p>
    <w:p w14:paraId="13FA7294" w14:textId="77777777" w:rsidR="00515B03" w:rsidRPr="00E7480D" w:rsidRDefault="00515B03" w:rsidP="00515B03">
      <w:pPr>
        <w:autoSpaceDE w:val="0"/>
        <w:autoSpaceDN w:val="0"/>
        <w:adjustRightInd w:val="0"/>
        <w:rPr>
          <w:rFonts w:ascii="Times New Roman" w:hAnsi="Times New Roman"/>
          <w:szCs w:val="24"/>
        </w:rPr>
      </w:pPr>
      <w:r w:rsidRPr="00E7480D">
        <w:rPr>
          <w:rFonts w:ascii="Times New Roman" w:hAnsi="Times New Roman"/>
          <w:szCs w:val="24"/>
        </w:rPr>
        <w:t xml:space="preserve">Det er store variasjoner i lønnsveksten mellom store og små bedrifter. Noe lavere gjennomsnittlige bonuser og lavere uregelmessige tillegg drar lønnsveksten ned. Bransjen er dessuten preget av høy turnover. Vanligvis er bare om lag halvparten av de samme arbeidstakerne med i lønnsstatistikken fra et år til et annet. Dette kan påvirke gjennomsnittlig lønnsvekst. Gjennomsnittlig alder gikk noe ned fra 2013 til 2014, og ligger i gjennomsnitt om lag 10 år lavere enn gjennomsnittlig alder for alle ansatte i NHO-bedrifter. </w:t>
      </w:r>
    </w:p>
    <w:p w14:paraId="0A0A5AD4" w14:textId="77777777" w:rsidR="00290B90" w:rsidRPr="00E7480D" w:rsidRDefault="00515B03" w:rsidP="00515B03">
      <w:pPr>
        <w:rPr>
          <w:rFonts w:ascii="Times New Roman" w:hAnsi="Times New Roman"/>
          <w:szCs w:val="24"/>
        </w:rPr>
      </w:pPr>
      <w:r w:rsidRPr="00E7480D">
        <w:rPr>
          <w:rFonts w:ascii="Times New Roman" w:hAnsi="Times New Roman"/>
          <w:szCs w:val="24"/>
        </w:rPr>
        <w:t xml:space="preserve">I tariffoppgjøret 2014 ble det innenfor hotell- og restaurant totalt gitt 5,06 kr/t (37,5 t/uke). Lønnsoverhenget inn i 2014 var beregnet til 0,7 prosent. </w:t>
      </w:r>
      <w:r w:rsidR="00F11467" w:rsidRPr="00E7480D">
        <w:rPr>
          <w:rFonts w:ascii="Times New Roman" w:hAnsi="Times New Roman"/>
          <w:szCs w:val="24"/>
        </w:rPr>
        <w:t>Bidraget fra l</w:t>
      </w:r>
      <w:r w:rsidRPr="00E7480D">
        <w:rPr>
          <w:rFonts w:ascii="Times New Roman" w:hAnsi="Times New Roman"/>
          <w:szCs w:val="24"/>
        </w:rPr>
        <w:t>ønnsglidningen er beregnet til 0,1 prosent</w:t>
      </w:r>
      <w:r w:rsidR="00F11467" w:rsidRPr="00E7480D">
        <w:rPr>
          <w:rFonts w:ascii="Times New Roman" w:hAnsi="Times New Roman"/>
          <w:szCs w:val="24"/>
        </w:rPr>
        <w:t>poeng</w:t>
      </w:r>
      <w:r w:rsidRPr="00E7480D">
        <w:rPr>
          <w:rFonts w:ascii="Times New Roman" w:hAnsi="Times New Roman"/>
          <w:szCs w:val="24"/>
        </w:rPr>
        <w:t>, mens det året før var en positiv lønnsglidning på 1,3 prosentpoeng.</w:t>
      </w:r>
    </w:p>
    <w:p w14:paraId="2E1063D1" w14:textId="1FB96542" w:rsidR="00E7480D" w:rsidRPr="00290B90" w:rsidRDefault="00E7480D" w:rsidP="00515B03">
      <w:r w:rsidRPr="00E7480D">
        <w:rPr>
          <w:rFonts w:ascii="Times New Roman" w:hAnsi="Times New Roman"/>
          <w:szCs w:val="24"/>
        </w:rPr>
        <w:t xml:space="preserve">Lønnsoverhenget inn i 2015 innenfor området for Riksavtalen i hotell- og restaurantvirksomhet ble beregnet til 0,8 prosent. Sammen med garantitillegg på kr. 1,51 </w:t>
      </w:r>
      <w:r w:rsidR="003E2312">
        <w:rPr>
          <w:rFonts w:ascii="Times New Roman" w:hAnsi="Times New Roman"/>
          <w:szCs w:val="24"/>
        </w:rPr>
        <w:t xml:space="preserve">per time </w:t>
      </w:r>
      <w:r w:rsidRPr="00E7480D">
        <w:rPr>
          <w:rFonts w:ascii="Times New Roman" w:hAnsi="Times New Roman"/>
          <w:szCs w:val="24"/>
        </w:rPr>
        <w:t>pr. 1.</w:t>
      </w:r>
      <w:r w:rsidR="003E2312">
        <w:rPr>
          <w:rFonts w:ascii="Times New Roman" w:hAnsi="Times New Roman"/>
          <w:szCs w:val="24"/>
        </w:rPr>
        <w:t xml:space="preserve"> </w:t>
      </w:r>
      <w:r w:rsidRPr="00E7480D">
        <w:rPr>
          <w:rFonts w:ascii="Times New Roman" w:hAnsi="Times New Roman"/>
          <w:szCs w:val="24"/>
        </w:rPr>
        <w:t>april 2015, og lavlønnstillegg på kr. 1,75</w:t>
      </w:r>
      <w:r w:rsidR="003E2312">
        <w:rPr>
          <w:rFonts w:ascii="Times New Roman" w:hAnsi="Times New Roman"/>
          <w:szCs w:val="24"/>
        </w:rPr>
        <w:t xml:space="preserve"> per time fra samme dato</w:t>
      </w:r>
      <w:r w:rsidRPr="00E7480D">
        <w:rPr>
          <w:rFonts w:ascii="Times New Roman" w:hAnsi="Times New Roman"/>
          <w:szCs w:val="24"/>
        </w:rPr>
        <w:t xml:space="preserve">, er årslønnsveksten fra 2014 til 2015 beregnet til vel 2 prosent før </w:t>
      </w:r>
      <w:r w:rsidR="0089628E">
        <w:rPr>
          <w:rFonts w:ascii="Times New Roman" w:hAnsi="Times New Roman"/>
          <w:szCs w:val="24"/>
        </w:rPr>
        <w:t xml:space="preserve">bidrag fra </w:t>
      </w:r>
      <w:r w:rsidRPr="00E7480D">
        <w:rPr>
          <w:rFonts w:ascii="Times New Roman" w:hAnsi="Times New Roman"/>
          <w:szCs w:val="24"/>
        </w:rPr>
        <w:t>lønnsglidning.</w:t>
      </w:r>
    </w:p>
    <w:p w14:paraId="4A4B404C" w14:textId="77777777" w:rsidR="004B1A77" w:rsidRDefault="004B1A77" w:rsidP="004B1A77">
      <w:pPr>
        <w:pStyle w:val="Overskrift3"/>
      </w:pPr>
      <w:bookmarkStart w:id="67" w:name="_Toc286073352"/>
      <w:bookmarkStart w:id="68" w:name="_Toc286074996"/>
      <w:bookmarkStart w:id="69" w:name="_Toc286075245"/>
      <w:bookmarkStart w:id="70" w:name="_Toc286076964"/>
      <w:bookmarkStart w:id="71" w:name="_Toc320820662"/>
      <w:bookmarkStart w:id="72" w:name="_Toc351913431"/>
      <w:bookmarkStart w:id="73" w:name="_Toc380506125"/>
      <w:bookmarkStart w:id="74" w:name="_Toc422226818"/>
      <w:r w:rsidRPr="00BA1C84">
        <w:t>Lønnsutviklingen for funksjonærer i NHO-bedrifter</w:t>
      </w:r>
      <w:bookmarkEnd w:id="67"/>
      <w:bookmarkEnd w:id="68"/>
      <w:bookmarkEnd w:id="69"/>
      <w:bookmarkEnd w:id="70"/>
      <w:bookmarkEnd w:id="71"/>
      <w:bookmarkEnd w:id="72"/>
      <w:bookmarkEnd w:id="73"/>
      <w:bookmarkEnd w:id="74"/>
    </w:p>
    <w:p w14:paraId="43EE6FD0" w14:textId="77777777" w:rsidR="00B81732" w:rsidRPr="00957F01" w:rsidRDefault="00B81732" w:rsidP="00B81732">
      <w:pPr>
        <w:autoSpaceDE w:val="0"/>
        <w:autoSpaceDN w:val="0"/>
        <w:adjustRightInd w:val="0"/>
        <w:rPr>
          <w:rFonts w:ascii="Times New Roman" w:hAnsi="Times New Roman"/>
          <w:color w:val="000000"/>
          <w:szCs w:val="24"/>
        </w:rPr>
      </w:pPr>
      <w:r w:rsidRPr="00957F01">
        <w:rPr>
          <w:rFonts w:ascii="Times New Roman" w:hAnsi="Times New Roman"/>
          <w:i/>
          <w:iCs/>
          <w:color w:val="000000"/>
          <w:szCs w:val="24"/>
        </w:rPr>
        <w:t xml:space="preserve">Industrifunksjonærene </w:t>
      </w:r>
      <w:r w:rsidRPr="00957F01">
        <w:rPr>
          <w:rFonts w:ascii="Times New Roman" w:hAnsi="Times New Roman"/>
          <w:color w:val="000000"/>
          <w:szCs w:val="24"/>
        </w:rPr>
        <w:t xml:space="preserve">i NHO-bedrifter utgjør om lag ⅓ av alle funksjonærer i NHO-bedrifter. Årslønnsveksten for industrifunksjonærer fra 2013 til 2014 var 3,2 prosent, mot 4,3 prosent året før. Fra 1. oktober 2013 til 1. oktober 2014 var lønnsveksten samlet for industrifunksjonærer 3,0 prosent, mot 3,6 prosent året før. </w:t>
      </w:r>
    </w:p>
    <w:p w14:paraId="2D444DFD" w14:textId="77777777" w:rsidR="00B81732" w:rsidRPr="00957F01" w:rsidRDefault="00B81732" w:rsidP="00B81732">
      <w:pPr>
        <w:autoSpaceDE w:val="0"/>
        <w:autoSpaceDN w:val="0"/>
        <w:adjustRightInd w:val="0"/>
        <w:rPr>
          <w:rFonts w:ascii="Times New Roman" w:hAnsi="Times New Roman"/>
          <w:color w:val="000000"/>
          <w:szCs w:val="24"/>
        </w:rPr>
      </w:pPr>
      <w:r w:rsidRPr="00957F01">
        <w:rPr>
          <w:rFonts w:ascii="Times New Roman" w:hAnsi="Times New Roman"/>
          <w:color w:val="000000"/>
          <w:szCs w:val="24"/>
        </w:rPr>
        <w:t xml:space="preserve">Lønnsoverhenget for industrifunksjonærer i NHO-bedrifter inn i 2014 var beregnet til 1,4 prosent, slik at bidraget fra lønnsglidningen i 2014 var 1,8 prosentpoeng. </w:t>
      </w:r>
    </w:p>
    <w:p w14:paraId="3070AB11" w14:textId="77777777" w:rsidR="00B81732" w:rsidRPr="00957F01" w:rsidRDefault="00B81732" w:rsidP="00B81732">
      <w:pPr>
        <w:autoSpaceDE w:val="0"/>
        <w:autoSpaceDN w:val="0"/>
        <w:adjustRightInd w:val="0"/>
        <w:rPr>
          <w:rFonts w:ascii="Times New Roman" w:hAnsi="Times New Roman"/>
          <w:color w:val="000000"/>
          <w:szCs w:val="24"/>
        </w:rPr>
      </w:pPr>
      <w:r w:rsidRPr="00957F01">
        <w:rPr>
          <w:rFonts w:ascii="Times New Roman" w:hAnsi="Times New Roman"/>
          <w:color w:val="000000"/>
          <w:szCs w:val="24"/>
        </w:rPr>
        <w:t xml:space="preserve">Mens om lag en fjerdedels prosentpoeng av lønnsveksten fra 2012 til 2013 skyldes endringer i årsverk, fra næringer med lønnsnivå noe lavere enn gjennomsnittlig lønnsnivå (næringsmiddel, treindustri) til næringer med gjennomgående høyere lønnsnivå (verksted/metall inkl. offshorerettet, kjemisk ol.), er slike virkninger små fra 2013 til 2014. Gjennomsnittlig bonus trekker ned, mens uregelmessige tillegg ellers trekker opp. </w:t>
      </w:r>
    </w:p>
    <w:p w14:paraId="6D5F81F1" w14:textId="77777777" w:rsidR="00B81732" w:rsidRPr="00957F01" w:rsidRDefault="00B81732" w:rsidP="00B81732">
      <w:pPr>
        <w:autoSpaceDE w:val="0"/>
        <w:autoSpaceDN w:val="0"/>
        <w:adjustRightInd w:val="0"/>
        <w:rPr>
          <w:rFonts w:ascii="Times New Roman" w:hAnsi="Times New Roman"/>
          <w:color w:val="000000"/>
          <w:szCs w:val="24"/>
        </w:rPr>
      </w:pPr>
      <w:r w:rsidRPr="00957F01">
        <w:rPr>
          <w:rFonts w:ascii="Times New Roman" w:hAnsi="Times New Roman"/>
          <w:color w:val="000000"/>
          <w:szCs w:val="24"/>
        </w:rPr>
        <w:t xml:space="preserve">Klassifiseringen av NHO-bedrifter i tariffsammenheng og i utvalgets rapportering, vil avvike noe fra offentlig klassifisering. For nærmere informasjon henvises til boks 1.1. Virkningene blir også omtalt i fotnotene i tabellene. </w:t>
      </w:r>
    </w:p>
    <w:p w14:paraId="0408E16E" w14:textId="77777777" w:rsidR="00B81732" w:rsidRPr="00957F01" w:rsidRDefault="00B81732" w:rsidP="00B81732">
      <w:pPr>
        <w:autoSpaceDE w:val="0"/>
        <w:autoSpaceDN w:val="0"/>
        <w:adjustRightInd w:val="0"/>
        <w:rPr>
          <w:rFonts w:ascii="Times New Roman" w:hAnsi="Times New Roman"/>
          <w:color w:val="000000"/>
          <w:szCs w:val="24"/>
        </w:rPr>
      </w:pPr>
      <w:r w:rsidRPr="00957F01">
        <w:rPr>
          <w:rFonts w:ascii="Times New Roman" w:hAnsi="Times New Roman"/>
          <w:color w:val="000000"/>
          <w:szCs w:val="24"/>
        </w:rPr>
        <w:t xml:space="preserve">Lønnsveksten inneholder både endring i grunnlønn, bonus og uregelmessige tillegg som skift etc. Basert på data for hvilken måned lønnsreguleringen skjer innenfor de enkelte bransjegrupper, er årslønn beregnet ved at de ulike bransjene blir vektet sammen til industrifunksjonærer totalt og totalt for alle bransjer. Som i andre områder forutsettes ingen endringer etter registreringstidspunktet 1. oktober. Dette danner grunnlag for beregninger av årslønnsvekst. Også for funksjonærer kan det være ulike arbeidstidsordninger. Dette er det tatt hensyn til i den grad bedriftene har innberettet dette i datamaterialet. </w:t>
      </w:r>
    </w:p>
    <w:p w14:paraId="63BCFB92" w14:textId="77777777" w:rsidR="00B81732" w:rsidRPr="00957F01" w:rsidRDefault="00B81732" w:rsidP="00B81732">
      <w:pPr>
        <w:autoSpaceDE w:val="0"/>
        <w:autoSpaceDN w:val="0"/>
        <w:adjustRightInd w:val="0"/>
        <w:rPr>
          <w:rFonts w:ascii="Times New Roman" w:hAnsi="Times New Roman"/>
          <w:color w:val="000000"/>
          <w:szCs w:val="24"/>
        </w:rPr>
      </w:pPr>
      <w:r w:rsidRPr="00957F01">
        <w:rPr>
          <w:rFonts w:ascii="Times New Roman" w:hAnsi="Times New Roman"/>
          <w:color w:val="000000"/>
          <w:szCs w:val="24"/>
        </w:rPr>
        <w:lastRenderedPageBreak/>
        <w:t xml:space="preserve">Lønnsoverhenget for industrifunksjonærer inn i 2015 er beregnet til 1,3 prosent, mot 1,4 prosent året før. </w:t>
      </w:r>
    </w:p>
    <w:p w14:paraId="640BFC3C" w14:textId="77777777" w:rsidR="00B81732" w:rsidRPr="00957F01" w:rsidRDefault="00B81732" w:rsidP="00B81732">
      <w:pPr>
        <w:autoSpaceDE w:val="0"/>
        <w:autoSpaceDN w:val="0"/>
        <w:adjustRightInd w:val="0"/>
        <w:rPr>
          <w:rFonts w:ascii="Times New Roman" w:hAnsi="Times New Roman"/>
          <w:color w:val="000000"/>
          <w:szCs w:val="24"/>
        </w:rPr>
      </w:pPr>
      <w:r w:rsidRPr="00957F01">
        <w:rPr>
          <w:rFonts w:ascii="Times New Roman" w:hAnsi="Times New Roman"/>
          <w:i/>
          <w:iCs/>
          <w:color w:val="000000"/>
          <w:szCs w:val="24"/>
        </w:rPr>
        <w:t>Funksjonærgrupper ellers i NHO-område</w:t>
      </w:r>
      <w:r w:rsidR="00CB2DF4" w:rsidRPr="00957F01">
        <w:rPr>
          <w:rFonts w:ascii="Times New Roman" w:hAnsi="Times New Roman"/>
          <w:i/>
          <w:iCs/>
          <w:color w:val="000000"/>
          <w:szCs w:val="24"/>
        </w:rPr>
        <w:t>t</w:t>
      </w:r>
      <w:r w:rsidRPr="00957F01">
        <w:rPr>
          <w:rFonts w:ascii="Times New Roman" w:hAnsi="Times New Roman"/>
          <w:i/>
          <w:iCs/>
          <w:color w:val="000000"/>
          <w:szCs w:val="24"/>
        </w:rPr>
        <w:t xml:space="preserve"> </w:t>
      </w:r>
      <w:r w:rsidRPr="00957F01">
        <w:rPr>
          <w:rFonts w:ascii="Times New Roman" w:hAnsi="Times New Roman"/>
          <w:color w:val="000000"/>
          <w:szCs w:val="24"/>
        </w:rPr>
        <w:t xml:space="preserve">er ansatte innenfor bergverk, skogbruk, fiskeoppdrett, kraftforsyning, oljevirksomhet, bygge- og anleggsvirksomhet, samferdsel, forskning og undervisning, personlig og forretningsmessig tjenesteyting, hotell og restaurant, vitenskapelig og teknisk tjenesteyting, informasjonssektoren etc. Samlet utgjør bransjene utenfor industrien om lag ⅔ av alle funksjonærer i NHO-bedrifter. </w:t>
      </w:r>
    </w:p>
    <w:p w14:paraId="3AD86EBA" w14:textId="7E9473F4" w:rsidR="00B81732" w:rsidRPr="00957F01" w:rsidRDefault="00B81732" w:rsidP="00B81732">
      <w:pPr>
        <w:autoSpaceDE w:val="0"/>
        <w:autoSpaceDN w:val="0"/>
        <w:adjustRightInd w:val="0"/>
        <w:rPr>
          <w:rFonts w:ascii="Times New Roman" w:hAnsi="Times New Roman"/>
          <w:color w:val="000000"/>
          <w:szCs w:val="24"/>
        </w:rPr>
      </w:pPr>
      <w:r w:rsidRPr="00957F01">
        <w:rPr>
          <w:rFonts w:ascii="Times New Roman" w:hAnsi="Times New Roman"/>
          <w:color w:val="000000"/>
          <w:szCs w:val="24"/>
        </w:rPr>
        <w:t xml:space="preserve">Gjennomsnittlig lønnsvekst for </w:t>
      </w:r>
      <w:r w:rsidRPr="00957F01">
        <w:rPr>
          <w:rFonts w:ascii="Times New Roman" w:hAnsi="Times New Roman"/>
          <w:i/>
          <w:iCs/>
          <w:color w:val="000000"/>
          <w:szCs w:val="24"/>
        </w:rPr>
        <w:t xml:space="preserve">alle funksjonærer i NHO-området </w:t>
      </w:r>
      <w:r w:rsidRPr="00957F01">
        <w:rPr>
          <w:rFonts w:ascii="Times New Roman" w:hAnsi="Times New Roman"/>
          <w:color w:val="000000"/>
          <w:szCs w:val="24"/>
        </w:rPr>
        <w:t>ble 3,3 prosent fra 2013 til 2014, mot 4,3 prosent året før. Fra 1. oktober 2013 til 1. oktober 2014 er veksten for funksjonærgruppen 3,3 prosent, mot 3,9</w:t>
      </w:r>
      <w:r w:rsidR="00022754">
        <w:rPr>
          <w:rFonts w:ascii="Times New Roman" w:hAnsi="Times New Roman"/>
          <w:color w:val="000000"/>
          <w:szCs w:val="24"/>
        </w:rPr>
        <w:t xml:space="preserve"> </w:t>
      </w:r>
      <w:r w:rsidRPr="00957F01">
        <w:rPr>
          <w:rFonts w:ascii="Times New Roman" w:hAnsi="Times New Roman"/>
          <w:color w:val="000000"/>
          <w:szCs w:val="24"/>
        </w:rPr>
        <w:t xml:space="preserve">prosent året før. </w:t>
      </w:r>
    </w:p>
    <w:p w14:paraId="1C1CA2C0" w14:textId="77777777" w:rsidR="00B81732" w:rsidRPr="00957F01" w:rsidRDefault="00B81732" w:rsidP="00B81732">
      <w:pPr>
        <w:autoSpaceDE w:val="0"/>
        <w:autoSpaceDN w:val="0"/>
        <w:adjustRightInd w:val="0"/>
        <w:rPr>
          <w:rFonts w:ascii="Times New Roman" w:hAnsi="Times New Roman"/>
          <w:color w:val="000000"/>
          <w:szCs w:val="24"/>
        </w:rPr>
      </w:pPr>
      <w:r w:rsidRPr="00957F01">
        <w:rPr>
          <w:rFonts w:ascii="Times New Roman" w:hAnsi="Times New Roman"/>
          <w:color w:val="000000"/>
          <w:szCs w:val="24"/>
        </w:rPr>
        <w:t xml:space="preserve">Lønnsoverhenget </w:t>
      </w:r>
      <w:r w:rsidR="00CB2DF4" w:rsidRPr="00957F01">
        <w:rPr>
          <w:rFonts w:ascii="Times New Roman" w:hAnsi="Times New Roman"/>
          <w:color w:val="000000"/>
          <w:szCs w:val="24"/>
        </w:rPr>
        <w:t xml:space="preserve">til 2015 </w:t>
      </w:r>
      <w:r w:rsidRPr="00957F01">
        <w:rPr>
          <w:rFonts w:ascii="Times New Roman" w:hAnsi="Times New Roman"/>
          <w:color w:val="000000"/>
          <w:szCs w:val="24"/>
        </w:rPr>
        <w:t xml:space="preserve">for alle funksjonærer i NHO-bedrifter er beregnet til 1,3 prosent. </w:t>
      </w:r>
    </w:p>
    <w:p w14:paraId="119C56AD" w14:textId="77777777" w:rsidR="00290B90" w:rsidRPr="00290B90" w:rsidRDefault="00B81732" w:rsidP="00B81732">
      <w:r w:rsidRPr="00957F01">
        <w:rPr>
          <w:rFonts w:ascii="Times New Roman" w:hAnsi="Times New Roman"/>
          <w:color w:val="000000"/>
          <w:szCs w:val="24"/>
        </w:rPr>
        <w:t xml:space="preserve">Tallene ovenfor inkluderer både tekniske og andre funksjonærgrupper inklusive lederstillinger. Ansatte med minstelønnsavtaler innenfor funksjonærgruppene i NHO-bedrifter, omfatter ikke mer enn anslagsvis 10 prosent av alle funksjonærer. </w:t>
      </w:r>
      <w:r w:rsidRPr="00957F01">
        <w:rPr>
          <w:rFonts w:ascii="Times New Roman" w:hAnsi="Times New Roman"/>
          <w:szCs w:val="24"/>
        </w:rPr>
        <w:t>I tillegg til lønnsstatistikk for arbeidere og funksjonærer er det grupper innenfor håndverk, handel, helse, organisasjoner etc. hvor man ikke kan skille mellom arbeidere og funksjonærer. I tillegg utgjør bemanningsbedrifter, som omfatter mange forskjellige yrkesgrupper i klassifikasjonene, etter hvert en stor gruppe. Disse gruppene utgjør nå om lag 10 prosent av alle årsverk i NHO-bedrifter og er ikke med i forhandlingsstatistikken verken for arbeidere eller funksjonærer</w:t>
      </w:r>
      <w:r w:rsidRPr="00C9221D">
        <w:t>.</w:t>
      </w:r>
    </w:p>
    <w:p w14:paraId="35B5E3CB" w14:textId="77777777" w:rsidR="004B1A77" w:rsidRPr="00BA1C84" w:rsidRDefault="004B1A77" w:rsidP="004B1A77">
      <w:pPr>
        <w:pStyle w:val="Overskrift3"/>
      </w:pPr>
      <w:bookmarkStart w:id="75" w:name="_Toc286073353"/>
      <w:bookmarkStart w:id="76" w:name="_Toc286074997"/>
      <w:bookmarkStart w:id="77" w:name="_Toc286075246"/>
      <w:bookmarkStart w:id="78" w:name="_Toc286076965"/>
      <w:bookmarkStart w:id="79" w:name="_Toc320820663"/>
      <w:bookmarkStart w:id="80" w:name="_Toc351913432"/>
      <w:bookmarkStart w:id="81" w:name="_Toc380506126"/>
      <w:bookmarkStart w:id="82" w:name="_Toc422226819"/>
      <w:r w:rsidRPr="00BA1C84">
        <w:t>Lønnsutviklingen for industriarbeidere og industrifunksjonærer i NHO-bedrifter under ett (både heltid og deltid)</w:t>
      </w:r>
      <w:bookmarkEnd w:id="75"/>
      <w:bookmarkEnd w:id="76"/>
      <w:bookmarkEnd w:id="77"/>
      <w:bookmarkEnd w:id="78"/>
      <w:bookmarkEnd w:id="79"/>
      <w:bookmarkEnd w:id="80"/>
      <w:bookmarkEnd w:id="81"/>
      <w:bookmarkEnd w:id="82"/>
    </w:p>
    <w:p w14:paraId="1DF0BE63" w14:textId="77777777" w:rsidR="00CD63C4" w:rsidRPr="00957F01" w:rsidRDefault="00CD63C4" w:rsidP="00CD63C4">
      <w:pPr>
        <w:autoSpaceDE w:val="0"/>
        <w:autoSpaceDN w:val="0"/>
        <w:adjustRightInd w:val="0"/>
        <w:spacing w:before="240"/>
        <w:rPr>
          <w:rFonts w:ascii="Times New Roman" w:hAnsi="Times New Roman"/>
          <w:szCs w:val="24"/>
        </w:rPr>
      </w:pPr>
      <w:r w:rsidRPr="00957F01">
        <w:rPr>
          <w:rFonts w:ascii="Times New Roman" w:hAnsi="Times New Roman"/>
          <w:szCs w:val="24"/>
        </w:rPr>
        <w:t xml:space="preserve">Gjennomsnittlig lønnsvekst samlet for alle industriansatte i NHO-bedrifter var 3,3 prosent fra 2013 til 2014. Tilsvarende lønnsvekst fra 2012 til 2013 var 3,9 prosent. </w:t>
      </w:r>
    </w:p>
    <w:p w14:paraId="0B974A07" w14:textId="77777777" w:rsidR="004B1A77" w:rsidRPr="00B20B72" w:rsidRDefault="00CD63C4" w:rsidP="00CD63C4">
      <w:pPr>
        <w:rPr>
          <w:rFonts w:eastAsia="Times New Roman"/>
          <w:b/>
        </w:rPr>
      </w:pPr>
      <w:r w:rsidRPr="00957F01">
        <w:rPr>
          <w:rFonts w:ascii="Times New Roman" w:hAnsi="Times New Roman"/>
          <w:szCs w:val="24"/>
        </w:rPr>
        <w:t>Grunnlaget for beregningene er basert på Statistisk sentralbyrås oppdaterte sysselsettingstall (antall ansatte) for NHO-bedrifter for tellingstidspunkt oktober i 2014 i forhold til oktober 2013, gruppert etter de samme næringsgruppene som ellers i industrien. (jf. vedleggstabell 4.10). Lønnstall samlet for alle ansatte innenfor næringsgruppene er vektet sammen basert på sysselsettingstall fra Statistisk sentralbyrå (jf. ovenfor). Vektene mellom næringene baserer seg på de bedriftsenheter som er entydig klassifisert som industri i henholdsvis medlemsregistret i NHO og foretak</w:t>
      </w:r>
      <w:r w:rsidR="00CB2DF4" w:rsidRPr="00957F01">
        <w:rPr>
          <w:rFonts w:ascii="Times New Roman" w:hAnsi="Times New Roman"/>
          <w:szCs w:val="24"/>
        </w:rPr>
        <w:t>s-</w:t>
      </w:r>
      <w:r w:rsidRPr="00957F01">
        <w:rPr>
          <w:rFonts w:ascii="Times New Roman" w:hAnsi="Times New Roman"/>
          <w:szCs w:val="24"/>
        </w:rPr>
        <w:t xml:space="preserve"> og bedriftsregistret (FOB) i Statistisk sentralbyrå.</w:t>
      </w:r>
    </w:p>
    <w:p w14:paraId="04D567F4" w14:textId="77777777" w:rsidR="00423A13" w:rsidRPr="00BA1C84" w:rsidRDefault="00423A13" w:rsidP="001E2BC6">
      <w:pPr>
        <w:pStyle w:val="Overskrift3"/>
      </w:pPr>
      <w:bookmarkStart w:id="83" w:name="_Toc351913433"/>
      <w:bookmarkStart w:id="84" w:name="_Toc380506127"/>
      <w:bookmarkStart w:id="85" w:name="_Toc415240751"/>
      <w:bookmarkStart w:id="86" w:name="_Toc422226820"/>
      <w:bookmarkStart w:id="87" w:name="_Toc225769703"/>
      <w:bookmarkStart w:id="88" w:name="_Toc225769829"/>
      <w:bookmarkStart w:id="89" w:name="_Toc226010294"/>
      <w:bookmarkStart w:id="90" w:name="_Toc286073357"/>
      <w:bookmarkStart w:id="91" w:name="_Toc286074004"/>
      <w:bookmarkStart w:id="92" w:name="_Toc286075001"/>
      <w:bookmarkStart w:id="93" w:name="_Toc286075250"/>
      <w:bookmarkStart w:id="94" w:name="_Toc289722985"/>
      <w:bookmarkStart w:id="95" w:name="_Toc296427214"/>
      <w:bookmarkStart w:id="96" w:name="_Toc96946413"/>
      <w:bookmarkStart w:id="97" w:name="_Toc96946583"/>
      <w:bookmarkStart w:id="98" w:name="_Toc96946808"/>
      <w:r w:rsidRPr="00BA1C84">
        <w:t>Lønnsutviklingen i andre områder i privat næringsvirksomhet</w:t>
      </w:r>
      <w:bookmarkEnd w:id="83"/>
      <w:bookmarkEnd w:id="84"/>
      <w:bookmarkEnd w:id="85"/>
      <w:bookmarkEnd w:id="86"/>
    </w:p>
    <w:p w14:paraId="618514B2" w14:textId="394A27B5" w:rsidR="00423A13" w:rsidRPr="00423A13" w:rsidRDefault="00423A13" w:rsidP="00423A13">
      <w:pPr>
        <w:rPr>
          <w:noProof/>
        </w:rPr>
      </w:pPr>
      <w:bookmarkStart w:id="99" w:name="_Toc96946410"/>
      <w:bookmarkStart w:id="100" w:name="_Toc96946580"/>
      <w:bookmarkStart w:id="101" w:name="_Toc96946805"/>
      <w:bookmarkStart w:id="102" w:name="_Toc225769701"/>
      <w:bookmarkStart w:id="103" w:name="_Toc225769827"/>
      <w:bookmarkStart w:id="104" w:name="_Toc226010292"/>
      <w:bookmarkStart w:id="105" w:name="_Toc286073355"/>
      <w:bookmarkStart w:id="106" w:name="_Toc286074999"/>
      <w:bookmarkStart w:id="107" w:name="_Toc286075248"/>
      <w:bookmarkStart w:id="108" w:name="_Toc289722983"/>
      <w:bookmarkStart w:id="109" w:name="_Toc296427212"/>
      <w:r w:rsidRPr="00EA0201">
        <w:rPr>
          <w:rFonts w:ascii="Times New Roman" w:hAnsi="Times New Roman"/>
          <w:sz w:val="23"/>
          <w:szCs w:val="23"/>
        </w:rPr>
        <w:t xml:space="preserve">I </w:t>
      </w:r>
      <w:r w:rsidRPr="00EA0201">
        <w:rPr>
          <w:rFonts w:ascii="Times New Roman" w:hAnsi="Times New Roman"/>
          <w:i/>
          <w:sz w:val="23"/>
          <w:szCs w:val="23"/>
        </w:rPr>
        <w:t>finansnæringen</w:t>
      </w:r>
      <w:r w:rsidRPr="00EA0201">
        <w:rPr>
          <w:rFonts w:ascii="Times New Roman" w:hAnsi="Times New Roman"/>
          <w:sz w:val="23"/>
          <w:szCs w:val="23"/>
        </w:rPr>
        <w:t xml:space="preserve"> ble det i hovedoppgjøret for 2014 mellom Finansforbundet og Finans Norge og mellom LO/ HK</w:t>
      </w:r>
      <w:r w:rsidRPr="00EA0201" w:rsidDel="0049356C">
        <w:rPr>
          <w:rFonts w:ascii="Times New Roman" w:hAnsi="Times New Roman"/>
          <w:sz w:val="23"/>
          <w:szCs w:val="23"/>
        </w:rPr>
        <w:t xml:space="preserve"> </w:t>
      </w:r>
      <w:r w:rsidRPr="00EA0201">
        <w:rPr>
          <w:rFonts w:ascii="Times New Roman" w:hAnsi="Times New Roman"/>
          <w:sz w:val="23"/>
          <w:szCs w:val="23"/>
        </w:rPr>
        <w:t>og Norsk Post- og Kommunikasjonsforbund og Finans Norge gitt et generelt tillegg på 1,5 prosent eller minimum 6 000 kroner per år med virkning fra 1. mai 2014. Tillegget anslås å bidra med 1 prosentpoeng til årslønnsveksten fra 2013 til 2014.</w:t>
      </w:r>
      <w:r w:rsidR="00874949">
        <w:rPr>
          <w:rFonts w:ascii="Times New Roman" w:hAnsi="Times New Roman"/>
          <w:sz w:val="23"/>
          <w:szCs w:val="23"/>
        </w:rPr>
        <w:t xml:space="preserve"> </w:t>
      </w:r>
      <w:r w:rsidRPr="00EA0201">
        <w:rPr>
          <w:rFonts w:ascii="Times New Roman" w:hAnsi="Times New Roman"/>
          <w:sz w:val="23"/>
          <w:szCs w:val="23"/>
        </w:rPr>
        <w:t>Ifølge Finans Norge ble det i medlemsbedriftene under ett gitt lokale tillegg per 1. januar 2014 på 0,72 prosent og per 1</w:t>
      </w:r>
      <w:r w:rsidR="00874949" w:rsidRPr="00EA0201">
        <w:rPr>
          <w:rFonts w:ascii="Times New Roman" w:hAnsi="Times New Roman"/>
          <w:sz w:val="23"/>
          <w:szCs w:val="23"/>
        </w:rPr>
        <w:t>.</w:t>
      </w:r>
      <w:r w:rsidR="00874949">
        <w:rPr>
          <w:rFonts w:ascii="Times New Roman" w:hAnsi="Times New Roman"/>
          <w:sz w:val="23"/>
          <w:szCs w:val="23"/>
        </w:rPr>
        <w:t> </w:t>
      </w:r>
      <w:r w:rsidRPr="00EA0201">
        <w:rPr>
          <w:rFonts w:ascii="Times New Roman" w:hAnsi="Times New Roman"/>
          <w:sz w:val="23"/>
          <w:szCs w:val="23"/>
        </w:rPr>
        <w:t>juli 2014 på 1,14 prosent.</w:t>
      </w:r>
      <w:r>
        <w:rPr>
          <w:rFonts w:ascii="Times New Roman" w:hAnsi="Times New Roman"/>
          <w:sz w:val="23"/>
          <w:szCs w:val="23"/>
        </w:rPr>
        <w:t xml:space="preserve"> </w:t>
      </w:r>
      <w:r w:rsidRPr="005C65D7">
        <w:t xml:space="preserve">For finanstjenester har utvalget, på grunnlag av lønnsstatistikken for 2014 og lønnstilleggene i 2014, beregnet årslønnsveksten fra 2013 til 2014 </w:t>
      </w:r>
      <w:r w:rsidRPr="00050BBE">
        <w:t xml:space="preserve">til </w:t>
      </w:r>
      <w:r w:rsidRPr="00050BBE">
        <w:rPr>
          <w:noProof/>
        </w:rPr>
        <w:t xml:space="preserve">2,9 </w:t>
      </w:r>
      <w:r w:rsidRPr="00050BBE">
        <w:t>prosent.</w:t>
      </w:r>
      <w:r>
        <w:t xml:space="preserve"> </w:t>
      </w:r>
    </w:p>
    <w:p w14:paraId="4977DD4F" w14:textId="4C3086AD" w:rsidR="00423A13" w:rsidRPr="001E2BC6" w:rsidRDefault="00423A13" w:rsidP="00423A13">
      <w:pPr>
        <w:pStyle w:val="Default"/>
        <w:spacing w:after="120"/>
        <w:rPr>
          <w:rFonts w:ascii="Times" w:eastAsia="Batang" w:hAnsi="Times"/>
          <w:color w:val="auto"/>
          <w:szCs w:val="20"/>
        </w:rPr>
      </w:pPr>
      <w:r w:rsidRPr="00335AA8">
        <w:rPr>
          <w:rFonts w:ascii="Times" w:eastAsia="Batang" w:hAnsi="Times"/>
          <w:color w:val="auto"/>
          <w:szCs w:val="20"/>
        </w:rPr>
        <w:t>I mellomoppgjøret for 2015 ble det mellom Finansforbundet og Finans Norge og mellom LO/HK</w:t>
      </w:r>
      <w:r w:rsidRPr="00335AA8" w:rsidDel="0049356C">
        <w:rPr>
          <w:rFonts w:ascii="Times" w:eastAsia="Batang" w:hAnsi="Times"/>
          <w:color w:val="auto"/>
          <w:szCs w:val="20"/>
        </w:rPr>
        <w:t xml:space="preserve"> </w:t>
      </w:r>
      <w:r w:rsidRPr="00335AA8">
        <w:rPr>
          <w:rFonts w:ascii="Times" w:eastAsia="Batang" w:hAnsi="Times"/>
          <w:color w:val="auto"/>
          <w:szCs w:val="20"/>
        </w:rPr>
        <w:t xml:space="preserve">og Norsk Post- og </w:t>
      </w:r>
      <w:r w:rsidRPr="001E2BC6">
        <w:rPr>
          <w:rFonts w:ascii="Times" w:eastAsia="Batang" w:hAnsi="Times"/>
          <w:color w:val="auto"/>
          <w:szCs w:val="20"/>
        </w:rPr>
        <w:t xml:space="preserve">Kommunikasjonsforbund og Finans Norge gitt et tillegg på </w:t>
      </w:r>
      <w:r w:rsidR="00874949">
        <w:rPr>
          <w:rFonts w:ascii="Times" w:eastAsia="Batang" w:hAnsi="Times"/>
          <w:color w:val="auto"/>
          <w:szCs w:val="20"/>
        </w:rPr>
        <w:t xml:space="preserve">lønnsregulativets trinn på </w:t>
      </w:r>
      <w:r w:rsidRPr="001E2BC6">
        <w:rPr>
          <w:rFonts w:ascii="Times" w:eastAsia="Batang" w:hAnsi="Times"/>
          <w:color w:val="auto"/>
          <w:szCs w:val="20"/>
        </w:rPr>
        <w:t>3</w:t>
      </w:r>
      <w:r w:rsidR="005F2B91">
        <w:rPr>
          <w:rFonts w:ascii="Times" w:eastAsia="Batang" w:hAnsi="Times"/>
          <w:color w:val="auto"/>
          <w:szCs w:val="20"/>
        </w:rPr>
        <w:t xml:space="preserve"> </w:t>
      </w:r>
      <w:r w:rsidRPr="001E2BC6">
        <w:rPr>
          <w:rFonts w:ascii="Times" w:eastAsia="Batang" w:hAnsi="Times"/>
          <w:color w:val="auto"/>
          <w:szCs w:val="20"/>
        </w:rPr>
        <w:t xml:space="preserve">100 kroner per år med virkning fra 1. mai 2015. Tillegget anslås å bidra med </w:t>
      </w:r>
      <w:r w:rsidR="001E2BC6" w:rsidRPr="001E2BC6">
        <w:rPr>
          <w:rFonts w:ascii="Times" w:eastAsia="Batang" w:hAnsi="Times"/>
          <w:color w:val="auto"/>
          <w:szCs w:val="20"/>
        </w:rPr>
        <w:t xml:space="preserve">0,4 </w:t>
      </w:r>
      <w:r w:rsidRPr="001E2BC6">
        <w:rPr>
          <w:rFonts w:ascii="Times" w:eastAsia="Batang" w:hAnsi="Times"/>
          <w:color w:val="auto"/>
          <w:szCs w:val="20"/>
        </w:rPr>
        <w:t>prosentpoeng til årslønnsveksten fra 2014 til 2015.</w:t>
      </w:r>
    </w:p>
    <w:p w14:paraId="16720814" w14:textId="3319B572" w:rsidR="00423A13" w:rsidRPr="009A7A55" w:rsidRDefault="00423A13" w:rsidP="00423A13">
      <w:pPr>
        <w:pStyle w:val="Default"/>
        <w:spacing w:after="120"/>
        <w:rPr>
          <w:rFonts w:ascii="Times" w:eastAsia="Batang" w:hAnsi="Times"/>
          <w:color w:val="auto"/>
          <w:szCs w:val="20"/>
        </w:rPr>
      </w:pPr>
      <w:r w:rsidRPr="001E2BC6">
        <w:rPr>
          <w:rFonts w:ascii="Times" w:eastAsia="Batang" w:hAnsi="Times"/>
          <w:color w:val="auto"/>
          <w:szCs w:val="20"/>
        </w:rPr>
        <w:lastRenderedPageBreak/>
        <w:t xml:space="preserve">Lønnsoverhenget fra året før på </w:t>
      </w:r>
      <w:r w:rsidR="001E2BC6" w:rsidRPr="001E2BC6">
        <w:rPr>
          <w:rFonts w:ascii="Times" w:eastAsia="Batang" w:hAnsi="Times"/>
          <w:color w:val="auto"/>
          <w:szCs w:val="20"/>
        </w:rPr>
        <w:t>1,2</w:t>
      </w:r>
      <w:r w:rsidRPr="001E2BC6">
        <w:rPr>
          <w:rFonts w:ascii="Times" w:eastAsia="Batang" w:hAnsi="Times"/>
          <w:color w:val="auto"/>
          <w:szCs w:val="20"/>
        </w:rPr>
        <w:t xml:space="preserve"> prosent og tarifftilleggene i </w:t>
      </w:r>
      <w:r w:rsidR="001E2BC6">
        <w:rPr>
          <w:rFonts w:ascii="Times" w:eastAsia="Batang" w:hAnsi="Times"/>
          <w:color w:val="auto"/>
          <w:szCs w:val="20"/>
        </w:rPr>
        <w:t>mellom</w:t>
      </w:r>
      <w:r w:rsidRPr="001E2BC6">
        <w:rPr>
          <w:rFonts w:ascii="Times" w:eastAsia="Batang" w:hAnsi="Times"/>
          <w:color w:val="auto"/>
          <w:szCs w:val="20"/>
        </w:rPr>
        <w:t xml:space="preserve">oppgjøret i 2015 gir en beregnet lønnsvekst fra 2014 til 2015 på </w:t>
      </w:r>
      <w:r w:rsidR="001E2BC6" w:rsidRPr="001E2BC6">
        <w:rPr>
          <w:rFonts w:ascii="Times" w:eastAsia="Batang" w:hAnsi="Times"/>
          <w:color w:val="auto"/>
          <w:szCs w:val="20"/>
        </w:rPr>
        <w:t>1,6</w:t>
      </w:r>
      <w:r w:rsidRPr="001E2BC6">
        <w:rPr>
          <w:rFonts w:ascii="Times" w:eastAsia="Batang" w:hAnsi="Times"/>
          <w:color w:val="auto"/>
          <w:szCs w:val="20"/>
        </w:rPr>
        <w:t xml:space="preserve"> prosent. I tillegg kommer bidraget fra lønnsglidningen i 2015.  Bidraget fra lønnsglidningen til årslønnsveksten i årene 2010 til 2014 vises i tabell 1.3.</w:t>
      </w:r>
    </w:p>
    <w:p w14:paraId="0BDE9B04" w14:textId="7C529726" w:rsidR="00423A13" w:rsidRPr="005B1180" w:rsidRDefault="00423A13" w:rsidP="00423A13">
      <w:pPr>
        <w:suppressAutoHyphens/>
        <w:autoSpaceDE w:val="0"/>
        <w:autoSpaceDN w:val="0"/>
        <w:adjustRightInd w:val="0"/>
      </w:pPr>
      <w:r>
        <w:rPr>
          <w:sz w:val="23"/>
          <w:szCs w:val="23"/>
        </w:rPr>
        <w:t xml:space="preserve">I </w:t>
      </w:r>
      <w:r w:rsidRPr="00180359">
        <w:rPr>
          <w:i/>
          <w:sz w:val="23"/>
          <w:szCs w:val="23"/>
        </w:rPr>
        <w:t>varehandelen</w:t>
      </w:r>
      <w:r>
        <w:rPr>
          <w:sz w:val="23"/>
          <w:szCs w:val="23"/>
        </w:rPr>
        <w:t xml:space="preserve"> ble det i </w:t>
      </w:r>
      <w:r>
        <w:t xml:space="preserve">hovedoppgjøret for 2014 </w:t>
      </w:r>
      <w:r>
        <w:rPr>
          <w:sz w:val="23"/>
          <w:szCs w:val="23"/>
        </w:rPr>
        <w:t xml:space="preserve">på </w:t>
      </w:r>
      <w:r>
        <w:rPr>
          <w:color w:val="000000"/>
        </w:rPr>
        <w:t xml:space="preserve">Landsoverenskomsten </w:t>
      </w:r>
      <w:r>
        <w:rPr>
          <w:sz w:val="23"/>
          <w:szCs w:val="23"/>
        </w:rPr>
        <w:t>mellom Hovedorganisasjonen Virke og Handel og Kontor (HK),</w:t>
      </w:r>
      <w:r w:rsidRPr="003E0223">
        <w:rPr>
          <w:sz w:val="23"/>
          <w:szCs w:val="23"/>
        </w:rPr>
        <w:t xml:space="preserve"> </w:t>
      </w:r>
      <w:r>
        <w:rPr>
          <w:sz w:val="23"/>
          <w:szCs w:val="23"/>
        </w:rPr>
        <w:t xml:space="preserve">gitt et </w:t>
      </w:r>
      <w:r w:rsidRPr="00DC3585">
        <w:rPr>
          <w:rFonts w:ascii="Times New Roman" w:eastAsia="Times New Roman" w:hAnsi="Times New Roman"/>
          <w:szCs w:val="24"/>
        </w:rPr>
        <w:t xml:space="preserve">generelt tillegg </w:t>
      </w:r>
      <w:r w:rsidRPr="0085164B">
        <w:rPr>
          <w:rFonts w:ascii="Times New Roman" w:eastAsia="Times New Roman" w:hAnsi="Times New Roman"/>
          <w:szCs w:val="24"/>
        </w:rPr>
        <w:t xml:space="preserve">på </w:t>
      </w:r>
      <w:r w:rsidRPr="0085164B">
        <w:t>0,75</w:t>
      </w:r>
      <w:r>
        <w:rPr>
          <w:rFonts w:ascii="Times New Roman" w:eastAsia="Times New Roman" w:hAnsi="Times New Roman"/>
          <w:szCs w:val="24"/>
        </w:rPr>
        <w:t xml:space="preserve"> kroner per </w:t>
      </w:r>
      <w:r w:rsidRPr="00DC3585">
        <w:rPr>
          <w:rFonts w:ascii="Times New Roman" w:eastAsia="Times New Roman" w:hAnsi="Times New Roman"/>
          <w:szCs w:val="24"/>
        </w:rPr>
        <w:t>time</w:t>
      </w:r>
      <w:r w:rsidRPr="00AF2E4E">
        <w:t xml:space="preserve"> </w:t>
      </w:r>
      <w:r>
        <w:t xml:space="preserve">og ytterligere et lavlønnstillegg fra samme dato på </w:t>
      </w:r>
      <w:r w:rsidRPr="00D04404">
        <w:t>kr 1,25</w:t>
      </w:r>
      <w:r>
        <w:t xml:space="preserve"> per time. </w:t>
      </w:r>
      <w:r w:rsidRPr="0085164B">
        <w:rPr>
          <w:rFonts w:ascii="Times New Roman" w:eastAsia="Times New Roman" w:hAnsi="Times New Roman"/>
          <w:szCs w:val="24"/>
        </w:rPr>
        <w:t xml:space="preserve">Minstelønnssatsene øker med summen av det generelle tillegget og lavlønnstillegget. </w:t>
      </w:r>
      <w:r>
        <w:rPr>
          <w:rFonts w:ascii="Times New Roman" w:eastAsia="Times New Roman" w:hAnsi="Times New Roman"/>
          <w:szCs w:val="24"/>
        </w:rPr>
        <w:t>De laveste minstelønnssatsene, trinn</w:t>
      </w:r>
      <w:r w:rsidRPr="00DC3585">
        <w:rPr>
          <w:rFonts w:ascii="Times New Roman" w:eastAsia="Times New Roman" w:hAnsi="Times New Roman"/>
          <w:szCs w:val="24"/>
        </w:rPr>
        <w:t xml:space="preserve"> 1 – </w:t>
      </w:r>
      <w:r>
        <w:rPr>
          <w:rFonts w:ascii="Times New Roman" w:eastAsia="Times New Roman" w:hAnsi="Times New Roman"/>
          <w:szCs w:val="24"/>
        </w:rPr>
        <w:t>5,</w:t>
      </w:r>
      <w:r w:rsidRPr="00DC3585">
        <w:rPr>
          <w:rFonts w:ascii="Times New Roman" w:eastAsia="Times New Roman" w:hAnsi="Times New Roman"/>
          <w:szCs w:val="24"/>
        </w:rPr>
        <w:t xml:space="preserve"> </w:t>
      </w:r>
      <w:r>
        <w:rPr>
          <w:rFonts w:ascii="Times New Roman" w:eastAsia="Times New Roman" w:hAnsi="Times New Roman"/>
          <w:szCs w:val="24"/>
        </w:rPr>
        <w:t xml:space="preserve">ble økt </w:t>
      </w:r>
      <w:r w:rsidRPr="00DC3585">
        <w:rPr>
          <w:rFonts w:ascii="Times New Roman" w:eastAsia="Times New Roman" w:hAnsi="Times New Roman"/>
          <w:szCs w:val="24"/>
        </w:rPr>
        <w:t xml:space="preserve">med </w:t>
      </w:r>
      <w:r>
        <w:rPr>
          <w:rFonts w:ascii="Times New Roman" w:eastAsia="Times New Roman" w:hAnsi="Times New Roman"/>
          <w:szCs w:val="24"/>
        </w:rPr>
        <w:t xml:space="preserve">ytterligere 1,50 kroner per </w:t>
      </w:r>
      <w:r w:rsidRPr="00DC3585">
        <w:rPr>
          <w:rFonts w:ascii="Times New Roman" w:eastAsia="Times New Roman" w:hAnsi="Times New Roman"/>
          <w:szCs w:val="24"/>
        </w:rPr>
        <w:t>time</w:t>
      </w:r>
      <w:r>
        <w:rPr>
          <w:rFonts w:ascii="Times New Roman" w:eastAsia="Times New Roman" w:hAnsi="Times New Roman"/>
          <w:szCs w:val="24"/>
        </w:rPr>
        <w:t xml:space="preserve">. </w:t>
      </w:r>
      <w:r>
        <w:t xml:space="preserve">Tilleggene for kvelds-, helg- og nattarbeid ble også økt. </w:t>
      </w:r>
      <w:r w:rsidRPr="00EA0201">
        <w:rPr>
          <w:rFonts w:ascii="Times New Roman" w:eastAsia="Times New Roman" w:hAnsi="Times New Roman"/>
          <w:szCs w:val="24"/>
        </w:rPr>
        <w:t xml:space="preserve">Garantiordningen på Landsoverenskomsten mellom HK og Virke resulterte i at trinn 6 fikk et tillegg fra 1. februar 2014 på kr 3,46 per time. </w:t>
      </w:r>
    </w:p>
    <w:p w14:paraId="5B6C05AF" w14:textId="77777777" w:rsidR="00423A13" w:rsidRPr="005B1180" w:rsidRDefault="00423A13" w:rsidP="00423A13">
      <w:pPr>
        <w:rPr>
          <w:rFonts w:ascii="Times New Roman" w:hAnsi="Times New Roman"/>
        </w:rPr>
      </w:pPr>
      <w:r w:rsidRPr="00352EC4">
        <w:t xml:space="preserve">På grunnlag av lønnsstatistikken for 2014 og lønnstilleggene i 2014, har utvalget beregnet årslønnsveksten fra 2013 til 2014 for alle heltidsansatte i Virke-bedrifter i varehandelen til </w:t>
      </w:r>
      <w:r>
        <w:rPr>
          <w:szCs w:val="24"/>
        </w:rPr>
        <w:t>3,5</w:t>
      </w:r>
      <w:r w:rsidRPr="005A05A4">
        <w:rPr>
          <w:rFonts w:ascii="Times New Roman" w:hAnsi="Times New Roman"/>
          <w:szCs w:val="24"/>
        </w:rPr>
        <w:t xml:space="preserve"> </w:t>
      </w:r>
      <w:r w:rsidRPr="00352EC4">
        <w:t xml:space="preserve">prosent. </w:t>
      </w:r>
      <w:r>
        <w:rPr>
          <w:rFonts w:ascii="Times New Roman" w:hAnsi="Times New Roman"/>
        </w:rPr>
        <w:t>Endret sammensetning av lønnstakere trakk lønnsveksten opp.</w:t>
      </w:r>
    </w:p>
    <w:p w14:paraId="5A23048E" w14:textId="5D4783BA" w:rsidR="00423A13" w:rsidRDefault="00423A13" w:rsidP="00423A13">
      <w:bookmarkStart w:id="110" w:name="_Toc286076967"/>
      <w:bookmarkStart w:id="111" w:name="_Toc317589285"/>
      <w:bookmarkStart w:id="112" w:name="_Toc351913434"/>
      <w:bookmarkStart w:id="113" w:name="_Toc380506128"/>
      <w:bookmarkStart w:id="114" w:name="_Toc415240752"/>
      <w:bookmarkEnd w:id="99"/>
      <w:bookmarkEnd w:id="100"/>
      <w:bookmarkEnd w:id="101"/>
      <w:bookmarkEnd w:id="102"/>
      <w:bookmarkEnd w:id="103"/>
      <w:bookmarkEnd w:id="104"/>
      <w:bookmarkEnd w:id="105"/>
      <w:bookmarkEnd w:id="106"/>
      <w:bookmarkEnd w:id="107"/>
      <w:bookmarkEnd w:id="108"/>
      <w:bookmarkEnd w:id="109"/>
      <w:r w:rsidRPr="001C3910">
        <w:t>I mellomoppgjøret i 201</w:t>
      </w:r>
      <w:r>
        <w:t>5</w:t>
      </w:r>
      <w:r w:rsidRPr="001C3910">
        <w:t xml:space="preserve"> ble det </w:t>
      </w:r>
      <w:r w:rsidR="00874949">
        <w:t xml:space="preserve">på Landsoverenskomsten </w:t>
      </w:r>
      <w:r w:rsidRPr="001C3910">
        <w:t xml:space="preserve">mellom Hovedorganisasjonen Virke og </w:t>
      </w:r>
      <w:r w:rsidR="001E2BC6">
        <w:t>LO/</w:t>
      </w:r>
      <w:r w:rsidRPr="001C3910">
        <w:t>HK</w:t>
      </w:r>
      <w:r w:rsidR="00874949">
        <w:t xml:space="preserve"> fra 1. april gitt</w:t>
      </w:r>
      <w:r w:rsidR="00FE286A">
        <w:t xml:space="preserve"> tillegg på 1,75 per time fordi overenskomstens gjennomsnittslønn lå</w:t>
      </w:r>
      <w:r w:rsidR="00874949">
        <w:t xml:space="preserve"> </w:t>
      </w:r>
      <w:r w:rsidRPr="001C3910">
        <w:t>under 90 prosent av gjennomsnittlig industriarbeiderlønn i 2014 (388</w:t>
      </w:r>
      <w:r w:rsidR="006A729B">
        <w:t> </w:t>
      </w:r>
      <w:r w:rsidR="00FE286A" w:rsidRPr="001C3910">
        <w:t>0</w:t>
      </w:r>
      <w:r w:rsidR="00FE286A">
        <w:t>13</w:t>
      </w:r>
      <w:r w:rsidR="00FE286A" w:rsidRPr="001C3910">
        <w:t xml:space="preserve"> </w:t>
      </w:r>
      <w:r w:rsidRPr="001C3910">
        <w:t>kroner)</w:t>
      </w:r>
      <w:r w:rsidR="001E2BC6">
        <w:t xml:space="preserve">. </w:t>
      </w:r>
      <w:r w:rsidRPr="00DC3585">
        <w:rPr>
          <w:rFonts w:ascii="Times New Roman" w:eastAsia="Times New Roman" w:hAnsi="Times New Roman"/>
          <w:szCs w:val="24"/>
        </w:rPr>
        <w:t xml:space="preserve">Ut over </w:t>
      </w:r>
      <w:r>
        <w:rPr>
          <w:rFonts w:ascii="Times New Roman" w:eastAsia="Times New Roman" w:hAnsi="Times New Roman"/>
          <w:szCs w:val="24"/>
        </w:rPr>
        <w:t>dette ble de laveste minstelønnssatsene på denne overenskomsten, trinn</w:t>
      </w:r>
      <w:r w:rsidRPr="00DC3585">
        <w:rPr>
          <w:rFonts w:ascii="Times New Roman" w:eastAsia="Times New Roman" w:hAnsi="Times New Roman"/>
          <w:szCs w:val="24"/>
        </w:rPr>
        <w:t xml:space="preserve"> 1 – </w:t>
      </w:r>
      <w:r>
        <w:rPr>
          <w:rFonts w:ascii="Times New Roman" w:eastAsia="Times New Roman" w:hAnsi="Times New Roman"/>
          <w:szCs w:val="24"/>
        </w:rPr>
        <w:t>5,</w:t>
      </w:r>
      <w:r w:rsidRPr="00DC3585">
        <w:rPr>
          <w:rFonts w:ascii="Times New Roman" w:eastAsia="Times New Roman" w:hAnsi="Times New Roman"/>
          <w:szCs w:val="24"/>
        </w:rPr>
        <w:t xml:space="preserve"> </w:t>
      </w:r>
      <w:r>
        <w:rPr>
          <w:rFonts w:ascii="Times New Roman" w:eastAsia="Times New Roman" w:hAnsi="Times New Roman"/>
          <w:szCs w:val="24"/>
        </w:rPr>
        <w:t xml:space="preserve">økt </w:t>
      </w:r>
      <w:r w:rsidRPr="00DC3585">
        <w:rPr>
          <w:rFonts w:ascii="Times New Roman" w:eastAsia="Times New Roman" w:hAnsi="Times New Roman"/>
          <w:szCs w:val="24"/>
        </w:rPr>
        <w:t xml:space="preserve">med </w:t>
      </w:r>
      <w:r>
        <w:rPr>
          <w:rFonts w:ascii="Times New Roman" w:eastAsia="Times New Roman" w:hAnsi="Times New Roman"/>
          <w:szCs w:val="24"/>
        </w:rPr>
        <w:t xml:space="preserve">kr 2,50 per </w:t>
      </w:r>
      <w:r w:rsidRPr="00DC3585">
        <w:rPr>
          <w:rFonts w:ascii="Times New Roman" w:eastAsia="Times New Roman" w:hAnsi="Times New Roman"/>
          <w:szCs w:val="24"/>
        </w:rPr>
        <w:t>time</w:t>
      </w:r>
      <w:r w:rsidR="00FE286A">
        <w:rPr>
          <w:rFonts w:ascii="Times New Roman" w:eastAsia="Times New Roman" w:hAnsi="Times New Roman"/>
          <w:szCs w:val="24"/>
        </w:rPr>
        <w:t>, og den høyeste (6) med kr 0,50 per time</w:t>
      </w:r>
      <w:r>
        <w:rPr>
          <w:rFonts w:ascii="Times New Roman" w:eastAsia="Times New Roman" w:hAnsi="Times New Roman"/>
          <w:szCs w:val="24"/>
        </w:rPr>
        <w:t>.</w:t>
      </w:r>
      <w:r>
        <w:t xml:space="preserve"> </w:t>
      </w:r>
    </w:p>
    <w:p w14:paraId="0C72B0B4" w14:textId="46B8A771" w:rsidR="00423A13" w:rsidRPr="001C3910" w:rsidRDefault="00423A13" w:rsidP="00423A13">
      <w:pPr>
        <w:rPr>
          <w:rFonts w:ascii="Times New Roman" w:eastAsia="Times New Roman" w:hAnsi="Times New Roman"/>
          <w:szCs w:val="24"/>
        </w:rPr>
      </w:pPr>
      <w:r w:rsidRPr="001C3910">
        <w:rPr>
          <w:rFonts w:ascii="Times New Roman" w:eastAsia="Times New Roman" w:hAnsi="Times New Roman"/>
          <w:szCs w:val="24"/>
        </w:rPr>
        <w:t>Garantiordningen på Landsoverenskomsten mellom HK og Virke resulterte i at trinn 6 fikk et tillegg fra 1. februar 201</w:t>
      </w:r>
      <w:r w:rsidR="00A13F29">
        <w:rPr>
          <w:rFonts w:ascii="Times New Roman" w:eastAsia="Times New Roman" w:hAnsi="Times New Roman"/>
          <w:szCs w:val="24"/>
        </w:rPr>
        <w:t>5</w:t>
      </w:r>
      <w:r w:rsidRPr="001C3910">
        <w:rPr>
          <w:rFonts w:ascii="Times New Roman" w:eastAsia="Times New Roman" w:hAnsi="Times New Roman"/>
          <w:szCs w:val="24"/>
        </w:rPr>
        <w:t xml:space="preserve"> på kr 2,49 per time. </w:t>
      </w:r>
    </w:p>
    <w:p w14:paraId="26F19932" w14:textId="37C8358C" w:rsidR="00423A13" w:rsidRDefault="00423A13" w:rsidP="00423A13">
      <w:r w:rsidRPr="005B1180">
        <w:rPr>
          <w:rFonts w:ascii="Times New Roman" w:hAnsi="Times New Roman"/>
        </w:rPr>
        <w:t>For tillegg på andre overenskomster i Virke-området samt overenskomster innen HUK-området, vises det til vedlegg 1.</w:t>
      </w:r>
    </w:p>
    <w:p w14:paraId="1D8EE8A9" w14:textId="77777777" w:rsidR="00423A13" w:rsidRDefault="00423A13" w:rsidP="00423A13">
      <w:pPr>
        <w:rPr>
          <w:rFonts w:ascii="Times New Roman" w:eastAsia="Times New Roman" w:hAnsi="Times New Roman"/>
          <w:szCs w:val="24"/>
        </w:rPr>
      </w:pPr>
      <w:r w:rsidRPr="001C3910">
        <w:rPr>
          <w:rFonts w:ascii="Times New Roman" w:eastAsia="Times New Roman" w:hAnsi="Times New Roman"/>
          <w:szCs w:val="24"/>
        </w:rPr>
        <w:t xml:space="preserve">For Virke-bedrifter i varehandel gir overhenget til 2015 på </w:t>
      </w:r>
      <w:r>
        <w:rPr>
          <w:rFonts w:ascii="Times New Roman" w:eastAsia="Times New Roman" w:hAnsi="Times New Roman"/>
          <w:szCs w:val="24"/>
        </w:rPr>
        <w:t>1,0</w:t>
      </w:r>
      <w:r w:rsidRPr="001C3910">
        <w:rPr>
          <w:rFonts w:ascii="Times New Roman" w:eastAsia="Times New Roman" w:hAnsi="Times New Roman"/>
          <w:szCs w:val="24"/>
        </w:rPr>
        <w:t xml:space="preserve"> prosent, de avtalte tarifftilleggene i 201</w:t>
      </w:r>
      <w:r>
        <w:rPr>
          <w:rFonts w:ascii="Times New Roman" w:eastAsia="Times New Roman" w:hAnsi="Times New Roman"/>
          <w:szCs w:val="24"/>
        </w:rPr>
        <w:t>5</w:t>
      </w:r>
      <w:r w:rsidRPr="001C3910">
        <w:rPr>
          <w:rFonts w:ascii="Times New Roman" w:eastAsia="Times New Roman" w:hAnsi="Times New Roman"/>
          <w:szCs w:val="24"/>
        </w:rPr>
        <w:t xml:space="preserve"> (</w:t>
      </w:r>
      <w:r>
        <w:rPr>
          <w:rFonts w:ascii="Times New Roman" w:eastAsia="Times New Roman" w:hAnsi="Times New Roman"/>
          <w:szCs w:val="24"/>
        </w:rPr>
        <w:t>0,4</w:t>
      </w:r>
      <w:r w:rsidRPr="001C3910">
        <w:rPr>
          <w:rFonts w:ascii="Times New Roman" w:eastAsia="Times New Roman" w:hAnsi="Times New Roman"/>
          <w:szCs w:val="24"/>
        </w:rPr>
        <w:t xml:space="preserve"> prosent) og garantitillegg (</w:t>
      </w:r>
      <w:r>
        <w:rPr>
          <w:rFonts w:ascii="Times New Roman" w:eastAsia="Times New Roman" w:hAnsi="Times New Roman"/>
          <w:szCs w:val="24"/>
        </w:rPr>
        <w:t>0,3</w:t>
      </w:r>
      <w:r w:rsidRPr="001C3910">
        <w:rPr>
          <w:rFonts w:ascii="Times New Roman" w:eastAsia="Times New Roman" w:hAnsi="Times New Roman"/>
          <w:szCs w:val="24"/>
        </w:rPr>
        <w:t xml:space="preserve"> prosent) en beregnet lønnsvekst på om lag </w:t>
      </w:r>
      <w:r>
        <w:rPr>
          <w:rFonts w:ascii="Times New Roman" w:eastAsia="Times New Roman" w:hAnsi="Times New Roman"/>
          <w:szCs w:val="24"/>
        </w:rPr>
        <w:t>1,7</w:t>
      </w:r>
      <w:r w:rsidRPr="001C3910">
        <w:rPr>
          <w:rFonts w:ascii="Times New Roman" w:eastAsia="Times New Roman" w:hAnsi="Times New Roman"/>
          <w:szCs w:val="24"/>
        </w:rPr>
        <w:t xml:space="preserve"> prosent fra 201</w:t>
      </w:r>
      <w:r>
        <w:rPr>
          <w:rFonts w:ascii="Times New Roman" w:eastAsia="Times New Roman" w:hAnsi="Times New Roman"/>
          <w:szCs w:val="24"/>
        </w:rPr>
        <w:t>4</w:t>
      </w:r>
      <w:r w:rsidRPr="001C3910">
        <w:rPr>
          <w:rFonts w:ascii="Times New Roman" w:eastAsia="Times New Roman" w:hAnsi="Times New Roman"/>
          <w:szCs w:val="24"/>
        </w:rPr>
        <w:t xml:space="preserve"> til 201</w:t>
      </w:r>
      <w:r>
        <w:rPr>
          <w:rFonts w:ascii="Times New Roman" w:eastAsia="Times New Roman" w:hAnsi="Times New Roman"/>
          <w:szCs w:val="24"/>
        </w:rPr>
        <w:t>5</w:t>
      </w:r>
      <w:r w:rsidRPr="001C3910">
        <w:rPr>
          <w:rFonts w:ascii="Times New Roman" w:eastAsia="Times New Roman" w:hAnsi="Times New Roman"/>
          <w:szCs w:val="24"/>
        </w:rPr>
        <w:t xml:space="preserve"> før bidrag fra lønnsglidningen i 201</w:t>
      </w:r>
      <w:r>
        <w:rPr>
          <w:rFonts w:ascii="Times New Roman" w:eastAsia="Times New Roman" w:hAnsi="Times New Roman"/>
          <w:szCs w:val="24"/>
        </w:rPr>
        <w:t>5</w:t>
      </w:r>
      <w:r w:rsidRPr="001C3910">
        <w:rPr>
          <w:rFonts w:ascii="Times New Roman" w:eastAsia="Times New Roman" w:hAnsi="Times New Roman"/>
          <w:szCs w:val="24"/>
        </w:rPr>
        <w:t>. Bidraget fra lønnsglidningen til årslønnsveksten i årene 20</w:t>
      </w:r>
      <w:r>
        <w:rPr>
          <w:rFonts w:ascii="Times New Roman" w:eastAsia="Times New Roman" w:hAnsi="Times New Roman"/>
          <w:szCs w:val="24"/>
        </w:rPr>
        <w:t>10</w:t>
      </w:r>
      <w:r w:rsidRPr="001C3910">
        <w:rPr>
          <w:rFonts w:ascii="Times New Roman" w:eastAsia="Times New Roman" w:hAnsi="Times New Roman"/>
          <w:szCs w:val="24"/>
        </w:rPr>
        <w:t xml:space="preserve"> til 201</w:t>
      </w:r>
      <w:r>
        <w:rPr>
          <w:rFonts w:ascii="Times New Roman" w:eastAsia="Times New Roman" w:hAnsi="Times New Roman"/>
          <w:szCs w:val="24"/>
        </w:rPr>
        <w:t xml:space="preserve">4 </w:t>
      </w:r>
      <w:r w:rsidRPr="001C3910">
        <w:rPr>
          <w:rFonts w:ascii="Times New Roman" w:eastAsia="Times New Roman" w:hAnsi="Times New Roman"/>
          <w:szCs w:val="24"/>
        </w:rPr>
        <w:t>vises i tabell 1.3.</w:t>
      </w:r>
    </w:p>
    <w:p w14:paraId="6CD16200" w14:textId="77777777" w:rsidR="00423A13" w:rsidRPr="00BA1C84" w:rsidRDefault="00423A13" w:rsidP="001E2BC6">
      <w:pPr>
        <w:pStyle w:val="Overskrift3"/>
      </w:pPr>
      <w:bookmarkStart w:id="115" w:name="_Toc422226821"/>
      <w:r w:rsidRPr="00BA1C84">
        <w:t>Lønnsutviklingen i offentlig sektor</w:t>
      </w:r>
      <w:bookmarkEnd w:id="110"/>
      <w:bookmarkEnd w:id="111"/>
      <w:bookmarkEnd w:id="112"/>
      <w:bookmarkEnd w:id="113"/>
      <w:bookmarkEnd w:id="114"/>
      <w:bookmarkEnd w:id="115"/>
    </w:p>
    <w:p w14:paraId="37A978DC" w14:textId="77777777" w:rsidR="00423A13" w:rsidRPr="00F97402" w:rsidRDefault="00423A13" w:rsidP="00D6156C">
      <w:pPr>
        <w:pStyle w:val="avsnitt-under-undertittel"/>
        <w:spacing w:before="240"/>
      </w:pPr>
      <w:r w:rsidRPr="00F97402">
        <w:t>Staten</w:t>
      </w:r>
    </w:p>
    <w:p w14:paraId="2142B21A" w14:textId="16BB0CC9" w:rsidR="00423A13" w:rsidRDefault="00423A13" w:rsidP="00423A13">
      <w:pPr>
        <w:rPr>
          <w:noProof/>
        </w:rPr>
      </w:pPr>
      <w:r w:rsidRPr="003F3680">
        <w:t xml:space="preserve">I </w:t>
      </w:r>
      <w:r>
        <w:t xml:space="preserve">hovedoppgjøret for 2014 ble </w:t>
      </w:r>
      <w:r w:rsidRPr="003F3680">
        <w:t xml:space="preserve">det </w:t>
      </w:r>
      <w:r>
        <w:t xml:space="preserve">i det </w:t>
      </w:r>
      <w:r w:rsidRPr="003F3680">
        <w:rPr>
          <w:i/>
        </w:rPr>
        <w:t>statlige tariffområdet</w:t>
      </w:r>
      <w:r>
        <w:t xml:space="preserve"> etter mekling mellom </w:t>
      </w:r>
      <w:r w:rsidRPr="003F3680">
        <w:t>staten v/</w:t>
      </w:r>
      <w:r>
        <w:t>Kommunal- og moderniseringsdepartementet</w:t>
      </w:r>
      <w:r w:rsidRPr="003F3680">
        <w:t xml:space="preserve"> og LO Stat, YS Stat</w:t>
      </w:r>
      <w:r>
        <w:t>,</w:t>
      </w:r>
      <w:r w:rsidRPr="003F3680">
        <w:t xml:space="preserve"> Unio</w:t>
      </w:r>
      <w:r>
        <w:t xml:space="preserve"> og</w:t>
      </w:r>
      <w:r w:rsidRPr="003F3680">
        <w:t xml:space="preserve"> Akademikerne</w:t>
      </w:r>
      <w:r>
        <w:t xml:space="preserve"> enighet om et generelt </w:t>
      </w:r>
      <w:r w:rsidRPr="008C5318">
        <w:t xml:space="preserve">tillegg </w:t>
      </w:r>
      <w:r>
        <w:t xml:space="preserve">fra 1. mai. Dette ble gitt som et stigende kronebeløp på lavere og midlere lønnstrinn, fra 6 500 kroner </w:t>
      </w:r>
      <w:r w:rsidRPr="00734712">
        <w:t xml:space="preserve">i lønnstrinn 19 til </w:t>
      </w:r>
      <w:r w:rsidRPr="00E31A8D">
        <w:t>8</w:t>
      </w:r>
      <w:r>
        <w:t> </w:t>
      </w:r>
      <w:r w:rsidRPr="00E31A8D">
        <w:t>800</w:t>
      </w:r>
      <w:r>
        <w:t xml:space="preserve"> kroner </w:t>
      </w:r>
      <w:r w:rsidRPr="00734712">
        <w:t xml:space="preserve">til og med </w:t>
      </w:r>
      <w:r>
        <w:t>lønnstrinn</w:t>
      </w:r>
      <w:r w:rsidRPr="00734712">
        <w:t xml:space="preserve"> 53. Fra </w:t>
      </w:r>
      <w:r>
        <w:t xml:space="preserve">og med </w:t>
      </w:r>
      <w:r w:rsidRPr="00734712">
        <w:t xml:space="preserve">lønnstrinn 54 </w:t>
      </w:r>
      <w:r>
        <w:t xml:space="preserve">ble det gitt </w:t>
      </w:r>
      <w:r w:rsidRPr="00734712">
        <w:t xml:space="preserve">et lønnstillegg på 1,98 prosent. </w:t>
      </w:r>
      <w:r>
        <w:t xml:space="preserve">Det ble foretatt endringer </w:t>
      </w:r>
      <w:r w:rsidRPr="00E31A8D">
        <w:t xml:space="preserve">på </w:t>
      </w:r>
      <w:r>
        <w:t xml:space="preserve">enkelte </w:t>
      </w:r>
      <w:r w:rsidRPr="00E31A8D">
        <w:t>lønnsrammer innenfor en økonomisk ramme på 0,</w:t>
      </w:r>
      <w:r>
        <w:t>08</w:t>
      </w:r>
      <w:r w:rsidRPr="00E31A8D">
        <w:t xml:space="preserve"> prosent </w:t>
      </w:r>
      <w:r>
        <w:t xml:space="preserve">per dato </w:t>
      </w:r>
      <w:r w:rsidRPr="00E31A8D">
        <w:t>med virkning fra 1. juli 201</w:t>
      </w:r>
      <w:r>
        <w:t>4</w:t>
      </w:r>
      <w:r w:rsidRPr="00E31A8D">
        <w:t>.</w:t>
      </w:r>
      <w:r>
        <w:t xml:space="preserve"> Det ble avsatt 1,75 prosent av lønnsmassen til lokale forhandlinger med virkning fra 1. august 2014. </w:t>
      </w:r>
      <w:r w:rsidRPr="00BD6084">
        <w:t>Tilleggene bidrar til årslønnsveksten fra 201</w:t>
      </w:r>
      <w:r>
        <w:t>3</w:t>
      </w:r>
      <w:r w:rsidRPr="00BD6084">
        <w:t xml:space="preserve"> til 201</w:t>
      </w:r>
      <w:r>
        <w:t>4</w:t>
      </w:r>
      <w:r w:rsidRPr="00BD6084">
        <w:t xml:space="preserve"> med </w:t>
      </w:r>
      <w:r>
        <w:t>2,0</w:t>
      </w:r>
      <w:r w:rsidRPr="00A845AE">
        <w:t xml:space="preserve"> prosentpoeng.</w:t>
      </w:r>
      <w:r>
        <w:t xml:space="preserve"> </w:t>
      </w:r>
      <w:r w:rsidRPr="00F97402">
        <w:rPr>
          <w:noProof/>
        </w:rPr>
        <w:t xml:space="preserve">På grunnlag av </w:t>
      </w:r>
      <w:r>
        <w:rPr>
          <w:noProof/>
        </w:rPr>
        <w:t>lønnsstatistikk for 2014</w:t>
      </w:r>
      <w:r w:rsidRPr="00F97402">
        <w:rPr>
          <w:noProof/>
        </w:rPr>
        <w:t xml:space="preserve"> og tarifftilleggene i 20</w:t>
      </w:r>
      <w:r>
        <w:rPr>
          <w:noProof/>
        </w:rPr>
        <w:t>14,</w:t>
      </w:r>
      <w:r w:rsidRPr="00F97402">
        <w:rPr>
          <w:noProof/>
        </w:rPr>
        <w:t xml:space="preserve"> </w:t>
      </w:r>
      <w:r>
        <w:rPr>
          <w:noProof/>
        </w:rPr>
        <w:t>har utvalget beregnet</w:t>
      </w:r>
      <w:r w:rsidRPr="00F97402">
        <w:rPr>
          <w:noProof/>
        </w:rPr>
        <w:t xml:space="preserve"> årslønnsveksten </w:t>
      </w:r>
      <w:r>
        <w:rPr>
          <w:noProof/>
        </w:rPr>
        <w:t xml:space="preserve">fra 2013 til 2014 i det statlige tariffområdet </w:t>
      </w:r>
      <w:r w:rsidRPr="00F97402">
        <w:rPr>
          <w:noProof/>
        </w:rPr>
        <w:t xml:space="preserve">til </w:t>
      </w:r>
      <w:r>
        <w:rPr>
          <w:noProof/>
        </w:rPr>
        <w:t xml:space="preserve">3,4 </w:t>
      </w:r>
      <w:r w:rsidRPr="00F97402">
        <w:rPr>
          <w:noProof/>
        </w:rPr>
        <w:t>prosent.</w:t>
      </w:r>
    </w:p>
    <w:p w14:paraId="16B74852" w14:textId="3C034422" w:rsidR="00423A13" w:rsidRDefault="00423A13" w:rsidP="00423A13">
      <w:r w:rsidRPr="007F62C4">
        <w:t xml:space="preserve">I mellomoppgjøret i 2015 </w:t>
      </w:r>
      <w:r>
        <w:t xml:space="preserve">mellom </w:t>
      </w:r>
      <w:r w:rsidRPr="003F3680">
        <w:t>staten v/</w:t>
      </w:r>
      <w:r>
        <w:t>Kommunal- og moderniserings</w:t>
      </w:r>
      <w:r w:rsidRPr="003F3680">
        <w:t>departementet og LO Stat, YS Stat</w:t>
      </w:r>
      <w:r>
        <w:t>,</w:t>
      </w:r>
      <w:r w:rsidRPr="003F3680">
        <w:t xml:space="preserve"> Unio</w:t>
      </w:r>
      <w:r>
        <w:t xml:space="preserve"> og</w:t>
      </w:r>
      <w:r w:rsidRPr="003F3680">
        <w:t xml:space="preserve"> Akademikerne</w:t>
      </w:r>
      <w:r>
        <w:t xml:space="preserve"> </w:t>
      </w:r>
      <w:r w:rsidR="00F915A2">
        <w:t>ble det gitt</w:t>
      </w:r>
      <w:r>
        <w:t xml:space="preserve"> et generelt tillegget fra 1. mai på 0,19 prosent. Fra og med lønnstrinn 19 til og med lønnstrinn 39 var tillegget kr 700 per år. D</w:t>
      </w:r>
      <w:r w:rsidRPr="00C11FFA">
        <w:t xml:space="preserve">et </w:t>
      </w:r>
      <w:r>
        <w:t xml:space="preserve">ble ikke avsatt penger </w:t>
      </w:r>
      <w:r w:rsidRPr="00C11FFA">
        <w:t>til lokale forhandlinger</w:t>
      </w:r>
      <w:r>
        <w:t xml:space="preserve">. </w:t>
      </w:r>
      <w:r w:rsidR="0089628E" w:rsidRPr="00B20500">
        <w:rPr>
          <w:iCs/>
        </w:rPr>
        <w:t>Det kan imidlertid føres lokale forhandlinger dersom arbeidsgiver lokalt avsetter økonomiske midler fra virksomheten iht. Hovedtariffavtalens pkt. 2.3.3, første ledd pkt. b.</w:t>
      </w:r>
    </w:p>
    <w:p w14:paraId="105E2019" w14:textId="77777777" w:rsidR="00423A13" w:rsidRDefault="00423A13" w:rsidP="00423A13">
      <w:pPr>
        <w:spacing w:after="0"/>
      </w:pPr>
      <w:r w:rsidRPr="007F62C4">
        <w:t xml:space="preserve">I </w:t>
      </w:r>
      <w:r w:rsidRPr="007F62C4">
        <w:rPr>
          <w:i/>
        </w:rPr>
        <w:t>staten</w:t>
      </w:r>
      <w:r w:rsidRPr="007F62C4">
        <w:t xml:space="preserve"> gir overhenget til 2015 på </w:t>
      </w:r>
      <w:r>
        <w:t>2,1</w:t>
      </w:r>
      <w:r w:rsidRPr="007F62C4">
        <w:t xml:space="preserve"> prosent og tarifftilleggene i 2015 en lønnsvekst fra 2014 til 2015 på</w:t>
      </w:r>
      <w:r w:rsidRPr="00960C2A">
        <w:t xml:space="preserve"> 2,2 </w:t>
      </w:r>
      <w:r w:rsidRPr="007F62C4">
        <w:t>prosent før bidrag fra lønnsglidningen i 2015. Bidraget fra lønnsglidningen til årslønnsveksten i årene 2010 til 2014 vises i tabell 1.3.</w:t>
      </w:r>
    </w:p>
    <w:p w14:paraId="1A0478D0" w14:textId="77777777" w:rsidR="00423A13" w:rsidRDefault="00423A13" w:rsidP="00423A13">
      <w:pPr>
        <w:pStyle w:val="avsnitt-under-undertittel"/>
      </w:pPr>
      <w:r>
        <w:t xml:space="preserve">Kommunesektoren/KS-området </w:t>
      </w:r>
    </w:p>
    <w:p w14:paraId="3F550AC1" w14:textId="2ED837F8" w:rsidR="00423A13" w:rsidRDefault="00423A13" w:rsidP="00423A13">
      <w:pPr>
        <w:rPr>
          <w:rFonts w:ascii="Times New Roman" w:hAnsi="Times New Roman"/>
          <w:szCs w:val="24"/>
        </w:rPr>
      </w:pPr>
      <w:r w:rsidRPr="00095F8A">
        <w:t xml:space="preserve">I </w:t>
      </w:r>
      <w:r>
        <w:t>hoved</w:t>
      </w:r>
      <w:r w:rsidRPr="00095F8A">
        <w:t>oppgjøret i</w:t>
      </w:r>
      <w:r w:rsidRPr="005B1180">
        <w:rPr>
          <w:i/>
        </w:rPr>
        <w:t xml:space="preserve"> KS-området </w:t>
      </w:r>
      <w:r w:rsidRPr="00095F8A">
        <w:t>i 201</w:t>
      </w:r>
      <w:r>
        <w:t>4</w:t>
      </w:r>
      <w:r w:rsidRPr="00D37B45">
        <w:rPr>
          <w:rFonts w:ascii="Times New Roman" w:hAnsi="Times New Roman"/>
          <w:szCs w:val="24"/>
        </w:rPr>
        <w:t xml:space="preserve"> </w:t>
      </w:r>
      <w:r w:rsidRPr="009B5FE0">
        <w:rPr>
          <w:rFonts w:ascii="Times New Roman" w:hAnsi="Times New Roman"/>
          <w:szCs w:val="24"/>
        </w:rPr>
        <w:t>kom KS og LO Kommune, Unio,</w:t>
      </w:r>
      <w:r w:rsidRPr="009B5FE0">
        <w:rPr>
          <w:rFonts w:ascii="Times New Roman" w:hAnsi="Times New Roman"/>
          <w:b/>
          <w:bCs/>
          <w:szCs w:val="24"/>
        </w:rPr>
        <w:t xml:space="preserve"> </w:t>
      </w:r>
      <w:r w:rsidRPr="009B5FE0">
        <w:rPr>
          <w:rFonts w:ascii="Times New Roman" w:hAnsi="Times New Roman"/>
          <w:szCs w:val="24"/>
        </w:rPr>
        <w:t xml:space="preserve">YS Kommune og Akademikerne til </w:t>
      </w:r>
      <w:r>
        <w:rPr>
          <w:rFonts w:ascii="Times New Roman" w:hAnsi="Times New Roman"/>
          <w:szCs w:val="24"/>
        </w:rPr>
        <w:t>enighet etter mekling,</w:t>
      </w:r>
      <w:r w:rsidRPr="009B5FE0">
        <w:rPr>
          <w:rFonts w:ascii="Times New Roman" w:hAnsi="Times New Roman"/>
          <w:szCs w:val="24"/>
        </w:rPr>
        <w:t xml:space="preserve"> </w:t>
      </w:r>
      <w:r>
        <w:rPr>
          <w:rFonts w:ascii="Times New Roman" w:hAnsi="Times New Roman"/>
          <w:szCs w:val="24"/>
        </w:rPr>
        <w:t>med unntak av</w:t>
      </w:r>
      <w:r>
        <w:t xml:space="preserve"> LO-forbundene </w:t>
      </w:r>
      <w:r w:rsidRPr="00C07FDD">
        <w:rPr>
          <w:rFonts w:ascii="Times New Roman" w:hAnsi="Times New Roman"/>
          <w:color w:val="222222"/>
        </w:rPr>
        <w:t>Musikernes Fellesorganisasjon</w:t>
      </w:r>
      <w:r>
        <w:rPr>
          <w:rFonts w:ascii="Times New Roman" w:hAnsi="Times New Roman"/>
          <w:color w:val="222222"/>
        </w:rPr>
        <w:t xml:space="preserve"> (MFO) og</w:t>
      </w:r>
      <w:r>
        <w:rPr>
          <w:rFonts w:ascii="Arial" w:hAnsi="Arial" w:cs="Arial"/>
          <w:color w:val="534741"/>
          <w:sz w:val="21"/>
          <w:szCs w:val="21"/>
        </w:rPr>
        <w:t xml:space="preserve"> </w:t>
      </w:r>
      <w:r w:rsidRPr="00C23023">
        <w:t>Skolenes Landsforbund</w:t>
      </w:r>
      <w:r>
        <w:t xml:space="preserve"> (SL)</w:t>
      </w:r>
      <w:r>
        <w:rPr>
          <w:rFonts w:ascii="Arial" w:hAnsi="Arial" w:cs="Arial"/>
          <w:color w:val="534741"/>
          <w:sz w:val="21"/>
          <w:szCs w:val="21"/>
        </w:rPr>
        <w:t xml:space="preserve"> </w:t>
      </w:r>
      <w:r w:rsidRPr="00C07FDD">
        <w:rPr>
          <w:rFonts w:ascii="Times New Roman" w:hAnsi="Times New Roman"/>
          <w:szCs w:val="24"/>
        </w:rPr>
        <w:t>og Norsk Lektorlag</w:t>
      </w:r>
      <w:r>
        <w:rPr>
          <w:rFonts w:ascii="Times New Roman" w:hAnsi="Times New Roman"/>
          <w:szCs w:val="24"/>
        </w:rPr>
        <w:t xml:space="preserve"> i Akademikerne</w:t>
      </w:r>
      <w:r w:rsidRPr="00C07FDD">
        <w:rPr>
          <w:rFonts w:ascii="Times New Roman" w:hAnsi="Times New Roman"/>
          <w:szCs w:val="24"/>
        </w:rPr>
        <w:t>.</w:t>
      </w:r>
      <w:r>
        <w:rPr>
          <w:rFonts w:ascii="Times New Roman" w:hAnsi="Times New Roman"/>
          <w:szCs w:val="24"/>
        </w:rPr>
        <w:t xml:space="preserve"> Forslaget gikk til uravstemning med svarfrist 25. juni 2014</w:t>
      </w:r>
      <w:r w:rsidRPr="009B5FE0">
        <w:rPr>
          <w:rFonts w:ascii="Times New Roman" w:hAnsi="Times New Roman"/>
          <w:szCs w:val="24"/>
        </w:rPr>
        <w:t xml:space="preserve">. </w:t>
      </w:r>
      <w:r>
        <w:rPr>
          <w:rFonts w:ascii="Times New Roman" w:hAnsi="Times New Roman"/>
          <w:szCs w:val="24"/>
        </w:rPr>
        <w:t xml:space="preserve">Forslaget ble godkjent av alle organisasjonene med unntak av Utdanningsforbundet i Unio og de tre organisasjonene nevnt foran i dette avsnittet. </w:t>
      </w:r>
      <w:r w:rsidRPr="009B5FE0">
        <w:rPr>
          <w:rFonts w:ascii="Times New Roman" w:hAnsi="Times New Roman"/>
          <w:szCs w:val="24"/>
        </w:rPr>
        <w:t xml:space="preserve">Det ble gitt et generelt tillegg på </w:t>
      </w:r>
      <w:r>
        <w:rPr>
          <w:rFonts w:ascii="Times New Roman" w:hAnsi="Times New Roman"/>
          <w:szCs w:val="24"/>
        </w:rPr>
        <w:t>2,15</w:t>
      </w:r>
      <w:r w:rsidRPr="009B5FE0">
        <w:rPr>
          <w:rFonts w:ascii="Times New Roman" w:hAnsi="Times New Roman"/>
          <w:szCs w:val="24"/>
        </w:rPr>
        <w:t xml:space="preserve"> prosent eller minst kr </w:t>
      </w:r>
      <w:r w:rsidRPr="00B50ECC">
        <w:rPr>
          <w:rFonts w:ascii="Times New Roman" w:hAnsi="Times New Roman"/>
          <w:szCs w:val="24"/>
        </w:rPr>
        <w:t>8 500</w:t>
      </w:r>
      <w:r w:rsidRPr="009B5FE0">
        <w:rPr>
          <w:rFonts w:ascii="Times New Roman" w:hAnsi="Times New Roman"/>
          <w:szCs w:val="24"/>
        </w:rPr>
        <w:t xml:space="preserve"> fra 1. mai til alle ansatte i stillinger med hovedsakelig sentral lønnsdannelse (kapittel 4 hovedtariffavtalen). Minstelønnssatsene ble hevet tilsvarende</w:t>
      </w:r>
      <w:r>
        <w:rPr>
          <w:rFonts w:ascii="Times New Roman" w:hAnsi="Times New Roman"/>
          <w:szCs w:val="24"/>
        </w:rPr>
        <w:t>.</w:t>
      </w:r>
      <w:r w:rsidRPr="009B5FE0">
        <w:rPr>
          <w:rFonts w:ascii="Times New Roman" w:hAnsi="Times New Roman"/>
          <w:szCs w:val="24"/>
        </w:rPr>
        <w:t xml:space="preserve"> Per 1. mai 201</w:t>
      </w:r>
      <w:r>
        <w:rPr>
          <w:rFonts w:ascii="Times New Roman" w:hAnsi="Times New Roman"/>
          <w:szCs w:val="24"/>
        </w:rPr>
        <w:t>4</w:t>
      </w:r>
      <w:r w:rsidRPr="009B5FE0">
        <w:rPr>
          <w:rFonts w:ascii="Times New Roman" w:hAnsi="Times New Roman"/>
          <w:szCs w:val="24"/>
        </w:rPr>
        <w:t xml:space="preserve"> </w:t>
      </w:r>
      <w:r>
        <w:rPr>
          <w:rFonts w:ascii="Times New Roman" w:hAnsi="Times New Roman"/>
          <w:szCs w:val="24"/>
        </w:rPr>
        <w:t>skulle</w:t>
      </w:r>
      <w:r w:rsidRPr="009B5FE0">
        <w:rPr>
          <w:rFonts w:ascii="Times New Roman" w:hAnsi="Times New Roman"/>
          <w:szCs w:val="24"/>
        </w:rPr>
        <w:t xml:space="preserve"> arbeidstakere med minimum 20 års lønnsansiennitet ikke ha lavere grunnlønn enn </w:t>
      </w:r>
      <w:r w:rsidRPr="00B15408">
        <w:rPr>
          <w:rFonts w:ascii="Times New Roman" w:hAnsi="Times New Roman"/>
          <w:szCs w:val="24"/>
        </w:rPr>
        <w:t xml:space="preserve">kr 364 </w:t>
      </w:r>
      <w:r>
        <w:rPr>
          <w:rFonts w:ascii="Times New Roman" w:hAnsi="Times New Roman"/>
          <w:szCs w:val="24"/>
        </w:rPr>
        <w:t>000</w:t>
      </w:r>
      <w:r w:rsidRPr="009B5FE0">
        <w:rPr>
          <w:rFonts w:ascii="Times New Roman" w:hAnsi="Times New Roman"/>
          <w:szCs w:val="24"/>
        </w:rPr>
        <w:t xml:space="preserve">, en økning på kr </w:t>
      </w:r>
      <w:r w:rsidRPr="00B15408">
        <w:rPr>
          <w:rFonts w:ascii="Times New Roman" w:hAnsi="Times New Roman"/>
          <w:szCs w:val="24"/>
        </w:rPr>
        <w:t>13 300</w:t>
      </w:r>
      <w:r>
        <w:rPr>
          <w:rFonts w:ascii="Times New Roman" w:hAnsi="Times New Roman"/>
          <w:szCs w:val="24"/>
        </w:rPr>
        <w:t xml:space="preserve"> fra 2013</w:t>
      </w:r>
      <w:r w:rsidRPr="009B5FE0">
        <w:rPr>
          <w:rFonts w:ascii="Times New Roman" w:hAnsi="Times New Roman"/>
          <w:szCs w:val="24"/>
        </w:rPr>
        <w:t xml:space="preserve">. </w:t>
      </w:r>
      <w:r w:rsidRPr="00B15408">
        <w:rPr>
          <w:rFonts w:ascii="Times New Roman" w:hAnsi="Times New Roman"/>
          <w:szCs w:val="24"/>
        </w:rPr>
        <w:t xml:space="preserve">Det </w:t>
      </w:r>
      <w:r>
        <w:rPr>
          <w:rFonts w:ascii="Times New Roman" w:hAnsi="Times New Roman"/>
          <w:szCs w:val="24"/>
        </w:rPr>
        <w:t>ble</w:t>
      </w:r>
      <w:r w:rsidRPr="00B15408">
        <w:rPr>
          <w:rFonts w:ascii="Times New Roman" w:hAnsi="Times New Roman"/>
          <w:szCs w:val="24"/>
        </w:rPr>
        <w:t xml:space="preserve"> avsatt 1,0 prosent til lokale forhandlinger med virkning fra 1. juli 2014 i henhold til hovedtariffavtalens kapittel 4, pkt.</w:t>
      </w:r>
      <w:r>
        <w:rPr>
          <w:rFonts w:ascii="Times New Roman" w:hAnsi="Times New Roman"/>
          <w:szCs w:val="24"/>
        </w:rPr>
        <w:t xml:space="preserve"> 4.A.1. Det var en føring om at l</w:t>
      </w:r>
      <w:r w:rsidRPr="00B15408">
        <w:rPr>
          <w:rFonts w:ascii="Times New Roman" w:hAnsi="Times New Roman"/>
          <w:szCs w:val="24"/>
        </w:rPr>
        <w:t>edere i kapittel 4B og 4C bør prioriteres.</w:t>
      </w:r>
    </w:p>
    <w:p w14:paraId="2CE91825" w14:textId="77777777" w:rsidR="001074F6" w:rsidRDefault="001074F6" w:rsidP="001074F6">
      <w:pPr>
        <w:rPr>
          <w:rFonts w:ascii="Times New Roman" w:hAnsi="Times New Roman"/>
          <w:szCs w:val="24"/>
        </w:rPr>
      </w:pPr>
      <w:r w:rsidRPr="00D42C4E">
        <w:t>I mellomoppgjøret i KS-området i 2015</w:t>
      </w:r>
      <w:r w:rsidRPr="00D42C4E">
        <w:rPr>
          <w:rFonts w:ascii="Times New Roman" w:hAnsi="Times New Roman"/>
          <w:szCs w:val="24"/>
        </w:rPr>
        <w:t xml:space="preserve"> kom KS og LO Kommune, Unio,</w:t>
      </w:r>
      <w:r w:rsidRPr="00D42C4E">
        <w:rPr>
          <w:rFonts w:ascii="Times New Roman" w:hAnsi="Times New Roman"/>
          <w:b/>
          <w:bCs/>
          <w:szCs w:val="24"/>
        </w:rPr>
        <w:t xml:space="preserve"> </w:t>
      </w:r>
      <w:r w:rsidRPr="00D42C4E">
        <w:rPr>
          <w:rFonts w:ascii="Times New Roman" w:hAnsi="Times New Roman"/>
          <w:szCs w:val="24"/>
        </w:rPr>
        <w:t>YS Kommune og Akademikerne til enighet om at det ikke gis sentrale tillegg i 2015 utover de som ble avtalt i oppgjøret i 2014</w:t>
      </w:r>
      <w:r>
        <w:rPr>
          <w:rFonts w:ascii="Times New Roman" w:hAnsi="Times New Roman"/>
          <w:szCs w:val="24"/>
        </w:rPr>
        <w:t>.</w:t>
      </w:r>
    </w:p>
    <w:p w14:paraId="054FFC04" w14:textId="29FF5BCE" w:rsidR="001074F6" w:rsidRDefault="001074F6" w:rsidP="001074F6">
      <w:r>
        <w:t>I KS-området ble det for stillinger med hovedsakelig sentral lønnsdannelse i oppgjøret i 2014 avtalt lønnstillegg fra 1. mai 2015 på 1,</w:t>
      </w:r>
      <w:r w:rsidRPr="006C25A6">
        <w:t xml:space="preserve">4 </w:t>
      </w:r>
      <w:r>
        <w:t>prosent. Tilleggene varierer med ansiennitets- og kompetansekrav. Videre skal a</w:t>
      </w:r>
      <w:r w:rsidRPr="006C25A6">
        <w:t>rbeidstakere med minimum 20 års ansiennitet ikke ha lavere grunnlønn per 1. mai 2015 enn kr 377 400 i 100 prosent stilling. Dette utgjør 0,2 prosent per 1. mai.</w:t>
      </w:r>
      <w:r>
        <w:t xml:space="preserve"> </w:t>
      </w:r>
      <w:r w:rsidRPr="00FF2B5D">
        <w:t xml:space="preserve">Det </w:t>
      </w:r>
      <w:r>
        <w:t xml:space="preserve">ble i 2014 avtalt å </w:t>
      </w:r>
      <w:r w:rsidRPr="00FF2B5D">
        <w:t>innfør</w:t>
      </w:r>
      <w:r>
        <w:t>e</w:t>
      </w:r>
      <w:r w:rsidRPr="00FF2B5D">
        <w:t xml:space="preserve"> et nytt lønnssystem fra 1. mai </w:t>
      </w:r>
      <w:r>
        <w:t xml:space="preserve">2015, se boks 1.3 i vedlegg 1. </w:t>
      </w:r>
    </w:p>
    <w:p w14:paraId="6883DE3F" w14:textId="376DE61F" w:rsidR="001074F6" w:rsidRPr="00CE1089" w:rsidRDefault="001074F6" w:rsidP="001074F6">
      <w:r w:rsidRPr="00CE1089">
        <w:t>For ansatte med hovedsakelig sentral lønnsdannelse i KS-området er det beregnet at overhenget på 1,9 prosent og t</w:t>
      </w:r>
      <w:r w:rsidRPr="006C25A6">
        <w:t xml:space="preserve">arifftilleggene på 1,1 </w:t>
      </w:r>
      <w:r w:rsidR="001C15F7">
        <w:t xml:space="preserve">prosent </w:t>
      </w:r>
      <w:r w:rsidRPr="006C25A6">
        <w:t xml:space="preserve">samlet </w:t>
      </w:r>
      <w:r w:rsidR="00792D58">
        <w:t>bidrar med</w:t>
      </w:r>
      <w:r w:rsidR="00792D58" w:rsidRPr="006C25A6">
        <w:t xml:space="preserve"> 3,0 prosent</w:t>
      </w:r>
      <w:r w:rsidR="00792D58">
        <w:t>poeng</w:t>
      </w:r>
      <w:r w:rsidR="00792D58" w:rsidRPr="006C25A6">
        <w:t xml:space="preserve"> </w:t>
      </w:r>
      <w:r w:rsidR="00D9605C">
        <w:t>til</w:t>
      </w:r>
      <w:r w:rsidR="00D9605C" w:rsidRPr="006C25A6">
        <w:t xml:space="preserve"> </w:t>
      </w:r>
      <w:r w:rsidRPr="006C25A6">
        <w:t>årslønnsvekst</w:t>
      </w:r>
      <w:r w:rsidR="00D9605C">
        <w:t>en</w:t>
      </w:r>
      <w:r w:rsidRPr="006C25A6">
        <w:t xml:space="preserve"> fra 2014 til 2015</w:t>
      </w:r>
      <w:r w:rsidRPr="00CE1089">
        <w:t xml:space="preserve">. </w:t>
      </w:r>
      <w:r w:rsidR="00432B5F" w:rsidRPr="006B7B68">
        <w:t xml:space="preserve">Bidraget </w:t>
      </w:r>
      <w:r w:rsidR="00D9605C">
        <w:t>fra</w:t>
      </w:r>
      <w:r w:rsidR="00432B5F" w:rsidRPr="006B7B68">
        <w:t xml:space="preserve"> lønnsglidningen for disse stillingene </w:t>
      </w:r>
      <w:r w:rsidR="00D9605C">
        <w:t>var</w:t>
      </w:r>
      <w:r w:rsidR="00432B5F" w:rsidRPr="006B7B68">
        <w:t xml:space="preserve"> i gjennomsnitt 0,2 prosentpoeng de siste tre årene. </w:t>
      </w:r>
      <w:r w:rsidRPr="00CE1089">
        <w:t xml:space="preserve">Lærerstreiken i 2014 trakk opp overhenget til 2015 med 0,3 prosentpoeng </w:t>
      </w:r>
      <w:r w:rsidR="00D9605C">
        <w:t>for disse stillingene</w:t>
      </w:r>
      <w:r w:rsidRPr="00CE1089">
        <w:t>.</w:t>
      </w:r>
    </w:p>
    <w:p w14:paraId="519AF3FA" w14:textId="77777777" w:rsidR="001074F6" w:rsidRDefault="001074F6" w:rsidP="001074F6">
      <w:pPr>
        <w:pStyle w:val="avsnitt-under-undertittel"/>
      </w:pPr>
      <w:r>
        <w:t xml:space="preserve">Undervisningspersonell </w:t>
      </w:r>
    </w:p>
    <w:p w14:paraId="408EA6A5" w14:textId="38452E71" w:rsidR="001074F6" w:rsidRPr="00C431C0" w:rsidRDefault="001074F6" w:rsidP="00432B5F">
      <w:pPr>
        <w:rPr>
          <w:rFonts w:ascii="Times New Roman" w:hAnsi="Times New Roman"/>
          <w:szCs w:val="24"/>
        </w:rPr>
      </w:pPr>
      <w:r w:rsidRPr="00C431C0">
        <w:rPr>
          <w:rFonts w:ascii="Times New Roman" w:hAnsi="Times New Roman"/>
          <w:szCs w:val="24"/>
        </w:rPr>
        <w:t>Tilleggene i meklingsforsl</w:t>
      </w:r>
      <w:r>
        <w:rPr>
          <w:rFonts w:ascii="Times New Roman" w:hAnsi="Times New Roman"/>
          <w:szCs w:val="24"/>
        </w:rPr>
        <w:t>a</w:t>
      </w:r>
      <w:r w:rsidRPr="00C431C0">
        <w:rPr>
          <w:rFonts w:ascii="Times New Roman" w:hAnsi="Times New Roman"/>
          <w:szCs w:val="24"/>
        </w:rPr>
        <w:t>get i KS-området i ho</w:t>
      </w:r>
      <w:r>
        <w:rPr>
          <w:rFonts w:ascii="Times New Roman" w:hAnsi="Times New Roman"/>
          <w:szCs w:val="24"/>
        </w:rPr>
        <w:t>ve</w:t>
      </w:r>
      <w:r w:rsidRPr="00C431C0">
        <w:rPr>
          <w:rFonts w:ascii="Times New Roman" w:hAnsi="Times New Roman"/>
          <w:szCs w:val="24"/>
        </w:rPr>
        <w:t xml:space="preserve">doppgjøret 2014 </w:t>
      </w:r>
      <w:r>
        <w:rPr>
          <w:rFonts w:ascii="Times New Roman" w:hAnsi="Times New Roman"/>
          <w:szCs w:val="24"/>
        </w:rPr>
        <w:t>ble</w:t>
      </w:r>
      <w:r w:rsidRPr="00C431C0">
        <w:rPr>
          <w:rFonts w:ascii="Times New Roman" w:hAnsi="Times New Roman"/>
          <w:szCs w:val="24"/>
        </w:rPr>
        <w:t xml:space="preserve"> også gjelden</w:t>
      </w:r>
      <w:r>
        <w:rPr>
          <w:rFonts w:ascii="Times New Roman" w:hAnsi="Times New Roman"/>
          <w:szCs w:val="24"/>
        </w:rPr>
        <w:t>d</w:t>
      </w:r>
      <w:r w:rsidRPr="00C431C0">
        <w:rPr>
          <w:rFonts w:ascii="Times New Roman" w:hAnsi="Times New Roman"/>
          <w:szCs w:val="24"/>
        </w:rPr>
        <w:t xml:space="preserve">e for undervisningsstillinger med hovedsakelig sentral lønnsdannelse. </w:t>
      </w:r>
      <w:r w:rsidR="00432B5F" w:rsidRPr="00432B5F">
        <w:rPr>
          <w:rFonts w:ascii="Times New Roman" w:hAnsi="Times New Roman"/>
          <w:szCs w:val="24"/>
        </w:rPr>
        <w:t xml:space="preserve">Tarifftilleggenes bidrag til årslønnsveksten </w:t>
      </w:r>
      <w:r w:rsidR="00D9605C">
        <w:rPr>
          <w:rFonts w:ascii="Times New Roman" w:hAnsi="Times New Roman"/>
          <w:szCs w:val="24"/>
        </w:rPr>
        <w:t xml:space="preserve">fra </w:t>
      </w:r>
      <w:r w:rsidR="00432B5F" w:rsidRPr="00432B5F">
        <w:rPr>
          <w:rFonts w:ascii="Times New Roman" w:hAnsi="Times New Roman"/>
          <w:szCs w:val="24"/>
        </w:rPr>
        <w:t>2013</w:t>
      </w:r>
      <w:r w:rsidR="00D9605C">
        <w:rPr>
          <w:rFonts w:ascii="Times New Roman" w:hAnsi="Times New Roman"/>
          <w:szCs w:val="24"/>
        </w:rPr>
        <w:t xml:space="preserve"> til </w:t>
      </w:r>
      <w:r w:rsidR="00432B5F" w:rsidRPr="00432B5F">
        <w:rPr>
          <w:rFonts w:ascii="Times New Roman" w:hAnsi="Times New Roman"/>
          <w:szCs w:val="24"/>
        </w:rPr>
        <w:t>2014 for disse stillingene når virkninger av senere vir</w:t>
      </w:r>
      <w:r w:rsidR="00432B5F">
        <w:rPr>
          <w:rFonts w:ascii="Times New Roman" w:hAnsi="Times New Roman"/>
          <w:szCs w:val="24"/>
        </w:rPr>
        <w:t xml:space="preserve">kningstidspunkter som følge av </w:t>
      </w:r>
      <w:r w:rsidR="00432B5F" w:rsidRPr="00432B5F">
        <w:rPr>
          <w:rFonts w:ascii="Times New Roman" w:hAnsi="Times New Roman"/>
          <w:szCs w:val="24"/>
        </w:rPr>
        <w:t>konflikten er innregnet, er beregnet til 2,0 prosentpoeng. Uten at de senere virkningstidspunktene er innregnet, er tarifftilleggenes bidrag for disse stillingene beregnet til å være 1,0 prosentpoeng høyere. Konflikten trakk overhenget til 2015 for disse stillin</w:t>
      </w:r>
      <w:r w:rsidR="00432B5F">
        <w:rPr>
          <w:rFonts w:ascii="Times New Roman" w:hAnsi="Times New Roman"/>
          <w:szCs w:val="24"/>
        </w:rPr>
        <w:t>gene opp med 1,0 prosentpoeng.</w:t>
      </w:r>
      <w:r w:rsidR="00432B5F" w:rsidRPr="00432B5F">
        <w:rPr>
          <w:rFonts w:ascii="Times New Roman" w:hAnsi="Times New Roman"/>
          <w:szCs w:val="24"/>
        </w:rPr>
        <w:t xml:space="preserve"> </w:t>
      </w:r>
    </w:p>
    <w:p w14:paraId="66DB1FB2" w14:textId="50905B8E" w:rsidR="001074F6" w:rsidRPr="001074F6" w:rsidRDefault="001074F6" w:rsidP="001074F6">
      <w:pPr>
        <w:rPr>
          <w:rFonts w:ascii="Times New Roman" w:hAnsi="Times New Roman"/>
          <w:szCs w:val="24"/>
        </w:rPr>
      </w:pPr>
      <w:r w:rsidRPr="00C431C0">
        <w:rPr>
          <w:rFonts w:ascii="Times New Roman" w:hAnsi="Times New Roman"/>
          <w:szCs w:val="24"/>
        </w:rPr>
        <w:t xml:space="preserve">For undervisningspersonell i hele kommunesektoren har utvalget beregnet årslønnsveksten fra 2013 til 2014 til 2,3 prosent når virkningstidspunktene for konflikten er medregnet. Når konflikten ikke er medregnet, er anslaget 0,9 prosentpoeng høyere. </w:t>
      </w:r>
    </w:p>
    <w:p w14:paraId="7F5BE273" w14:textId="77777777" w:rsidR="001074F6" w:rsidRPr="001074F6" w:rsidRDefault="001074F6" w:rsidP="001074F6">
      <w:pPr>
        <w:pStyle w:val="avsnitt-under-undertittel"/>
      </w:pPr>
      <w:r w:rsidRPr="001074F6">
        <w:t xml:space="preserve">Øvrige kommunalt ansatte </w:t>
      </w:r>
    </w:p>
    <w:p w14:paraId="6680BDD3" w14:textId="3B2143B2" w:rsidR="001074F6" w:rsidRDefault="001074F6" w:rsidP="001074F6">
      <w:pPr>
        <w:rPr>
          <w:rFonts w:ascii="Times New Roman" w:hAnsi="Times New Roman"/>
          <w:szCs w:val="24"/>
        </w:rPr>
      </w:pPr>
      <w:r w:rsidRPr="00C431C0">
        <w:rPr>
          <w:rFonts w:ascii="Times New Roman" w:hAnsi="Times New Roman"/>
          <w:szCs w:val="24"/>
        </w:rPr>
        <w:t xml:space="preserve">For </w:t>
      </w:r>
      <w:r>
        <w:rPr>
          <w:rFonts w:ascii="Times New Roman" w:hAnsi="Times New Roman"/>
          <w:szCs w:val="24"/>
        </w:rPr>
        <w:t>øvrige</w:t>
      </w:r>
      <w:r w:rsidRPr="00C431C0">
        <w:rPr>
          <w:rFonts w:ascii="Times New Roman" w:hAnsi="Times New Roman"/>
          <w:szCs w:val="24"/>
        </w:rPr>
        <w:t xml:space="preserve"> </w:t>
      </w:r>
      <w:r>
        <w:rPr>
          <w:rFonts w:ascii="Times New Roman" w:hAnsi="Times New Roman"/>
          <w:szCs w:val="24"/>
        </w:rPr>
        <w:t xml:space="preserve">ansatte med hovedsakelig sentral lønnsdannelse </w:t>
      </w:r>
      <w:r w:rsidRPr="00C431C0">
        <w:rPr>
          <w:rFonts w:ascii="Times New Roman" w:hAnsi="Times New Roman"/>
          <w:szCs w:val="24"/>
        </w:rPr>
        <w:t xml:space="preserve">i KS-oppgjøret </w:t>
      </w:r>
      <w:r w:rsidR="00432B5F" w:rsidRPr="00C431C0">
        <w:rPr>
          <w:rFonts w:ascii="Times New Roman" w:hAnsi="Times New Roman"/>
          <w:szCs w:val="24"/>
        </w:rPr>
        <w:t xml:space="preserve">bidro tarifftilleggene </w:t>
      </w:r>
      <w:r w:rsidRPr="00C431C0">
        <w:rPr>
          <w:rFonts w:ascii="Times New Roman" w:hAnsi="Times New Roman"/>
          <w:szCs w:val="24"/>
        </w:rPr>
        <w:t xml:space="preserve">i 2014 til </w:t>
      </w:r>
      <w:r>
        <w:rPr>
          <w:rFonts w:ascii="Times New Roman" w:hAnsi="Times New Roman"/>
          <w:szCs w:val="24"/>
        </w:rPr>
        <w:t>års</w:t>
      </w:r>
      <w:r w:rsidRPr="00C431C0">
        <w:rPr>
          <w:rFonts w:ascii="Times New Roman" w:hAnsi="Times New Roman"/>
          <w:szCs w:val="24"/>
        </w:rPr>
        <w:t>lønnsveksten fra 2013 til 2014 med 2,</w:t>
      </w:r>
      <w:r w:rsidR="00432B5F">
        <w:rPr>
          <w:rFonts w:ascii="Times New Roman" w:hAnsi="Times New Roman"/>
          <w:szCs w:val="24"/>
        </w:rPr>
        <w:t>6</w:t>
      </w:r>
      <w:r w:rsidR="00432B5F" w:rsidRPr="00C431C0">
        <w:rPr>
          <w:rFonts w:ascii="Times New Roman" w:hAnsi="Times New Roman"/>
          <w:szCs w:val="24"/>
        </w:rPr>
        <w:t xml:space="preserve"> </w:t>
      </w:r>
      <w:r w:rsidRPr="00C431C0">
        <w:rPr>
          <w:rFonts w:ascii="Times New Roman" w:hAnsi="Times New Roman"/>
          <w:szCs w:val="24"/>
        </w:rPr>
        <w:t>prosentpoeng</w:t>
      </w:r>
      <w:r>
        <w:rPr>
          <w:rFonts w:ascii="Times New Roman" w:hAnsi="Times New Roman"/>
          <w:szCs w:val="24"/>
        </w:rPr>
        <w:t>.</w:t>
      </w:r>
      <w:r w:rsidRPr="00C431C0">
        <w:rPr>
          <w:rFonts w:ascii="Times New Roman" w:hAnsi="Times New Roman"/>
          <w:szCs w:val="24"/>
        </w:rPr>
        <w:t xml:space="preserve"> </w:t>
      </w:r>
      <w:r>
        <w:rPr>
          <w:rFonts w:ascii="Times New Roman" w:hAnsi="Times New Roman"/>
          <w:szCs w:val="24"/>
        </w:rPr>
        <w:t>K</w:t>
      </w:r>
      <w:r w:rsidRPr="00C431C0">
        <w:rPr>
          <w:rFonts w:ascii="Times New Roman" w:hAnsi="Times New Roman"/>
          <w:szCs w:val="24"/>
        </w:rPr>
        <w:t xml:space="preserve">onflikten </w:t>
      </w:r>
      <w:r>
        <w:rPr>
          <w:rFonts w:ascii="Times New Roman" w:hAnsi="Times New Roman"/>
          <w:szCs w:val="24"/>
        </w:rPr>
        <w:t>berører beregningsmessig ikke denne gruppen.</w:t>
      </w:r>
    </w:p>
    <w:p w14:paraId="1E755EC9" w14:textId="4D2E43F8" w:rsidR="001074F6" w:rsidRDefault="001074F6" w:rsidP="001074F6">
      <w:pPr>
        <w:rPr>
          <w:rFonts w:ascii="Times New Roman" w:hAnsi="Times New Roman"/>
          <w:szCs w:val="24"/>
        </w:rPr>
      </w:pPr>
      <w:r w:rsidRPr="00D42C4E">
        <w:t>I mellomoppgjøret i KS-området i 2015</w:t>
      </w:r>
      <w:r w:rsidRPr="00D42C4E">
        <w:rPr>
          <w:rFonts w:ascii="Times New Roman" w:hAnsi="Times New Roman"/>
          <w:szCs w:val="24"/>
        </w:rPr>
        <w:t xml:space="preserve"> </w:t>
      </w:r>
      <w:r>
        <w:rPr>
          <w:rFonts w:ascii="Times New Roman" w:hAnsi="Times New Roman"/>
          <w:szCs w:val="24"/>
        </w:rPr>
        <w:t>ble det</w:t>
      </w:r>
      <w:r w:rsidRPr="00D42C4E">
        <w:rPr>
          <w:rFonts w:ascii="Times New Roman" w:hAnsi="Times New Roman"/>
          <w:szCs w:val="24"/>
        </w:rPr>
        <w:t xml:space="preserve"> </w:t>
      </w:r>
      <w:r w:rsidR="00D9605C">
        <w:rPr>
          <w:rFonts w:ascii="Times New Roman" w:hAnsi="Times New Roman"/>
          <w:szCs w:val="24"/>
        </w:rPr>
        <w:t xml:space="preserve">som nevnt </w:t>
      </w:r>
      <w:r w:rsidRPr="00D42C4E">
        <w:rPr>
          <w:rFonts w:ascii="Times New Roman" w:hAnsi="Times New Roman"/>
          <w:szCs w:val="24"/>
        </w:rPr>
        <w:t>enighet om at det ikke gis sentrale tillegg i 2015 utover de som ble avtalt i oppgjøret i 2014</w:t>
      </w:r>
      <w:r>
        <w:rPr>
          <w:rFonts w:ascii="Times New Roman" w:hAnsi="Times New Roman"/>
          <w:szCs w:val="24"/>
        </w:rPr>
        <w:t xml:space="preserve">. Dette gjelder både </w:t>
      </w:r>
      <w:r>
        <w:rPr>
          <w:noProof/>
        </w:rPr>
        <w:t>undervisningsstillinger</w:t>
      </w:r>
      <w:r w:rsidR="00D9605C">
        <w:rPr>
          <w:noProof/>
        </w:rPr>
        <w:t xml:space="preserve"> og</w:t>
      </w:r>
      <w:r>
        <w:rPr>
          <w:noProof/>
        </w:rPr>
        <w:t xml:space="preserve"> øvrige ansatte med hovedsakelig sentral lønnsdannelse.</w:t>
      </w:r>
    </w:p>
    <w:p w14:paraId="6974E489" w14:textId="77777777" w:rsidR="001074F6" w:rsidRDefault="001074F6" w:rsidP="001074F6">
      <w:r>
        <w:rPr>
          <w:bCs/>
        </w:rPr>
        <w:t xml:space="preserve">I </w:t>
      </w:r>
      <w:r w:rsidRPr="007F591A">
        <w:rPr>
          <w:bCs/>
          <w:i/>
        </w:rPr>
        <w:t xml:space="preserve">Oslo </w:t>
      </w:r>
      <w:r>
        <w:rPr>
          <w:bCs/>
          <w:i/>
        </w:rPr>
        <w:t>k</w:t>
      </w:r>
      <w:r w:rsidRPr="007F591A">
        <w:rPr>
          <w:bCs/>
          <w:i/>
        </w:rPr>
        <w:t>ommune</w:t>
      </w:r>
      <w:r>
        <w:rPr>
          <w:b/>
          <w:bCs/>
        </w:rPr>
        <w:t xml:space="preserve"> </w:t>
      </w:r>
      <w:r>
        <w:rPr>
          <w:bCs/>
        </w:rPr>
        <w:t>ble det i hovedoppgjøret 2014 gitt</w:t>
      </w:r>
      <w:r>
        <w:t xml:space="preserve"> et lønnstillegg fra 1. mai 2014 på </w:t>
      </w:r>
      <w:r w:rsidRPr="00B15408">
        <w:rPr>
          <w:rFonts w:ascii="Times New Roman" w:hAnsi="Times New Roman"/>
          <w:szCs w:val="24"/>
        </w:rPr>
        <w:t>1,9 prosent eller minst kr 8</w:t>
      </w:r>
      <w:r>
        <w:rPr>
          <w:rFonts w:ascii="Times New Roman" w:hAnsi="Times New Roman"/>
          <w:szCs w:val="24"/>
        </w:rPr>
        <w:t> </w:t>
      </w:r>
      <w:r w:rsidRPr="00B15408">
        <w:rPr>
          <w:rFonts w:ascii="Times New Roman" w:hAnsi="Times New Roman"/>
          <w:szCs w:val="24"/>
        </w:rPr>
        <w:t>000</w:t>
      </w:r>
      <w:r>
        <w:t>.</w:t>
      </w:r>
      <w:r w:rsidRPr="00C64926">
        <w:t xml:space="preserve"> </w:t>
      </w:r>
      <w:r>
        <w:t>Det ble avsatt 1,2 prosent av lønnsmassen til lokale forhandlinger med virkning fra 1. juli, og sentrale lønnsmessige tiltak på 0,63 prosent med virkning fra 1. mai.</w:t>
      </w:r>
    </w:p>
    <w:p w14:paraId="447047AB" w14:textId="77777777" w:rsidR="001074F6" w:rsidRPr="00D42C4E" w:rsidRDefault="001074F6" w:rsidP="001074F6">
      <w:r w:rsidRPr="00C64926">
        <w:t xml:space="preserve">I </w:t>
      </w:r>
      <w:r>
        <w:t xml:space="preserve">mellomoppgjøret 2015 for </w:t>
      </w:r>
      <w:r w:rsidRPr="00A2795D">
        <w:t>Oslo kommune</w:t>
      </w:r>
      <w:r w:rsidRPr="00C64926">
        <w:t xml:space="preserve"> </w:t>
      </w:r>
      <w:r>
        <w:t>kom</w:t>
      </w:r>
      <w:r w:rsidRPr="00C64926">
        <w:t xml:space="preserve"> partene </w:t>
      </w:r>
      <w:r>
        <w:t xml:space="preserve">30. april til enighet </w:t>
      </w:r>
      <w:r w:rsidRPr="00C64926">
        <w:t xml:space="preserve">om et </w:t>
      </w:r>
      <w:r>
        <w:t>forhandlingsresultat</w:t>
      </w:r>
      <w:r w:rsidRPr="00C64926">
        <w:t xml:space="preserve"> som ga </w:t>
      </w:r>
      <w:r>
        <w:t>et lønnstillegg fra 1. mai 2015 på 1,7 prosent eller minst kr 6 500 per år.</w:t>
      </w:r>
      <w:r w:rsidRPr="00C64926">
        <w:t xml:space="preserve"> </w:t>
      </w:r>
    </w:p>
    <w:p w14:paraId="227A342E" w14:textId="77777777" w:rsidR="001074F6" w:rsidRPr="006C25A6" w:rsidRDefault="001074F6" w:rsidP="001074F6">
      <w:pPr>
        <w:keepNext/>
        <w:keepLines/>
        <w:spacing w:before="360"/>
        <w:rPr>
          <w:rFonts w:ascii="Times New Roman" w:hAnsi="Times New Roman"/>
          <w:i/>
        </w:rPr>
      </w:pPr>
      <w:r w:rsidRPr="006C25A6">
        <w:rPr>
          <w:rFonts w:ascii="Times New Roman" w:hAnsi="Times New Roman"/>
          <w:i/>
        </w:rPr>
        <w:t>Kommuneansatte i alt</w:t>
      </w:r>
    </w:p>
    <w:p w14:paraId="45308002" w14:textId="77777777" w:rsidR="001074F6" w:rsidRPr="006C25A6" w:rsidRDefault="001074F6" w:rsidP="001074F6">
      <w:r>
        <w:t>Å</w:t>
      </w:r>
      <w:r w:rsidRPr="005A05A4">
        <w:t>rslønnsveksten fra 201</w:t>
      </w:r>
      <w:r>
        <w:t>3 til 2014</w:t>
      </w:r>
      <w:r w:rsidRPr="005A05A4">
        <w:t xml:space="preserve"> for hele kommunesektoren, inkl. undervisningssektoren, Oslo kommune og diverse bedriftsmedlemmer</w:t>
      </w:r>
      <w:r w:rsidRPr="00432B5F">
        <w:rPr>
          <w:vertAlign w:val="superscript"/>
        </w:rPr>
        <w:footnoteReference w:id="5"/>
      </w:r>
      <w:r w:rsidRPr="005A05A4">
        <w:t xml:space="preserve">, </w:t>
      </w:r>
      <w:r>
        <w:t>er beregnet</w:t>
      </w:r>
      <w:r w:rsidRPr="005A05A4">
        <w:t xml:space="preserve"> til</w:t>
      </w:r>
      <w:r>
        <w:t xml:space="preserve"> 3,2 </w:t>
      </w:r>
      <w:r w:rsidRPr="005A05A4">
        <w:t>prosent</w:t>
      </w:r>
      <w:r>
        <w:t xml:space="preserve"> når forskyvninger i virkningstidspunkter er medregnet. Uten slike forskyvninger ville årslønnsveksten være </w:t>
      </w:r>
      <w:r w:rsidRPr="006C25A6">
        <w:t>0,2</w:t>
      </w:r>
      <w:r>
        <w:t xml:space="preserve"> prosent høyere.  </w:t>
      </w:r>
    </w:p>
    <w:p w14:paraId="70ABA883" w14:textId="02F25970" w:rsidR="001074F6" w:rsidRDefault="001074F6" w:rsidP="001074F6">
      <w:r w:rsidRPr="006C25A6">
        <w:t>For kommuneansatte bidro tarifftilleggene i hovedoppgjøret 2014 med 2,1 prosentpoeng til årslønnsveksten fra 2013 til 2014 når det tas hensyn til endrede virkningstidspunkter som følge av konflikten. Tarifftilleggenes bidrag til årslønnsveksten uten at endrede virkningstidspunkter blir tatt hensyn til</w:t>
      </w:r>
      <w:r w:rsidR="00432B5F">
        <w:t>, ville vært 0,2 prosentpoeng høyere</w:t>
      </w:r>
      <w:r w:rsidRPr="006C25A6">
        <w:t xml:space="preserve">. </w:t>
      </w:r>
    </w:p>
    <w:p w14:paraId="3EFC2E84" w14:textId="3A8773D5" w:rsidR="00D74956" w:rsidRPr="006C25A6" w:rsidRDefault="00D74956" w:rsidP="001074F6">
      <w:r w:rsidRPr="0060625F">
        <w:t xml:space="preserve">Årslønnsveksten for </w:t>
      </w:r>
      <w:r w:rsidRPr="00D74956">
        <w:t>kommuneansatte</w:t>
      </w:r>
      <w:r w:rsidRPr="0060625F">
        <w:t xml:space="preserve"> </w:t>
      </w:r>
      <w:r>
        <w:t xml:space="preserve">i alt fra 2014 til 2015 </w:t>
      </w:r>
      <w:r w:rsidRPr="0060625F">
        <w:t xml:space="preserve">er påvirket av tillegg for 2015 som ble avtalt i 2014 og av effekter av lærerstreiken i 2014. </w:t>
      </w:r>
      <w:r>
        <w:t>Tarifftilleggene bidrar til årslønnsveksten med 0,9 prosentpoeng. S</w:t>
      </w:r>
      <w:r w:rsidRPr="0060625F">
        <w:t xml:space="preserve">ammen med overhenget gir </w:t>
      </w:r>
      <w:r>
        <w:t xml:space="preserve">dette </w:t>
      </w:r>
      <w:r w:rsidRPr="0060625F">
        <w:t>en årslønnsvekst fra 2014 til 2015 på 2,7 prosent</w:t>
      </w:r>
      <w:r>
        <w:t xml:space="preserve"> før bidrag fra lønnsglidningen</w:t>
      </w:r>
      <w:r w:rsidRPr="0060625F">
        <w:t>. Lærerstreiken i 2014 trakk opp overhenget til 2015 med 0,2 prosentpoeng.</w:t>
      </w:r>
      <w:r w:rsidR="005A0930">
        <w:t xml:space="preserve"> </w:t>
      </w:r>
      <w:r w:rsidR="005A0930" w:rsidRPr="007F62C4">
        <w:t>Bidraget fra lønnsglidningen til årslønnsveksten i årene 2010 til 2014 vises i tabell 1.3.</w:t>
      </w:r>
    </w:p>
    <w:p w14:paraId="516F0FBD" w14:textId="78F75C60" w:rsidR="00423A13" w:rsidRPr="00BA1C84" w:rsidRDefault="00423A13" w:rsidP="001E2BC6">
      <w:pPr>
        <w:pStyle w:val="Overskrift3"/>
      </w:pPr>
      <w:bookmarkStart w:id="116" w:name="_Toc96946411"/>
      <w:bookmarkStart w:id="117" w:name="_Toc96946581"/>
      <w:bookmarkStart w:id="118" w:name="_Toc96946806"/>
      <w:bookmarkStart w:id="119" w:name="_Toc225769702"/>
      <w:bookmarkStart w:id="120" w:name="_Toc225769828"/>
      <w:bookmarkStart w:id="121" w:name="_Toc226010293"/>
      <w:bookmarkStart w:id="122" w:name="_Toc286073356"/>
      <w:bookmarkStart w:id="123" w:name="_Toc286075000"/>
      <w:bookmarkStart w:id="124" w:name="_Toc286075249"/>
      <w:bookmarkStart w:id="125" w:name="_Toc289722984"/>
      <w:bookmarkStart w:id="126" w:name="_Toc296427213"/>
      <w:bookmarkStart w:id="127" w:name="_Toc351913435"/>
      <w:bookmarkStart w:id="128" w:name="_Toc380506129"/>
      <w:bookmarkStart w:id="129" w:name="_Toc415240753"/>
      <w:bookmarkStart w:id="130" w:name="_Toc422226822"/>
      <w:r w:rsidRPr="00BA1C84">
        <w:t>Lønnsutviklingen i Spekter-området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BA1C84">
        <w:t xml:space="preserve"> </w:t>
      </w:r>
    </w:p>
    <w:p w14:paraId="2CBB94C9" w14:textId="77777777" w:rsidR="00423A13" w:rsidRDefault="00423A13" w:rsidP="00423A13">
      <w:r>
        <w:t>I tråd med forhandlingsmodellen i Spekter forhandles det først på nasjonalt nivå (A-nivå) om overenskomstens generelle del mellom Spekter og den enkelte hovedorganisasjon. Denne delen er felles for alle virksomheter innenfor et overenskomstområde og forplikter arbeidsgiver og den aktuelle hovedorganisasjonens medlemmer. Deretter forhandles overenskomstens spesielle del (B-delen) mellom den enkelte virksomhet og hovedorganisasjonenes forbund eller forhandlingsgrupper. Det kan avtales avvikende ordninger.</w:t>
      </w:r>
    </w:p>
    <w:p w14:paraId="3347B5AB" w14:textId="77777777" w:rsidR="00423A13" w:rsidRDefault="00423A13" w:rsidP="00423A13">
      <w:r>
        <w:t>For Spekter-Helse er det for LO, YS, noen av Unios forbund og Den norske legeforening de siste årene avtalt et nasjonalt nivå II (A2) der det forhandles mellom Spekter-Helse og de enkelte foreninger/forbund i hovedorganisasjonene om særskilte lønns- og arbeidsvilkår for den enkelte forenings medlemmer.</w:t>
      </w:r>
    </w:p>
    <w:p w14:paraId="61112202" w14:textId="77777777" w:rsidR="00423A13" w:rsidRDefault="00423A13" w:rsidP="00423A13">
      <w:r w:rsidRPr="00913685">
        <w:t>I hovedoppgjøret 2014 ble det p</w:t>
      </w:r>
      <w:r w:rsidRPr="00913685">
        <w:rPr>
          <w:rFonts w:hint="eastAsia"/>
        </w:rPr>
        <w:t xml:space="preserve">å A-nivå mellom </w:t>
      </w:r>
      <w:r w:rsidRPr="00913685">
        <w:t>Spekter</w:t>
      </w:r>
      <w:r w:rsidRPr="00913685">
        <w:rPr>
          <w:rFonts w:hint="eastAsia"/>
        </w:rPr>
        <w:t xml:space="preserve"> og LO</w:t>
      </w:r>
      <w:r w:rsidRPr="00913685">
        <w:t xml:space="preserve"> </w:t>
      </w:r>
      <w:r w:rsidRPr="00913685">
        <w:rPr>
          <w:rFonts w:hint="eastAsia"/>
        </w:rPr>
        <w:t>Stat og mellom S</w:t>
      </w:r>
      <w:r w:rsidRPr="00913685">
        <w:t>pekter</w:t>
      </w:r>
      <w:r w:rsidRPr="00913685">
        <w:rPr>
          <w:rFonts w:hint="eastAsia"/>
        </w:rPr>
        <w:t xml:space="preserve"> og YS</w:t>
      </w:r>
      <w:r w:rsidRPr="00913685">
        <w:t xml:space="preserve"> Spekter</w:t>
      </w:r>
      <w:r w:rsidRPr="00913685">
        <w:rPr>
          <w:rFonts w:hint="eastAsia"/>
        </w:rPr>
        <w:t xml:space="preserve"> enighet om et </w:t>
      </w:r>
      <w:r w:rsidRPr="00913685">
        <w:t xml:space="preserve">generelt </w:t>
      </w:r>
      <w:r w:rsidRPr="00913685">
        <w:rPr>
          <w:rFonts w:hint="eastAsia"/>
        </w:rPr>
        <w:t>tillegg fra 1. april 20</w:t>
      </w:r>
      <w:r w:rsidRPr="00913685">
        <w:t>14</w:t>
      </w:r>
      <w:r w:rsidRPr="00913685">
        <w:rPr>
          <w:rFonts w:hint="eastAsia"/>
        </w:rPr>
        <w:t xml:space="preserve"> på kr</w:t>
      </w:r>
      <w:r w:rsidRPr="00913685">
        <w:t xml:space="preserve"> 1 463 </w:t>
      </w:r>
      <w:r w:rsidRPr="00913685">
        <w:rPr>
          <w:rFonts w:hint="eastAsia"/>
        </w:rPr>
        <w:t>p</w:t>
      </w:r>
      <w:r w:rsidRPr="00913685">
        <w:t>er</w:t>
      </w:r>
      <w:r w:rsidRPr="00913685">
        <w:rPr>
          <w:rFonts w:hint="eastAsia"/>
        </w:rPr>
        <w:t xml:space="preserve"> år. </w:t>
      </w:r>
    </w:p>
    <w:p w14:paraId="69528C1A" w14:textId="77777777" w:rsidR="00423A13" w:rsidRDefault="00423A13" w:rsidP="00423A13">
      <w:r w:rsidRPr="006E2241">
        <w:t>Det ble ført forhandlinger i de enkelte virksomheter (B-nivå) om ytterligere lønnstillegg. I disse forhandlingene ble d</w:t>
      </w:r>
      <w:r>
        <w:t>et gitt noe varierende tillegg.</w:t>
      </w:r>
      <w:r w:rsidRPr="006E2241">
        <w:t> </w:t>
      </w:r>
      <w:r>
        <w:t>For akademikergruppene i Spekter (ekskl. Legeforeningen) gis det ikke sentrale generelle tillegg. Lønnstilleggene for disse gruppene avtales lokalt.</w:t>
      </w:r>
    </w:p>
    <w:p w14:paraId="1ED5B86F" w14:textId="77777777" w:rsidR="00423A13" w:rsidRPr="005B1180" w:rsidRDefault="00423A13" w:rsidP="00423A13">
      <w:r w:rsidRPr="005A05A4">
        <w:t>På grunnlag av lønnsstatistikk for 2014 og de avtalte tilleggene gitt i forhandlingene i de ulike virksomhetene,</w:t>
      </w:r>
      <w:r>
        <w:t xml:space="preserve"> har utvalget beregnet</w:t>
      </w:r>
      <w:r w:rsidRPr="005A05A4">
        <w:t xml:space="preserve"> årslønnsveksten fra 2013 til 2014 i Spekter-området ekskl. helseforetakene </w:t>
      </w:r>
      <w:r w:rsidRPr="00B26F78">
        <w:t>til</w:t>
      </w:r>
      <w:r w:rsidRPr="00B26F78">
        <w:rPr>
          <w:noProof/>
        </w:rPr>
        <w:t xml:space="preserve"> </w:t>
      </w:r>
      <w:r>
        <w:rPr>
          <w:noProof/>
        </w:rPr>
        <w:t>3,3</w:t>
      </w:r>
      <w:r w:rsidRPr="00B26F78">
        <w:rPr>
          <w:noProof/>
        </w:rPr>
        <w:t xml:space="preserve"> </w:t>
      </w:r>
      <w:r w:rsidRPr="00B26F78">
        <w:t>prosent</w:t>
      </w:r>
      <w:r w:rsidRPr="005A05A4">
        <w:t>.</w:t>
      </w:r>
      <w:r>
        <w:rPr>
          <w:noProof/>
        </w:rPr>
        <w:t xml:space="preserve"> </w:t>
      </w:r>
    </w:p>
    <w:p w14:paraId="08113EE3" w14:textId="77777777" w:rsidR="00423A13" w:rsidRPr="00B87D47" w:rsidRDefault="00423A13" w:rsidP="00423A13">
      <w:pPr>
        <w:rPr>
          <w:highlight w:val="yellow"/>
        </w:rPr>
      </w:pPr>
      <w:r w:rsidRPr="00F36F8D">
        <w:t>I mellomoppgjøret 2015 ble det p</w:t>
      </w:r>
      <w:r w:rsidRPr="00F36F8D">
        <w:rPr>
          <w:rFonts w:hint="eastAsia"/>
        </w:rPr>
        <w:t xml:space="preserve">å A-nivå mellom </w:t>
      </w:r>
      <w:r w:rsidRPr="00F36F8D">
        <w:t>Spekter</w:t>
      </w:r>
      <w:r w:rsidRPr="00F36F8D">
        <w:rPr>
          <w:rFonts w:hint="eastAsia"/>
        </w:rPr>
        <w:t xml:space="preserve"> og LO</w:t>
      </w:r>
      <w:r w:rsidRPr="00F36F8D">
        <w:t xml:space="preserve"> </w:t>
      </w:r>
      <w:r w:rsidRPr="00F36F8D">
        <w:rPr>
          <w:rFonts w:hint="eastAsia"/>
        </w:rPr>
        <w:t>Stat og mellom S</w:t>
      </w:r>
      <w:r w:rsidRPr="00F36F8D">
        <w:t>pekter</w:t>
      </w:r>
      <w:r w:rsidRPr="00F36F8D">
        <w:rPr>
          <w:rFonts w:hint="eastAsia"/>
        </w:rPr>
        <w:t xml:space="preserve"> og YS</w:t>
      </w:r>
      <w:r w:rsidRPr="00F36F8D">
        <w:t xml:space="preserve"> Spekter</w:t>
      </w:r>
      <w:r w:rsidRPr="00F36F8D">
        <w:rPr>
          <w:rFonts w:hint="eastAsia"/>
        </w:rPr>
        <w:t xml:space="preserve"> enighet om et </w:t>
      </w:r>
      <w:r w:rsidRPr="006E2241">
        <w:t xml:space="preserve">generelt </w:t>
      </w:r>
      <w:r w:rsidRPr="006E2241">
        <w:rPr>
          <w:rFonts w:hint="eastAsia"/>
        </w:rPr>
        <w:t>tillegg fra 1. april 20</w:t>
      </w:r>
      <w:r>
        <w:t>15</w:t>
      </w:r>
      <w:r w:rsidRPr="006E2241">
        <w:rPr>
          <w:rFonts w:hint="eastAsia"/>
        </w:rPr>
        <w:t xml:space="preserve"> på kr</w:t>
      </w:r>
      <w:r w:rsidRPr="006E2241">
        <w:t xml:space="preserve"> </w:t>
      </w:r>
      <w:r>
        <w:t xml:space="preserve">3 413 </w:t>
      </w:r>
      <w:r w:rsidRPr="006E2241">
        <w:rPr>
          <w:rFonts w:hint="eastAsia"/>
        </w:rPr>
        <w:t>p</w:t>
      </w:r>
      <w:r w:rsidRPr="006E2241">
        <w:t>er</w:t>
      </w:r>
      <w:r w:rsidRPr="006E2241">
        <w:rPr>
          <w:rFonts w:hint="eastAsia"/>
        </w:rPr>
        <w:t xml:space="preserve"> år </w:t>
      </w:r>
      <w:r>
        <w:t>til arbeidstakere (unntatt lærlinger og unge arbeidstakere) med årslønn på kr 388 013 eller lavere.</w:t>
      </w:r>
    </w:p>
    <w:p w14:paraId="18A645A9" w14:textId="77777777" w:rsidR="00423A13" w:rsidRDefault="00423A13" w:rsidP="00423A13">
      <w:r w:rsidRPr="00BE1AB8">
        <w:t>Det ble ført forhandlinger i de enkelte virksomheter (B-nivå) om ytterligere lønnstillegg. I disse forhandlingene ble det gitt noe varierende tillegg. For akademikergruppene i Spekter (ekskl. Legeforeningen) gis det ikke sentrale generelle tillegg. Lønnstilleggene for disse gruppene avtales lokalt.</w:t>
      </w:r>
    </w:p>
    <w:p w14:paraId="3DCB2AE7" w14:textId="1554E526" w:rsidR="00423A13" w:rsidRPr="00BE1AB8" w:rsidRDefault="00423A13" w:rsidP="00423A13">
      <w:r w:rsidRPr="000633E3">
        <w:t>I Spekter-bedrifter eksklusive helseforetakene er det beregnet at overhenget på 0,8 prosent og de avtalte tilleggene på A-nivå gir en lønnsvekst på om lag 1 prosent fra 2014 til 2015. I tillegg kommer lønnstillegg avtalt på den enkelte virksomhet (B-nivå) som anslås i gjennomsnitt å gi et bidrag på om lag 1¾ prosentpoeng</w:t>
      </w:r>
      <w:r w:rsidR="00D43BE4">
        <w:t xml:space="preserve"> </w:t>
      </w:r>
      <w:r w:rsidR="00F915A2" w:rsidRPr="007F62C4">
        <w:t>før bidrag fra lønnsglidningen i 2015. Bidraget fra lønnsglidningen til årslønnsveksten i årene 2010 til 2014 vises i tabell 1.3.</w:t>
      </w:r>
    </w:p>
    <w:p w14:paraId="3639B6D6" w14:textId="77777777" w:rsidR="00423A13" w:rsidRDefault="00423A13" w:rsidP="00423A13">
      <w:r>
        <w:t xml:space="preserve">I hovedoppgjøret i 2014 for </w:t>
      </w:r>
      <w:r w:rsidRPr="00E32A04">
        <w:rPr>
          <w:i/>
        </w:rPr>
        <w:t>helseforetakene</w:t>
      </w:r>
      <w:r>
        <w:t xml:space="preserve"> ble det den 21. mai enighet mellom Norsk Sykepleierforbund og Spekter- Helse i de sentrale forbundsvise forhandlingene (A 2).</w:t>
      </w:r>
      <w:r w:rsidRPr="00E32A04">
        <w:t xml:space="preserve"> </w:t>
      </w:r>
      <w:r>
        <w:t xml:space="preserve">Det ble også enighet i forhandlingene mellom Utdanningsforbundet og Spekter-Helse, mellom Norsk Fysioterapeutforbund og Spekter-Helse og mellom Norsk Ergoterapeutforbund og Spekter- Helse. Minstelønnssatsene blir hevet med virkning fra 1. juli. Videre ble det gjennomført lokale forhandlinger B-dels nivå. Tillegg ble gitt med virkning fra 1. juli 2014. </w:t>
      </w:r>
    </w:p>
    <w:p w14:paraId="5F27FE31" w14:textId="77777777" w:rsidR="00423A13" w:rsidRPr="009539FD" w:rsidRDefault="00423A13" w:rsidP="00423A13">
      <w:pPr>
        <w:rPr>
          <w:rFonts w:ascii="Times New Roman" w:eastAsia="Times New Roman" w:hAnsi="Times New Roman"/>
          <w:i/>
          <w:iCs/>
          <w:sz w:val="22"/>
          <w:szCs w:val="22"/>
        </w:rPr>
      </w:pPr>
      <w:r>
        <w:t>I henhold til overenskomsten</w:t>
      </w:r>
      <w:r w:rsidRPr="00AE703E">
        <w:t xml:space="preserve"> </w:t>
      </w:r>
      <w:r>
        <w:t>mellom Norsk Sykepleierforbund og Spekter- Helse skulle alle på</w:t>
      </w:r>
      <w:r w:rsidRPr="00710EA0">
        <w:t xml:space="preserve"> ansiennitetsstige sykepleier og spesialsykepleier/jordmor være sikret et tillegg på minimum 3,5 </w:t>
      </w:r>
      <w:r>
        <w:t xml:space="preserve">prosent </w:t>
      </w:r>
      <w:r w:rsidRPr="00710EA0">
        <w:t xml:space="preserve">og øvrige medlemmer som </w:t>
      </w:r>
      <w:r>
        <w:t>var</w:t>
      </w:r>
      <w:r w:rsidRPr="00710EA0">
        <w:t xml:space="preserve"> omfattet av overenskomsten sk</w:t>
      </w:r>
      <w:r>
        <w:t>ulle sikres et tillegg på minimum</w:t>
      </w:r>
      <w:r w:rsidRPr="00B60155">
        <w:t xml:space="preserve"> 2 </w:t>
      </w:r>
      <w:r>
        <w:t>prosent per 1. juli 2014.</w:t>
      </w:r>
    </w:p>
    <w:p w14:paraId="1C4F7E76" w14:textId="77777777" w:rsidR="00423A13" w:rsidRDefault="00423A13" w:rsidP="00423A13">
      <w:r>
        <w:t>For LO- og YS-forbundene ble det avtalt et generelt tillegg fra 1. juli på 3,5 prosent eller minimum kr 10 000 per år og minstelønnssatsene ble endret.  Det generelle tillegget var inkludert i endringen i minstelønnssatsene. Nye minstelønnssatser fra 1. juli 2014 vises i tabell 1.3 i vedlegg 1.</w:t>
      </w:r>
      <w:r w:rsidRPr="005D3E37">
        <w:t xml:space="preserve"> </w:t>
      </w:r>
      <w:r>
        <w:t xml:space="preserve">Avtalen innebar også at </w:t>
      </w:r>
      <w:r w:rsidRPr="00843AC3">
        <w:t xml:space="preserve">minstelønnen i stillingsgruppe l </w:t>
      </w:r>
      <w:r>
        <w:t>for ansatte med 20 års ansiennitet (s</w:t>
      </w:r>
      <w:r w:rsidRPr="003A7076">
        <w:t>tillinger hvor det ikke kreves særskilt utdanning</w:t>
      </w:r>
      <w:r>
        <w:t>), skulle</w:t>
      </w:r>
      <w:r w:rsidRPr="00843AC3">
        <w:t xml:space="preserve"> </w:t>
      </w:r>
      <w:r>
        <w:t>være</w:t>
      </w:r>
      <w:r w:rsidRPr="00843AC3">
        <w:t xml:space="preserve"> </w:t>
      </w:r>
      <w:r>
        <w:t xml:space="preserve">minimum </w:t>
      </w:r>
      <w:r>
        <w:br/>
        <w:t xml:space="preserve">kr 364 </w:t>
      </w:r>
      <w:r w:rsidRPr="00843AC3">
        <w:t xml:space="preserve">000 fra 1. </w:t>
      </w:r>
      <w:r>
        <w:t>mai</w:t>
      </w:r>
      <w:r w:rsidRPr="00843AC3">
        <w:t xml:space="preserve"> 20</w:t>
      </w:r>
      <w:r>
        <w:t>14, en økning på kr 13 000 fra året før.</w:t>
      </w:r>
    </w:p>
    <w:p w14:paraId="30B3347C" w14:textId="77777777" w:rsidR="00423A13" w:rsidRPr="001A6B21" w:rsidRDefault="00423A13" w:rsidP="00423A13">
      <w:r w:rsidRPr="001A6B21">
        <w:t xml:space="preserve">For LO- og YS-forbund med sentral overenskomstdel (A2) </w:t>
      </w:r>
      <w:r>
        <w:t>ble</w:t>
      </w:r>
      <w:r w:rsidRPr="001A6B21">
        <w:t xml:space="preserve"> det gjennomfør</w:t>
      </w:r>
      <w:r>
        <w:t>t</w:t>
      </w:r>
      <w:r w:rsidRPr="001A6B21">
        <w:t xml:space="preserve"> lokale forhandlinger. </w:t>
      </w:r>
      <w:r>
        <w:t>Tilleggene ble</w:t>
      </w:r>
      <w:r w:rsidRPr="001A6B21">
        <w:t xml:space="preserve"> </w:t>
      </w:r>
      <w:r>
        <w:t xml:space="preserve">gitt </w:t>
      </w:r>
      <w:r w:rsidRPr="001A6B21">
        <w:t xml:space="preserve">med virkning fra 1. </w:t>
      </w:r>
      <w:r>
        <w:t>juli 2014</w:t>
      </w:r>
      <w:r w:rsidRPr="001A6B21">
        <w:t xml:space="preserve">. </w:t>
      </w:r>
    </w:p>
    <w:p w14:paraId="65F134B0" w14:textId="77777777" w:rsidR="00423A13" w:rsidRPr="00992066" w:rsidRDefault="00423A13" w:rsidP="00423A13">
      <w:r w:rsidRPr="00E14178">
        <w:t>I meklingen mellom Akademikerne og Spekter i overen</w:t>
      </w:r>
      <w:r>
        <w:t>s</w:t>
      </w:r>
      <w:r w:rsidRPr="00E14178">
        <w:t>komstområdene for </w:t>
      </w:r>
      <w:r w:rsidRPr="005E1ACF">
        <w:rPr>
          <w:i/>
        </w:rPr>
        <w:t>Helseforetak og Lovisenberg</w:t>
      </w:r>
      <w:r w:rsidRPr="00E14178">
        <w:t> la riksmekler</w:t>
      </w:r>
      <w:r>
        <w:t>en</w:t>
      </w:r>
      <w:r w:rsidRPr="00E14178">
        <w:t xml:space="preserve"> fram et forslag som begge parter aksepterte.</w:t>
      </w:r>
      <w:r>
        <w:t xml:space="preserve"> I overenskomstens del A2 for medlemmer av Den norske legeforening ble tillegget for turnusleger kr 15 000 per år og leger i spesialisering fikk et tillegg fra kr 18 000 til kr 19 000. Overleger fikk et tillegg på kr 27 500 per år. Tilleggene ble gitt med virkning fra 1. januar 2014. Øvrige forbund i Akademikerne helse gjennomfører kun lokale forhandlinger. </w:t>
      </w:r>
      <w:r w:rsidRPr="00967D24">
        <w:t>For nærmere omtale av lønnsoppgjøret i 201</w:t>
      </w:r>
      <w:r>
        <w:t>4</w:t>
      </w:r>
      <w:r w:rsidRPr="00967D24">
        <w:t xml:space="preserve"> i helseforetakene, vises det til vedlegg</w:t>
      </w:r>
      <w:r>
        <w:t> </w:t>
      </w:r>
      <w:r w:rsidRPr="00967D24">
        <w:t>1.</w:t>
      </w:r>
    </w:p>
    <w:p w14:paraId="717F3441" w14:textId="77777777" w:rsidR="00423A13" w:rsidRDefault="00423A13" w:rsidP="00423A13">
      <w:bookmarkStart w:id="131" w:name="_Toc328068297"/>
      <w:bookmarkEnd w:id="131"/>
      <w:r w:rsidRPr="005A05A4">
        <w:t>På grunnlag av tallmateriale/lønnsstatistikk fra Statistisk sentralbyrå for 2013 og 2014 og lønnstilleggene i disse to årene, har utvalget beregnet årslønnsveksten i helseforetakene fra 2013 til 2014 til</w:t>
      </w:r>
      <w:r w:rsidRPr="009539FD">
        <w:t xml:space="preserve"> </w:t>
      </w:r>
      <w:r>
        <w:t>3,4</w:t>
      </w:r>
      <w:r w:rsidRPr="008A0A08">
        <w:t xml:space="preserve"> prosent</w:t>
      </w:r>
      <w:r w:rsidRPr="005A05A4">
        <w:t xml:space="preserve">. Det kan være noen tillegg knyttet til lønnsoppgjøret </w:t>
      </w:r>
      <w:r>
        <w:t>i</w:t>
      </w:r>
      <w:r w:rsidRPr="005A05A4">
        <w:t xml:space="preserve"> 2014 som ikke er fanget opp i Statistisk sentralbyrå sin lønnsstatistikk per 1. oktober 2014.</w:t>
      </w:r>
    </w:p>
    <w:p w14:paraId="3804862B" w14:textId="3298D909" w:rsidR="00423A13" w:rsidRDefault="00423A13" w:rsidP="00423A13">
      <w:r>
        <w:t xml:space="preserve">I mellomoppgjøret 2015 for </w:t>
      </w:r>
      <w:r w:rsidRPr="00E32A04">
        <w:rPr>
          <w:i/>
        </w:rPr>
        <w:t>helseforetakene</w:t>
      </w:r>
      <w:r>
        <w:t xml:space="preserve"> </w:t>
      </w:r>
      <w:r w:rsidRPr="00843AC3">
        <w:t xml:space="preserve">kom Spekter og forbundene i LO og YS til enighet i de sentrale forbundsvise forhandlingene (A2). </w:t>
      </w:r>
      <w:r>
        <w:t>D</w:t>
      </w:r>
      <w:r w:rsidRPr="00843AC3">
        <w:t xml:space="preserve">et </w:t>
      </w:r>
      <w:r>
        <w:t>ble enighet om</w:t>
      </w:r>
      <w:r w:rsidRPr="00843AC3">
        <w:t xml:space="preserve"> et generelt tillegg </w:t>
      </w:r>
      <w:r>
        <w:t xml:space="preserve">fra 1. august 2015 </w:t>
      </w:r>
      <w:r w:rsidRPr="00843AC3">
        <w:t xml:space="preserve">på kr </w:t>
      </w:r>
      <w:r>
        <w:t>2 0</w:t>
      </w:r>
      <w:r w:rsidRPr="00843AC3">
        <w:t>00</w:t>
      </w:r>
      <w:r>
        <w:t xml:space="preserve"> per år i stillingsgruppene 1-4 og kr 4 000 i stillingsgruppe 5 og til ledere som leder ansatte i stillingsgruppe 5. Øvrige medlemmer i LO- og YS-forbundene fikk et tillegg på kr 2 000 per år fra 1. august 2015. M</w:t>
      </w:r>
      <w:r w:rsidRPr="00843AC3">
        <w:t xml:space="preserve">instelønnssatsene </w:t>
      </w:r>
      <w:r>
        <w:t xml:space="preserve">ble </w:t>
      </w:r>
      <w:r w:rsidRPr="00843AC3">
        <w:t>heve</w:t>
      </w:r>
      <w:r>
        <w:t>t</w:t>
      </w:r>
      <w:r w:rsidRPr="00843AC3">
        <w:t xml:space="preserve"> </w:t>
      </w:r>
      <w:r>
        <w:t>tilsvarende fra samme dato</w:t>
      </w:r>
      <w:r w:rsidRPr="00843AC3">
        <w:t xml:space="preserve">. </w:t>
      </w:r>
      <w:r>
        <w:t xml:space="preserve">Avtalen innebærer også at </w:t>
      </w:r>
      <w:r w:rsidRPr="00843AC3">
        <w:t xml:space="preserve">minstelønnen i stillingsgruppe l </w:t>
      </w:r>
      <w:r>
        <w:t>for ansatte med 20 års ansiennitet (s</w:t>
      </w:r>
      <w:r w:rsidRPr="003A7076">
        <w:t>tillinger hvor det ikke kreves særskilt utdanning</w:t>
      </w:r>
      <w:r>
        <w:t>), økes ytterligere med kr 7 000 til kr 373 000</w:t>
      </w:r>
      <w:r w:rsidRPr="00843AC3">
        <w:t xml:space="preserve"> fra 1. </w:t>
      </w:r>
      <w:r>
        <w:t>januar 2016. D</w:t>
      </w:r>
      <w:r w:rsidRPr="00843AC3">
        <w:t xml:space="preserve">et </w:t>
      </w:r>
      <w:r>
        <w:t>skal ikke</w:t>
      </w:r>
      <w:r w:rsidRPr="00843AC3">
        <w:t xml:space="preserve"> gjennomfør</w:t>
      </w:r>
      <w:r>
        <w:t>es</w:t>
      </w:r>
      <w:r w:rsidRPr="00843AC3">
        <w:t xml:space="preserve"> lokale forhandlinger </w:t>
      </w:r>
      <w:r>
        <w:t xml:space="preserve">på B-nivå </w:t>
      </w:r>
      <w:r w:rsidRPr="00843AC3">
        <w:t>i 20</w:t>
      </w:r>
      <w:r>
        <w:t xml:space="preserve">15. </w:t>
      </w:r>
    </w:p>
    <w:p w14:paraId="209BF079" w14:textId="12D86FE9" w:rsidR="00423A13" w:rsidRPr="00157754" w:rsidRDefault="00423A13" w:rsidP="00423A13">
      <w:pPr>
        <w:spacing w:after="0"/>
        <w:rPr>
          <w:rFonts w:ascii="Times New Roman" w:hAnsi="Times New Roman"/>
        </w:rPr>
      </w:pPr>
      <w:r w:rsidRPr="00157754">
        <w:rPr>
          <w:rFonts w:ascii="Times New Roman" w:hAnsi="Times New Roman"/>
        </w:rPr>
        <w:t xml:space="preserve">For helseforetakene er Spekter og forbundene i Unio med sentral forbundsvis avtaledel (Norsk Sykepleierforbund, Norsk Fysioterapeutforbund, Norsk Ergoterapeutforbund og Utdanningsforbundet) kommet til enighet i de sentrale forbundsvise forhandlingene (A2). </w:t>
      </w:r>
      <w:r>
        <w:rPr>
          <w:rFonts w:ascii="Times New Roman" w:hAnsi="Times New Roman"/>
        </w:rPr>
        <w:t xml:space="preserve">Sykepleiere, fysioterapeuter, ergoterapeuter og førskolelærere fikk et generelt tillegg på kr 2 000 per år med virkning fra 1. mai 2015, mens spesialsykepleiere, jordmødre, spesialfysioterapeuter, spesialergoterapeuter, pedagoger med spesialkompetanse og ledere fikk kr 4 000 fra samme dato. </w:t>
      </w:r>
      <w:r w:rsidRPr="00157754">
        <w:rPr>
          <w:rFonts w:ascii="Times New Roman" w:hAnsi="Times New Roman"/>
        </w:rPr>
        <w:t>Minstelønnssatsene</w:t>
      </w:r>
      <w:r>
        <w:rPr>
          <w:rFonts w:ascii="Times New Roman" w:hAnsi="Times New Roman"/>
        </w:rPr>
        <w:t xml:space="preserve"> ble hevet tilsvarende</w:t>
      </w:r>
      <w:r w:rsidRPr="00157754">
        <w:rPr>
          <w:rFonts w:ascii="Times New Roman" w:hAnsi="Times New Roman"/>
        </w:rPr>
        <w:t xml:space="preserve">.  </w:t>
      </w:r>
      <w:r>
        <w:t>D</w:t>
      </w:r>
      <w:r w:rsidRPr="00843AC3">
        <w:t xml:space="preserve">et </w:t>
      </w:r>
      <w:r>
        <w:t>skal ikke</w:t>
      </w:r>
      <w:r w:rsidRPr="00843AC3">
        <w:t xml:space="preserve"> gjennomfør</w:t>
      </w:r>
      <w:r>
        <w:t>es</w:t>
      </w:r>
      <w:r w:rsidRPr="00843AC3">
        <w:t xml:space="preserve"> lokale forhandlinger </w:t>
      </w:r>
      <w:r>
        <w:t xml:space="preserve">på B-nivå </w:t>
      </w:r>
      <w:r w:rsidRPr="00843AC3">
        <w:t>i 20</w:t>
      </w:r>
      <w:r>
        <w:t>15.</w:t>
      </w:r>
      <w:r w:rsidRPr="00157754">
        <w:rPr>
          <w:rFonts w:ascii="Times New Roman" w:hAnsi="Times New Roman"/>
        </w:rPr>
        <w:t xml:space="preserve"> For medlemmer av Unio som ikke er omfattet av sentrale forbundsvise forhandlinger, ble det gjennomført lokale forhandlinger.</w:t>
      </w:r>
    </w:p>
    <w:p w14:paraId="19650510" w14:textId="77777777" w:rsidR="00423A13" w:rsidRPr="00A83FC8" w:rsidRDefault="00423A13" w:rsidP="00423A13">
      <w:pPr>
        <w:spacing w:after="0"/>
        <w:rPr>
          <w:b/>
        </w:rPr>
      </w:pPr>
    </w:p>
    <w:p w14:paraId="537FE5A4" w14:textId="757FEF3D" w:rsidR="00423A13" w:rsidRDefault="00423A13" w:rsidP="00423A13">
      <w:pPr>
        <w:pStyle w:val="NormalWeb"/>
      </w:pPr>
      <w:r>
        <w:t>I oppgjøret mellom Spekter-Helse og Den norske legeforening kom partene til enighet i de sentrale forbundsvise forhandlingene (A 2) for helseforetakene. I helseforetakene fikk turnusleger et tillegg på kr 12 000 per år og leger i spesialisering et tillegg fra kr 14 500 til kr 17 500. Tilleggene ble gitt med virkning fra 1. januar 2015. Det gjennomføres lokale forhandlinger på B-nivå for medlemmer av Den norske legeforening som ikke fikk generelle tillegg i A 2-forhandlingene. For øvrige forbund i Akademikerne ble det gjennomført lokale forhandlinger.</w:t>
      </w:r>
    </w:p>
    <w:p w14:paraId="6C99B292" w14:textId="74E79335" w:rsidR="00423A13" w:rsidRPr="00C51114" w:rsidRDefault="00423A13" w:rsidP="00423A13">
      <w:pPr>
        <w:pStyle w:val="NormalWeb"/>
      </w:pPr>
      <w:r w:rsidRPr="00C51114">
        <w:t xml:space="preserve">I </w:t>
      </w:r>
      <w:r w:rsidRPr="000633E3">
        <w:t>helseforetakene</w:t>
      </w:r>
      <w:r w:rsidRPr="00C51114">
        <w:t xml:space="preserve"> </w:t>
      </w:r>
      <w:r>
        <w:t xml:space="preserve">gir overhenget fra 2014 på 1,2 prosent og de sentralt avtalte tilleggene en lønnsvekst fra 2014 til 2015 på om lag 2¼ </w:t>
      </w:r>
      <w:r w:rsidRPr="000633E3">
        <w:t>prosent</w:t>
      </w:r>
      <w:r>
        <w:t xml:space="preserve">. I tillegg kommer bidrag fra tillegg ved lokale forhandlinger som anslås til ½ </w:t>
      </w:r>
      <w:r w:rsidRPr="00AE3930">
        <w:t>prosentpoeng</w:t>
      </w:r>
      <w:r w:rsidR="00F915A2" w:rsidRPr="00F915A2">
        <w:t xml:space="preserve"> </w:t>
      </w:r>
      <w:r w:rsidR="00F915A2" w:rsidRPr="007F62C4">
        <w:t>før bidrag fra lønnsglidningen i 2015. Bidraget fra lønnsglidningen til årslønnsveksten i årene 2010 til 2014 vises i tabell 1.3.</w:t>
      </w:r>
    </w:p>
    <w:p w14:paraId="3B4D317B" w14:textId="77777777" w:rsidR="004B1A77" w:rsidRPr="00E15C9E" w:rsidRDefault="004B1A77" w:rsidP="004B1A77">
      <w:pPr>
        <w:pStyle w:val="Overskrift2"/>
      </w:pPr>
      <w:bookmarkStart w:id="132" w:name="_Toc351913436"/>
      <w:bookmarkStart w:id="133" w:name="_Toc380506130"/>
      <w:bookmarkStart w:id="134" w:name="_Toc422226823"/>
      <w:r w:rsidRPr="00E15C9E">
        <w:t>Lønnsoverhenget</w:t>
      </w:r>
      <w:bookmarkEnd w:id="87"/>
      <w:bookmarkEnd w:id="88"/>
      <w:bookmarkEnd w:id="89"/>
      <w:bookmarkEnd w:id="90"/>
      <w:bookmarkEnd w:id="91"/>
      <w:bookmarkEnd w:id="92"/>
      <w:bookmarkEnd w:id="93"/>
      <w:bookmarkEnd w:id="94"/>
      <w:bookmarkEnd w:id="95"/>
      <w:bookmarkEnd w:id="132"/>
      <w:bookmarkEnd w:id="133"/>
      <w:bookmarkEnd w:id="134"/>
      <w:r w:rsidRPr="00E15C9E">
        <w:t xml:space="preserve"> </w:t>
      </w:r>
      <w:bookmarkEnd w:id="96"/>
      <w:bookmarkEnd w:id="97"/>
      <w:bookmarkEnd w:id="98"/>
    </w:p>
    <w:p w14:paraId="1B70069D" w14:textId="77777777" w:rsidR="004B1A77" w:rsidRDefault="004B1A77" w:rsidP="004B1A77">
      <w:r w:rsidRPr="00465FF0">
        <w:t>Lønnsoverhenget beskriver hvor mye lønnsnivået ved utløpet av ett år ligger over gjennomsnittsnivået for året. Det forteller dermed hvor stor lønnsveksten fra ett år til det neste vil bli dersom det ikke gis nye lønnstillegg eller foregår strukturendringer i det andre året.</w:t>
      </w:r>
    </w:p>
    <w:p w14:paraId="33BA8117" w14:textId="77777777" w:rsidR="004B1A77" w:rsidRDefault="004B1A77" w:rsidP="004B1A77">
      <w:r w:rsidRPr="00A25A63">
        <w:t>Utvalget anslår overhenget til 201</w:t>
      </w:r>
      <w:r>
        <w:t>5</w:t>
      </w:r>
      <w:r w:rsidRPr="00A25A63">
        <w:t xml:space="preserve"> til </w:t>
      </w:r>
      <w:r w:rsidR="00BA4ED2">
        <w:t>1</w:t>
      </w:r>
      <w:r w:rsidR="000D31D0">
        <w:t>,4</w:t>
      </w:r>
      <w:r>
        <w:t xml:space="preserve"> </w:t>
      </w:r>
      <w:r w:rsidRPr="00A25A63">
        <w:t xml:space="preserve">prosent </w:t>
      </w:r>
      <w:r>
        <w:t xml:space="preserve">i gjennomsnitt </w:t>
      </w:r>
      <w:r w:rsidRPr="00B61CD1">
        <w:t xml:space="preserve">i </w:t>
      </w:r>
      <w:r>
        <w:t xml:space="preserve">de største forhandlingsområdene. </w:t>
      </w:r>
      <w:r w:rsidRPr="009563B3">
        <w:t xml:space="preserve"> </w:t>
      </w:r>
      <w:r>
        <w:t>G</w:t>
      </w:r>
      <w:r w:rsidRPr="009563B3">
        <w:t>jennomsnittlig overheng</w:t>
      </w:r>
      <w:r>
        <w:t xml:space="preserve"> i</w:t>
      </w:r>
      <w:r w:rsidRPr="009563B3">
        <w:t xml:space="preserve"> de tre foregående år var på </w:t>
      </w:r>
      <w:r>
        <w:t>1,2</w:t>
      </w:r>
      <w:r w:rsidRPr="009563B3">
        <w:t xml:space="preserve"> prosent</w:t>
      </w:r>
      <w:r>
        <w:t>.</w:t>
      </w:r>
      <w:r w:rsidRPr="00A25A63">
        <w:t xml:space="preserve"> </w:t>
      </w:r>
      <w:r w:rsidRPr="009563B3">
        <w:t xml:space="preserve">For områdene </w:t>
      </w:r>
      <w:r>
        <w:t>i tabell 1.6</w:t>
      </w:r>
      <w:r w:rsidRPr="009563B3">
        <w:t xml:space="preserve"> </w:t>
      </w:r>
      <w:r>
        <w:t xml:space="preserve">med unntak av undervisningspersonell i KS-området </w:t>
      </w:r>
      <w:r w:rsidRPr="009563B3">
        <w:t xml:space="preserve">varierer overhenget til </w:t>
      </w:r>
      <w:r w:rsidR="00EC3D71" w:rsidRPr="009563B3">
        <w:t>20</w:t>
      </w:r>
      <w:r w:rsidR="00EC3D71">
        <w:t>15</w:t>
      </w:r>
      <w:r w:rsidR="00EC3D71" w:rsidRPr="009563B3">
        <w:t xml:space="preserve"> </w:t>
      </w:r>
      <w:r w:rsidRPr="009563B3">
        <w:t xml:space="preserve">fra </w:t>
      </w:r>
      <w:r w:rsidR="00EC3D71">
        <w:t>0,8</w:t>
      </w:r>
      <w:r>
        <w:t xml:space="preserve"> prosent </w:t>
      </w:r>
      <w:r w:rsidR="00EC3D71">
        <w:t xml:space="preserve">for ansatte i Spekterbedrifter utenom helseforetakene </w:t>
      </w:r>
      <w:r>
        <w:t>til 2</w:t>
      </w:r>
      <w:r w:rsidR="000D31D0">
        <w:t>,1</w:t>
      </w:r>
      <w:r>
        <w:t xml:space="preserve"> </w:t>
      </w:r>
      <w:r w:rsidRPr="002A7BBD">
        <w:t>prosent</w:t>
      </w:r>
      <w:r>
        <w:t xml:space="preserve"> for statsansatte</w:t>
      </w:r>
      <w:r w:rsidRPr="002A7BBD">
        <w:t>.</w:t>
      </w:r>
      <w:r>
        <w:t xml:space="preserve"> For undervisningspersonell i KS-området er overhenget til 2015 beregnet til 2</w:t>
      </w:r>
      <w:r w:rsidR="000D31D0">
        <w:t>,6</w:t>
      </w:r>
      <w:r>
        <w:t xml:space="preserve"> prosent. Det høye overhenget skyldes at lønnstilleggene i 2014 ble gitt sent på året pga. streiken.</w:t>
      </w:r>
    </w:p>
    <w:p w14:paraId="14F710D9" w14:textId="77777777" w:rsidR="004B1A77" w:rsidRDefault="004B1A77" w:rsidP="004B1A77">
      <w:r>
        <w:t xml:space="preserve">I tillegg til lønnsoverhenget kan lønnsveksten til neste år i enkelte områder også bli påvirket enten av allerede avtalte tarifftillegg eller av garantiordninger og satsreguleringsbestemmelser. </w:t>
      </w:r>
    </w:p>
    <w:p w14:paraId="654DFEDD" w14:textId="77777777" w:rsidR="004B1A77" w:rsidRDefault="004B1A77" w:rsidP="004B1A77">
      <w:r>
        <w:t>Prinsipielt står allerede avtalte lønnstillegg for neste år i en noe annen stilling enn lønnsoverhenget. Ved å avtale lønnstillegg i et tariffoppgjør for neste år, legger en føringer for årslønnsveksten året etter. På denne bakgrunn bør beregninger av lønnsoverheng til ett år suppleres med opplysninger om eventuelle allerede avtalte tillegg for det samme året.</w:t>
      </w:r>
    </w:p>
    <w:p w14:paraId="7C3760AA" w14:textId="77777777" w:rsidR="004B1A77" w:rsidRDefault="00253C32" w:rsidP="004B1A77">
      <w:r>
        <w:t xml:space="preserve">I KS-området ble det for stillinger med hovedsakelig sentral lønnsdannelse i oppgjøret i 2014 avtalt lønnstillegg for 2015 som bidrar til årslønnsveksten </w:t>
      </w:r>
      <w:r w:rsidR="00F9495F">
        <w:t xml:space="preserve">i hele kommunesektoren </w:t>
      </w:r>
      <w:r>
        <w:t xml:space="preserve">med </w:t>
      </w:r>
      <w:r w:rsidR="000D31D0">
        <w:t>0,8</w:t>
      </w:r>
      <w:r>
        <w:t xml:space="preserve"> prosentpoeng fra 2014 til 2015.</w:t>
      </w:r>
      <w:r w:rsidR="00FC100A">
        <w:t xml:space="preserve"> Garantitillegg bidrar med 0,1 prosentpoeng.</w:t>
      </w:r>
    </w:p>
    <w:p w14:paraId="738447AD" w14:textId="77777777" w:rsidR="004B1A77" w:rsidRDefault="004B1A77" w:rsidP="004B1A77">
      <w:r>
        <w:t>Garantiordninger og satsreguleringsbestemmelser sikrer områder en (automatisk) lønnsvekst, gjerne i forhold til en fastlagt referansegruppes lønn. Fra 2011 er nye ordninger kommet til,</w:t>
      </w:r>
      <w:r w:rsidRPr="000C1592">
        <w:t xml:space="preserve"> </w:t>
      </w:r>
      <w:r>
        <w:t>blant annet for regulering av minstelønnssatser i LO - NHO- området</w:t>
      </w:r>
      <w:r w:rsidR="00E70C88">
        <w:t>. Virkninger</w:t>
      </w:r>
      <w:r>
        <w:t xml:space="preserve"> av alle avtalte tillegg inklusive slike ordninger, defineres som tarifftillegg når de er kjent. En del av disse tilleggene vil ikke være klare før endelig statistikk foreligger. </w:t>
      </w:r>
    </w:p>
    <w:p w14:paraId="34BEA3AC" w14:textId="77777777" w:rsidR="004B1A77" w:rsidRDefault="004B1A77" w:rsidP="004B1A77">
      <w:pPr>
        <w:pStyle w:val="tabell-tittel"/>
      </w:pPr>
      <w:r w:rsidRPr="00DC3A48">
        <w:t>Lønnsoverhenget fra året før i prosent. 20</w:t>
      </w:r>
      <w:r>
        <w:t>10</w:t>
      </w:r>
      <w:r w:rsidRPr="00DC3A48">
        <w:t>-201</w:t>
      </w:r>
      <w:r>
        <w:t>5</w:t>
      </w:r>
      <w:r w:rsidRPr="00DC3A48">
        <w:t xml:space="preserve">. </w:t>
      </w:r>
    </w:p>
    <w:tbl>
      <w:tblPr>
        <w:tblW w:w="5000" w:type="pct"/>
        <w:tblBorders>
          <w:bottom w:val="single" w:sz="4" w:space="0" w:color="auto"/>
        </w:tblBorders>
        <w:tblLook w:val="04A0" w:firstRow="1" w:lastRow="0" w:firstColumn="1" w:lastColumn="0" w:noHBand="0" w:noVBand="1"/>
      </w:tblPr>
      <w:tblGrid>
        <w:gridCol w:w="3460"/>
        <w:gridCol w:w="758"/>
        <w:gridCol w:w="943"/>
        <w:gridCol w:w="827"/>
        <w:gridCol w:w="1116"/>
        <w:gridCol w:w="976"/>
        <w:gridCol w:w="990"/>
      </w:tblGrid>
      <w:tr w:rsidR="004B1A77" w:rsidRPr="008718E6" w14:paraId="03C8D7E3" w14:textId="77777777" w:rsidTr="008A3235">
        <w:trPr>
          <w:trHeight w:val="428"/>
        </w:trPr>
        <w:tc>
          <w:tcPr>
            <w:tcW w:w="1907" w:type="pct"/>
            <w:tcBorders>
              <w:top w:val="single" w:sz="4" w:space="0" w:color="auto"/>
              <w:bottom w:val="single" w:sz="4" w:space="0" w:color="auto"/>
            </w:tcBorders>
            <w:vAlign w:val="bottom"/>
          </w:tcPr>
          <w:p w14:paraId="1099BFA6" w14:textId="77777777" w:rsidR="004B1A77" w:rsidRPr="008718E6" w:rsidRDefault="004B1A77" w:rsidP="00795948">
            <w:pPr>
              <w:rPr>
                <w:noProof/>
              </w:rPr>
            </w:pPr>
            <w:r w:rsidRPr="00E27050">
              <w:rPr>
                <w:noProof/>
              </w:rPr>
              <w:t>Område/gruppe:</w:t>
            </w:r>
          </w:p>
        </w:tc>
        <w:tc>
          <w:tcPr>
            <w:tcW w:w="418" w:type="pct"/>
            <w:tcBorders>
              <w:top w:val="single" w:sz="4" w:space="0" w:color="auto"/>
              <w:bottom w:val="single" w:sz="4" w:space="0" w:color="auto"/>
            </w:tcBorders>
            <w:vAlign w:val="bottom"/>
          </w:tcPr>
          <w:p w14:paraId="755A05B0" w14:textId="77777777" w:rsidR="004B1A77" w:rsidRPr="008718E6" w:rsidRDefault="004B1A77" w:rsidP="00795948">
            <w:pPr>
              <w:jc w:val="right"/>
              <w:rPr>
                <w:noProof/>
              </w:rPr>
            </w:pPr>
            <w:r w:rsidRPr="00E27050">
              <w:rPr>
                <w:noProof/>
              </w:rPr>
              <w:t>2010</w:t>
            </w:r>
          </w:p>
        </w:tc>
        <w:tc>
          <w:tcPr>
            <w:tcW w:w="520" w:type="pct"/>
            <w:tcBorders>
              <w:top w:val="single" w:sz="4" w:space="0" w:color="auto"/>
              <w:bottom w:val="single" w:sz="4" w:space="0" w:color="auto"/>
            </w:tcBorders>
            <w:vAlign w:val="bottom"/>
          </w:tcPr>
          <w:p w14:paraId="19992E98" w14:textId="77777777" w:rsidR="004B1A77" w:rsidRPr="008718E6" w:rsidRDefault="004B1A77" w:rsidP="00795948">
            <w:pPr>
              <w:jc w:val="right"/>
              <w:rPr>
                <w:noProof/>
              </w:rPr>
            </w:pPr>
            <w:r w:rsidRPr="00E27050">
              <w:rPr>
                <w:noProof/>
              </w:rPr>
              <w:t>2011</w:t>
            </w:r>
          </w:p>
        </w:tc>
        <w:tc>
          <w:tcPr>
            <w:tcW w:w="456" w:type="pct"/>
            <w:tcBorders>
              <w:top w:val="single" w:sz="4" w:space="0" w:color="auto"/>
              <w:bottom w:val="single" w:sz="4" w:space="0" w:color="auto"/>
            </w:tcBorders>
            <w:vAlign w:val="bottom"/>
          </w:tcPr>
          <w:p w14:paraId="249D4839" w14:textId="77777777" w:rsidR="004B1A77" w:rsidRPr="008718E6" w:rsidRDefault="004B1A77" w:rsidP="00795948">
            <w:pPr>
              <w:jc w:val="right"/>
              <w:rPr>
                <w:noProof/>
              </w:rPr>
            </w:pPr>
            <w:r w:rsidRPr="00E27050">
              <w:rPr>
                <w:noProof/>
              </w:rPr>
              <w:t>2012</w:t>
            </w:r>
          </w:p>
        </w:tc>
        <w:tc>
          <w:tcPr>
            <w:tcW w:w="615" w:type="pct"/>
            <w:tcBorders>
              <w:top w:val="single" w:sz="4" w:space="0" w:color="auto"/>
              <w:bottom w:val="single" w:sz="4" w:space="0" w:color="auto"/>
            </w:tcBorders>
            <w:vAlign w:val="bottom"/>
          </w:tcPr>
          <w:p w14:paraId="40E885BA" w14:textId="77777777" w:rsidR="004B1A77" w:rsidRPr="008718E6" w:rsidRDefault="004B1A77" w:rsidP="00795948">
            <w:pPr>
              <w:jc w:val="right"/>
              <w:rPr>
                <w:noProof/>
              </w:rPr>
            </w:pPr>
            <w:r w:rsidRPr="00E27050">
              <w:rPr>
                <w:noProof/>
              </w:rPr>
              <w:t>2013</w:t>
            </w:r>
          </w:p>
        </w:tc>
        <w:tc>
          <w:tcPr>
            <w:tcW w:w="538" w:type="pct"/>
            <w:tcBorders>
              <w:top w:val="single" w:sz="4" w:space="0" w:color="auto"/>
              <w:bottom w:val="single" w:sz="4" w:space="0" w:color="auto"/>
            </w:tcBorders>
            <w:vAlign w:val="bottom"/>
          </w:tcPr>
          <w:p w14:paraId="335F144D" w14:textId="77777777" w:rsidR="004B1A77" w:rsidRPr="008718E6" w:rsidRDefault="004B1A77" w:rsidP="00795948">
            <w:pPr>
              <w:jc w:val="right"/>
              <w:rPr>
                <w:noProof/>
              </w:rPr>
            </w:pPr>
            <w:r w:rsidRPr="00E27050">
              <w:rPr>
                <w:noProof/>
              </w:rPr>
              <w:t>2014</w:t>
            </w:r>
          </w:p>
        </w:tc>
        <w:tc>
          <w:tcPr>
            <w:tcW w:w="546" w:type="pct"/>
            <w:tcBorders>
              <w:top w:val="single" w:sz="4" w:space="0" w:color="auto"/>
              <w:bottom w:val="single" w:sz="4" w:space="0" w:color="auto"/>
            </w:tcBorders>
            <w:vAlign w:val="bottom"/>
          </w:tcPr>
          <w:p w14:paraId="619A9EBE" w14:textId="77777777" w:rsidR="004B1A77" w:rsidRPr="008718E6" w:rsidRDefault="004B1A77" w:rsidP="00795948">
            <w:pPr>
              <w:jc w:val="right"/>
              <w:rPr>
                <w:noProof/>
              </w:rPr>
            </w:pPr>
            <w:r w:rsidRPr="00E27050">
              <w:rPr>
                <w:noProof/>
              </w:rPr>
              <w:t>201</w:t>
            </w:r>
            <w:r>
              <w:rPr>
                <w:noProof/>
              </w:rPr>
              <w:t>5</w:t>
            </w:r>
          </w:p>
        </w:tc>
      </w:tr>
      <w:tr w:rsidR="004B1A77" w:rsidRPr="008718E6" w14:paraId="19521FB7" w14:textId="77777777" w:rsidTr="008A3235">
        <w:trPr>
          <w:trHeight w:val="284"/>
        </w:trPr>
        <w:tc>
          <w:tcPr>
            <w:tcW w:w="1907" w:type="pct"/>
            <w:tcBorders>
              <w:top w:val="single" w:sz="4" w:space="0" w:color="auto"/>
            </w:tcBorders>
            <w:vAlign w:val="bottom"/>
          </w:tcPr>
          <w:p w14:paraId="4B0ED26A" w14:textId="77777777" w:rsidR="004B1A77" w:rsidRPr="008718E6" w:rsidRDefault="004B1A77" w:rsidP="00795948">
            <w:pPr>
              <w:rPr>
                <w:noProof/>
              </w:rPr>
            </w:pPr>
            <w:r w:rsidRPr="00E27050">
              <w:rPr>
                <w:noProof/>
              </w:rPr>
              <w:t>NHO-bedrifter i industrien i alt</w:t>
            </w:r>
            <w:r w:rsidRPr="00E27050">
              <w:rPr>
                <w:noProof/>
                <w:vertAlign w:val="superscript"/>
              </w:rPr>
              <w:t>1</w:t>
            </w:r>
            <w:r w:rsidRPr="00E27050">
              <w:rPr>
                <w:noProof/>
              </w:rPr>
              <w:t xml:space="preserve">: </w:t>
            </w:r>
          </w:p>
        </w:tc>
        <w:tc>
          <w:tcPr>
            <w:tcW w:w="418" w:type="pct"/>
            <w:tcBorders>
              <w:top w:val="single" w:sz="4" w:space="0" w:color="auto"/>
            </w:tcBorders>
            <w:vAlign w:val="bottom"/>
          </w:tcPr>
          <w:p w14:paraId="12AB1A22" w14:textId="77777777" w:rsidR="004B1A77" w:rsidRPr="008718E6" w:rsidRDefault="004B1A77" w:rsidP="00795948">
            <w:pPr>
              <w:jc w:val="right"/>
              <w:rPr>
                <w:noProof/>
              </w:rPr>
            </w:pPr>
            <w:r w:rsidRPr="00E27050">
              <w:rPr>
                <w:noProof/>
              </w:rPr>
              <w:t xml:space="preserve">1,4 </w:t>
            </w:r>
          </w:p>
        </w:tc>
        <w:tc>
          <w:tcPr>
            <w:tcW w:w="520" w:type="pct"/>
            <w:tcBorders>
              <w:top w:val="single" w:sz="4" w:space="0" w:color="auto"/>
            </w:tcBorders>
            <w:vAlign w:val="bottom"/>
          </w:tcPr>
          <w:p w14:paraId="491633DD" w14:textId="77777777" w:rsidR="004B1A77" w:rsidRPr="008718E6" w:rsidRDefault="004B1A77" w:rsidP="00795948">
            <w:pPr>
              <w:jc w:val="right"/>
              <w:rPr>
                <w:noProof/>
              </w:rPr>
            </w:pPr>
            <w:r w:rsidRPr="00E27050">
              <w:rPr>
                <w:noProof/>
              </w:rPr>
              <w:t xml:space="preserve">1,5 </w:t>
            </w:r>
          </w:p>
        </w:tc>
        <w:tc>
          <w:tcPr>
            <w:tcW w:w="456" w:type="pct"/>
            <w:tcBorders>
              <w:top w:val="single" w:sz="4" w:space="0" w:color="auto"/>
            </w:tcBorders>
            <w:vAlign w:val="bottom"/>
          </w:tcPr>
          <w:p w14:paraId="73D070E3" w14:textId="77777777" w:rsidR="004B1A77" w:rsidRPr="008718E6" w:rsidRDefault="004B1A77" w:rsidP="00795948">
            <w:pPr>
              <w:jc w:val="right"/>
              <w:rPr>
                <w:noProof/>
              </w:rPr>
            </w:pPr>
            <w:r w:rsidRPr="00E27050">
              <w:rPr>
                <w:noProof/>
              </w:rPr>
              <w:t xml:space="preserve">1,5 </w:t>
            </w:r>
          </w:p>
        </w:tc>
        <w:tc>
          <w:tcPr>
            <w:tcW w:w="615" w:type="pct"/>
            <w:tcBorders>
              <w:top w:val="single" w:sz="4" w:space="0" w:color="auto"/>
            </w:tcBorders>
            <w:vAlign w:val="bottom"/>
          </w:tcPr>
          <w:p w14:paraId="1E8798DF" w14:textId="77777777" w:rsidR="004B1A77" w:rsidRPr="008718E6" w:rsidRDefault="004B1A77" w:rsidP="00795948">
            <w:pPr>
              <w:jc w:val="right"/>
              <w:rPr>
                <w:noProof/>
              </w:rPr>
            </w:pPr>
            <w:r w:rsidRPr="00E27050">
              <w:rPr>
                <w:noProof/>
              </w:rPr>
              <w:t>1,6</w:t>
            </w:r>
          </w:p>
        </w:tc>
        <w:tc>
          <w:tcPr>
            <w:tcW w:w="538" w:type="pct"/>
            <w:tcBorders>
              <w:top w:val="single" w:sz="4" w:space="0" w:color="auto"/>
            </w:tcBorders>
            <w:vAlign w:val="bottom"/>
          </w:tcPr>
          <w:p w14:paraId="530065C6" w14:textId="77777777" w:rsidR="004B1A77" w:rsidRPr="008718E6" w:rsidRDefault="004B1A77" w:rsidP="00795948">
            <w:pPr>
              <w:jc w:val="right"/>
              <w:rPr>
                <w:noProof/>
              </w:rPr>
            </w:pPr>
            <w:r>
              <w:rPr>
                <w:noProof/>
              </w:rPr>
              <w:t>1,3</w:t>
            </w:r>
          </w:p>
        </w:tc>
        <w:tc>
          <w:tcPr>
            <w:tcW w:w="546" w:type="pct"/>
            <w:tcBorders>
              <w:top w:val="single" w:sz="4" w:space="0" w:color="auto"/>
            </w:tcBorders>
            <w:vAlign w:val="bottom"/>
          </w:tcPr>
          <w:p w14:paraId="514D30B3" w14:textId="77777777" w:rsidR="004B1A77" w:rsidRPr="008718E6" w:rsidRDefault="00A07954" w:rsidP="00795948">
            <w:pPr>
              <w:jc w:val="right"/>
              <w:rPr>
                <w:noProof/>
              </w:rPr>
            </w:pPr>
            <w:r>
              <w:rPr>
                <w:noProof/>
              </w:rPr>
              <w:t>1,3</w:t>
            </w:r>
          </w:p>
        </w:tc>
      </w:tr>
      <w:tr w:rsidR="004B1A77" w:rsidRPr="008718E6" w14:paraId="74689B43" w14:textId="77777777" w:rsidTr="008A3235">
        <w:trPr>
          <w:trHeight w:val="284"/>
        </w:trPr>
        <w:tc>
          <w:tcPr>
            <w:tcW w:w="1907" w:type="pct"/>
            <w:vAlign w:val="bottom"/>
          </w:tcPr>
          <w:p w14:paraId="7E977D67" w14:textId="77777777" w:rsidR="004B1A77" w:rsidRPr="008718E6" w:rsidRDefault="004B1A77" w:rsidP="00795948">
            <w:pPr>
              <w:rPr>
                <w:noProof/>
              </w:rPr>
            </w:pPr>
            <w:r>
              <w:rPr>
                <w:noProof/>
              </w:rPr>
              <w:t xml:space="preserve">  </w:t>
            </w:r>
            <w:r w:rsidRPr="00E27050">
              <w:rPr>
                <w:noProof/>
              </w:rPr>
              <w:t>Industriarbeidere</w:t>
            </w:r>
          </w:p>
        </w:tc>
        <w:tc>
          <w:tcPr>
            <w:tcW w:w="418" w:type="pct"/>
            <w:vAlign w:val="bottom"/>
          </w:tcPr>
          <w:p w14:paraId="14B2D507" w14:textId="77777777" w:rsidR="004B1A77" w:rsidRPr="008718E6" w:rsidRDefault="004B1A77" w:rsidP="00795948">
            <w:pPr>
              <w:jc w:val="right"/>
              <w:rPr>
                <w:noProof/>
              </w:rPr>
            </w:pPr>
            <w:r w:rsidRPr="00E27050">
              <w:rPr>
                <w:noProof/>
              </w:rPr>
              <w:t xml:space="preserve">1,0 </w:t>
            </w:r>
          </w:p>
        </w:tc>
        <w:tc>
          <w:tcPr>
            <w:tcW w:w="520" w:type="pct"/>
            <w:vAlign w:val="bottom"/>
          </w:tcPr>
          <w:p w14:paraId="2BA323B8" w14:textId="77777777" w:rsidR="004B1A77" w:rsidRPr="008718E6" w:rsidRDefault="004B1A77" w:rsidP="00795948">
            <w:pPr>
              <w:jc w:val="right"/>
              <w:rPr>
                <w:noProof/>
              </w:rPr>
            </w:pPr>
            <w:r w:rsidRPr="00E27050">
              <w:rPr>
                <w:noProof/>
              </w:rPr>
              <w:t>1,2</w:t>
            </w:r>
          </w:p>
        </w:tc>
        <w:tc>
          <w:tcPr>
            <w:tcW w:w="456" w:type="pct"/>
            <w:vAlign w:val="bottom"/>
          </w:tcPr>
          <w:p w14:paraId="2C9E09D6" w14:textId="77777777" w:rsidR="004B1A77" w:rsidRPr="008718E6" w:rsidRDefault="004B1A77" w:rsidP="00795948">
            <w:pPr>
              <w:jc w:val="right"/>
              <w:rPr>
                <w:noProof/>
              </w:rPr>
            </w:pPr>
            <w:r w:rsidRPr="00E27050">
              <w:rPr>
                <w:noProof/>
              </w:rPr>
              <w:t xml:space="preserve">1,3 </w:t>
            </w:r>
          </w:p>
        </w:tc>
        <w:tc>
          <w:tcPr>
            <w:tcW w:w="615" w:type="pct"/>
            <w:vAlign w:val="bottom"/>
          </w:tcPr>
          <w:p w14:paraId="45EC0EDD" w14:textId="77777777" w:rsidR="004B1A77" w:rsidRPr="008718E6" w:rsidRDefault="004B1A77" w:rsidP="00795948">
            <w:pPr>
              <w:jc w:val="right"/>
              <w:rPr>
                <w:noProof/>
              </w:rPr>
            </w:pPr>
            <w:r w:rsidRPr="00E27050">
              <w:rPr>
                <w:noProof/>
              </w:rPr>
              <w:t>1,2</w:t>
            </w:r>
          </w:p>
        </w:tc>
        <w:tc>
          <w:tcPr>
            <w:tcW w:w="538" w:type="pct"/>
            <w:vAlign w:val="bottom"/>
          </w:tcPr>
          <w:p w14:paraId="0C031000" w14:textId="77777777" w:rsidR="004B1A77" w:rsidRPr="008718E6" w:rsidRDefault="004B1A77" w:rsidP="00795948">
            <w:pPr>
              <w:jc w:val="right"/>
              <w:rPr>
                <w:noProof/>
              </w:rPr>
            </w:pPr>
            <w:r w:rsidRPr="00E27050">
              <w:rPr>
                <w:noProof/>
              </w:rPr>
              <w:t>1</w:t>
            </w:r>
            <w:r>
              <w:rPr>
                <w:noProof/>
              </w:rPr>
              <w:t>,2</w:t>
            </w:r>
            <w:r w:rsidRPr="00E27050">
              <w:rPr>
                <w:noProof/>
              </w:rPr>
              <w:t xml:space="preserve"> </w:t>
            </w:r>
          </w:p>
        </w:tc>
        <w:tc>
          <w:tcPr>
            <w:tcW w:w="546" w:type="pct"/>
            <w:vAlign w:val="bottom"/>
          </w:tcPr>
          <w:p w14:paraId="6C899010" w14:textId="77777777" w:rsidR="004B1A77" w:rsidRPr="008718E6" w:rsidRDefault="004B1A77" w:rsidP="00795948">
            <w:pPr>
              <w:jc w:val="right"/>
              <w:rPr>
                <w:noProof/>
              </w:rPr>
            </w:pPr>
            <w:r>
              <w:rPr>
                <w:noProof/>
              </w:rPr>
              <w:t>1</w:t>
            </w:r>
            <w:r w:rsidR="004428B3">
              <w:rPr>
                <w:noProof/>
              </w:rPr>
              <w:t>,0</w:t>
            </w:r>
          </w:p>
        </w:tc>
      </w:tr>
      <w:tr w:rsidR="004B1A77" w:rsidRPr="008718E6" w14:paraId="20EA8406" w14:textId="77777777" w:rsidTr="008A3235">
        <w:trPr>
          <w:trHeight w:val="284"/>
        </w:trPr>
        <w:tc>
          <w:tcPr>
            <w:tcW w:w="1907" w:type="pct"/>
            <w:vAlign w:val="bottom"/>
          </w:tcPr>
          <w:p w14:paraId="6C195771" w14:textId="77777777" w:rsidR="004B1A77" w:rsidRPr="008718E6" w:rsidRDefault="004B1A77" w:rsidP="00795948">
            <w:pPr>
              <w:rPr>
                <w:noProof/>
              </w:rPr>
            </w:pPr>
            <w:r>
              <w:rPr>
                <w:noProof/>
              </w:rPr>
              <w:t xml:space="preserve"> </w:t>
            </w:r>
            <w:r w:rsidRPr="00E27050">
              <w:rPr>
                <w:noProof/>
              </w:rPr>
              <w:t xml:space="preserve"> Industrifunksjonærer</w:t>
            </w:r>
          </w:p>
        </w:tc>
        <w:tc>
          <w:tcPr>
            <w:tcW w:w="418" w:type="pct"/>
            <w:vAlign w:val="bottom"/>
          </w:tcPr>
          <w:p w14:paraId="233C7EDE" w14:textId="77777777" w:rsidR="004B1A77" w:rsidRPr="008718E6" w:rsidRDefault="004B1A77" w:rsidP="00795948">
            <w:pPr>
              <w:jc w:val="right"/>
              <w:rPr>
                <w:noProof/>
              </w:rPr>
            </w:pPr>
            <w:r w:rsidRPr="00E27050">
              <w:rPr>
                <w:noProof/>
              </w:rPr>
              <w:t xml:space="preserve">1,7 </w:t>
            </w:r>
          </w:p>
        </w:tc>
        <w:tc>
          <w:tcPr>
            <w:tcW w:w="520" w:type="pct"/>
            <w:vAlign w:val="bottom"/>
          </w:tcPr>
          <w:p w14:paraId="62DBC504" w14:textId="77777777" w:rsidR="004B1A77" w:rsidRPr="008718E6" w:rsidRDefault="004B1A77" w:rsidP="00795948">
            <w:pPr>
              <w:jc w:val="right"/>
              <w:rPr>
                <w:noProof/>
              </w:rPr>
            </w:pPr>
            <w:r w:rsidRPr="00E27050">
              <w:rPr>
                <w:noProof/>
              </w:rPr>
              <w:t xml:space="preserve">1,9 </w:t>
            </w:r>
          </w:p>
        </w:tc>
        <w:tc>
          <w:tcPr>
            <w:tcW w:w="456" w:type="pct"/>
            <w:vAlign w:val="bottom"/>
          </w:tcPr>
          <w:p w14:paraId="24221767" w14:textId="77777777" w:rsidR="004B1A77" w:rsidRPr="008718E6" w:rsidRDefault="004B1A77" w:rsidP="00795948">
            <w:pPr>
              <w:jc w:val="right"/>
              <w:rPr>
                <w:noProof/>
              </w:rPr>
            </w:pPr>
            <w:r w:rsidRPr="00E27050">
              <w:rPr>
                <w:noProof/>
              </w:rPr>
              <w:t xml:space="preserve">1,8 </w:t>
            </w:r>
          </w:p>
        </w:tc>
        <w:tc>
          <w:tcPr>
            <w:tcW w:w="615" w:type="pct"/>
            <w:vAlign w:val="bottom"/>
          </w:tcPr>
          <w:p w14:paraId="4AE881F1" w14:textId="77777777" w:rsidR="004B1A77" w:rsidRPr="008718E6" w:rsidRDefault="004B1A77" w:rsidP="00795948">
            <w:pPr>
              <w:jc w:val="right"/>
              <w:rPr>
                <w:noProof/>
              </w:rPr>
            </w:pPr>
            <w:r w:rsidRPr="00E27050">
              <w:rPr>
                <w:noProof/>
              </w:rPr>
              <w:t>2,1</w:t>
            </w:r>
          </w:p>
        </w:tc>
        <w:tc>
          <w:tcPr>
            <w:tcW w:w="538" w:type="pct"/>
            <w:vAlign w:val="bottom"/>
          </w:tcPr>
          <w:p w14:paraId="54CDC4E1" w14:textId="77777777" w:rsidR="004B1A77" w:rsidRPr="008718E6" w:rsidRDefault="004B1A77" w:rsidP="00795948">
            <w:pPr>
              <w:jc w:val="right"/>
              <w:rPr>
                <w:noProof/>
              </w:rPr>
            </w:pPr>
            <w:r w:rsidRPr="00E27050">
              <w:rPr>
                <w:noProof/>
              </w:rPr>
              <w:t>1</w:t>
            </w:r>
            <w:r>
              <w:rPr>
                <w:noProof/>
              </w:rPr>
              <w:t>,4</w:t>
            </w:r>
            <w:r w:rsidRPr="00E27050">
              <w:rPr>
                <w:noProof/>
              </w:rPr>
              <w:t xml:space="preserve"> </w:t>
            </w:r>
          </w:p>
        </w:tc>
        <w:tc>
          <w:tcPr>
            <w:tcW w:w="546" w:type="pct"/>
            <w:vAlign w:val="bottom"/>
          </w:tcPr>
          <w:p w14:paraId="7506CCC4" w14:textId="77777777" w:rsidR="004B1A77" w:rsidRPr="008718E6" w:rsidRDefault="004B1A77" w:rsidP="004428B3">
            <w:pPr>
              <w:jc w:val="right"/>
              <w:rPr>
                <w:noProof/>
              </w:rPr>
            </w:pPr>
            <w:r>
              <w:rPr>
                <w:noProof/>
              </w:rPr>
              <w:t>1</w:t>
            </w:r>
            <w:r w:rsidR="004428B3">
              <w:rPr>
                <w:noProof/>
              </w:rPr>
              <w:t>,3</w:t>
            </w:r>
            <w:r>
              <w:rPr>
                <w:noProof/>
              </w:rPr>
              <w:t xml:space="preserve"> </w:t>
            </w:r>
          </w:p>
        </w:tc>
      </w:tr>
      <w:tr w:rsidR="004B1A77" w:rsidRPr="008718E6" w14:paraId="07458CCD" w14:textId="77777777" w:rsidTr="008A3235">
        <w:trPr>
          <w:trHeight w:val="284"/>
        </w:trPr>
        <w:tc>
          <w:tcPr>
            <w:tcW w:w="1907" w:type="pct"/>
            <w:vAlign w:val="bottom"/>
          </w:tcPr>
          <w:p w14:paraId="5FD7A7BB" w14:textId="77777777" w:rsidR="004B1A77" w:rsidRPr="008718E6" w:rsidRDefault="004B1A77" w:rsidP="00795948">
            <w:pPr>
              <w:rPr>
                <w:noProof/>
              </w:rPr>
            </w:pPr>
            <w:r w:rsidRPr="00E27050">
              <w:rPr>
                <w:noProof/>
              </w:rPr>
              <w:t>Virke-bedrifter i varehandel</w:t>
            </w:r>
          </w:p>
        </w:tc>
        <w:tc>
          <w:tcPr>
            <w:tcW w:w="418" w:type="pct"/>
            <w:vAlign w:val="bottom"/>
          </w:tcPr>
          <w:p w14:paraId="6F4A8AB2" w14:textId="77777777" w:rsidR="004B1A77" w:rsidRPr="008718E6" w:rsidRDefault="004B1A77" w:rsidP="00795948">
            <w:pPr>
              <w:jc w:val="right"/>
              <w:rPr>
                <w:noProof/>
              </w:rPr>
            </w:pPr>
            <w:r w:rsidRPr="00E27050">
              <w:rPr>
                <w:noProof/>
              </w:rPr>
              <w:t xml:space="preserve">0,7 </w:t>
            </w:r>
          </w:p>
        </w:tc>
        <w:tc>
          <w:tcPr>
            <w:tcW w:w="520" w:type="pct"/>
            <w:vAlign w:val="bottom"/>
          </w:tcPr>
          <w:p w14:paraId="19B7BFBC" w14:textId="77777777" w:rsidR="004B1A77" w:rsidRPr="008718E6" w:rsidRDefault="004B1A77" w:rsidP="00795948">
            <w:pPr>
              <w:jc w:val="right"/>
              <w:rPr>
                <w:noProof/>
              </w:rPr>
            </w:pPr>
            <w:r w:rsidRPr="00E27050">
              <w:rPr>
                <w:noProof/>
              </w:rPr>
              <w:t>1,2</w:t>
            </w:r>
          </w:p>
        </w:tc>
        <w:tc>
          <w:tcPr>
            <w:tcW w:w="456" w:type="pct"/>
            <w:vAlign w:val="bottom"/>
          </w:tcPr>
          <w:p w14:paraId="39434685" w14:textId="77777777" w:rsidR="004B1A77" w:rsidRPr="008718E6" w:rsidRDefault="004B1A77" w:rsidP="00795948">
            <w:pPr>
              <w:jc w:val="right"/>
              <w:rPr>
                <w:noProof/>
              </w:rPr>
            </w:pPr>
            <w:r w:rsidRPr="00E27050">
              <w:rPr>
                <w:noProof/>
              </w:rPr>
              <w:t>1,0</w:t>
            </w:r>
          </w:p>
        </w:tc>
        <w:tc>
          <w:tcPr>
            <w:tcW w:w="615" w:type="pct"/>
            <w:vAlign w:val="bottom"/>
          </w:tcPr>
          <w:p w14:paraId="64F53122" w14:textId="77777777" w:rsidR="004B1A77" w:rsidRPr="008718E6" w:rsidRDefault="004B1A77" w:rsidP="00795948">
            <w:pPr>
              <w:jc w:val="right"/>
              <w:rPr>
                <w:noProof/>
              </w:rPr>
            </w:pPr>
            <w:r w:rsidRPr="00E27050">
              <w:rPr>
                <w:noProof/>
              </w:rPr>
              <w:t>0,7</w:t>
            </w:r>
          </w:p>
        </w:tc>
        <w:tc>
          <w:tcPr>
            <w:tcW w:w="538" w:type="pct"/>
            <w:vAlign w:val="bottom"/>
          </w:tcPr>
          <w:p w14:paraId="2D6AD6DF" w14:textId="77777777" w:rsidR="004B1A77" w:rsidRPr="008718E6" w:rsidRDefault="004B1A77" w:rsidP="00795948">
            <w:pPr>
              <w:jc w:val="right"/>
              <w:rPr>
                <w:noProof/>
              </w:rPr>
            </w:pPr>
            <w:r w:rsidRPr="00E27050">
              <w:rPr>
                <w:noProof/>
              </w:rPr>
              <w:t>1,0</w:t>
            </w:r>
          </w:p>
        </w:tc>
        <w:tc>
          <w:tcPr>
            <w:tcW w:w="546" w:type="pct"/>
            <w:vAlign w:val="bottom"/>
          </w:tcPr>
          <w:p w14:paraId="76C1E39A" w14:textId="77777777" w:rsidR="004B1A77" w:rsidRPr="008718E6" w:rsidRDefault="004B1A77" w:rsidP="00795948">
            <w:pPr>
              <w:jc w:val="right"/>
              <w:rPr>
                <w:noProof/>
              </w:rPr>
            </w:pPr>
            <w:r>
              <w:rPr>
                <w:noProof/>
              </w:rPr>
              <w:t>1,0</w:t>
            </w:r>
          </w:p>
        </w:tc>
      </w:tr>
      <w:tr w:rsidR="004B1A77" w:rsidRPr="008718E6" w14:paraId="155DEB5F" w14:textId="77777777" w:rsidTr="008A3235">
        <w:trPr>
          <w:trHeight w:val="284"/>
        </w:trPr>
        <w:tc>
          <w:tcPr>
            <w:tcW w:w="1907" w:type="pct"/>
            <w:vAlign w:val="bottom"/>
          </w:tcPr>
          <w:p w14:paraId="12373FB6" w14:textId="77777777" w:rsidR="004B1A77" w:rsidRPr="008718E6" w:rsidRDefault="004B1A77" w:rsidP="00795948">
            <w:pPr>
              <w:rPr>
                <w:noProof/>
              </w:rPr>
            </w:pPr>
            <w:r w:rsidRPr="00E27050">
              <w:rPr>
                <w:noProof/>
              </w:rPr>
              <w:t>Finanstjenester</w:t>
            </w:r>
            <w:r>
              <w:rPr>
                <w:rStyle w:val="skrift-hevet"/>
                <w:sz w:val="22"/>
                <w:szCs w:val="22"/>
              </w:rPr>
              <w:t>2</w:t>
            </w:r>
          </w:p>
        </w:tc>
        <w:tc>
          <w:tcPr>
            <w:tcW w:w="418" w:type="pct"/>
            <w:vAlign w:val="bottom"/>
          </w:tcPr>
          <w:p w14:paraId="6C93D52C" w14:textId="77777777" w:rsidR="004B1A77" w:rsidRPr="008718E6" w:rsidRDefault="004B1A77" w:rsidP="00795948">
            <w:pPr>
              <w:jc w:val="right"/>
              <w:rPr>
                <w:noProof/>
              </w:rPr>
            </w:pPr>
            <w:r w:rsidRPr="00E27050">
              <w:rPr>
                <w:noProof/>
              </w:rPr>
              <w:t>1,0</w:t>
            </w:r>
          </w:p>
        </w:tc>
        <w:tc>
          <w:tcPr>
            <w:tcW w:w="520" w:type="pct"/>
            <w:vAlign w:val="bottom"/>
          </w:tcPr>
          <w:p w14:paraId="7E65F1B1" w14:textId="77777777" w:rsidR="004B1A77" w:rsidRPr="008718E6" w:rsidRDefault="004B1A77" w:rsidP="00795948">
            <w:pPr>
              <w:jc w:val="right"/>
              <w:rPr>
                <w:noProof/>
              </w:rPr>
            </w:pPr>
            <w:r w:rsidRPr="00E27050">
              <w:rPr>
                <w:noProof/>
              </w:rPr>
              <w:t>1,3</w:t>
            </w:r>
          </w:p>
        </w:tc>
        <w:tc>
          <w:tcPr>
            <w:tcW w:w="456" w:type="pct"/>
            <w:vAlign w:val="bottom"/>
          </w:tcPr>
          <w:p w14:paraId="27F6051E" w14:textId="77777777" w:rsidR="004B1A77" w:rsidRPr="008718E6" w:rsidRDefault="004B1A77" w:rsidP="00795948">
            <w:pPr>
              <w:jc w:val="right"/>
              <w:rPr>
                <w:noProof/>
              </w:rPr>
            </w:pPr>
            <w:r w:rsidRPr="00E27050">
              <w:rPr>
                <w:noProof/>
              </w:rPr>
              <w:t>1,3</w:t>
            </w:r>
          </w:p>
        </w:tc>
        <w:tc>
          <w:tcPr>
            <w:tcW w:w="615" w:type="pct"/>
            <w:vAlign w:val="bottom"/>
          </w:tcPr>
          <w:p w14:paraId="242F2671" w14:textId="77777777" w:rsidR="004B1A77" w:rsidRPr="008718E6" w:rsidRDefault="004B1A77" w:rsidP="00795948">
            <w:pPr>
              <w:jc w:val="right"/>
              <w:rPr>
                <w:noProof/>
              </w:rPr>
            </w:pPr>
            <w:r w:rsidRPr="00E27050">
              <w:rPr>
                <w:noProof/>
              </w:rPr>
              <w:t>1,4</w:t>
            </w:r>
          </w:p>
        </w:tc>
        <w:tc>
          <w:tcPr>
            <w:tcW w:w="538" w:type="pct"/>
            <w:vAlign w:val="bottom"/>
          </w:tcPr>
          <w:p w14:paraId="3FE28F06" w14:textId="77777777" w:rsidR="004B1A77" w:rsidRPr="008718E6" w:rsidRDefault="004B1A77" w:rsidP="00795948">
            <w:pPr>
              <w:jc w:val="right"/>
              <w:rPr>
                <w:noProof/>
              </w:rPr>
            </w:pPr>
            <w:r w:rsidRPr="00E27050">
              <w:rPr>
                <w:noProof/>
              </w:rPr>
              <w:t>1,0</w:t>
            </w:r>
          </w:p>
        </w:tc>
        <w:tc>
          <w:tcPr>
            <w:tcW w:w="546" w:type="pct"/>
            <w:vAlign w:val="bottom"/>
          </w:tcPr>
          <w:p w14:paraId="7195A814" w14:textId="77777777" w:rsidR="004B1A77" w:rsidRPr="008718E6" w:rsidRDefault="004B1A77" w:rsidP="00795948">
            <w:pPr>
              <w:jc w:val="right"/>
              <w:rPr>
                <w:noProof/>
              </w:rPr>
            </w:pPr>
            <w:r>
              <w:rPr>
                <w:noProof/>
              </w:rPr>
              <w:t>1,2</w:t>
            </w:r>
          </w:p>
        </w:tc>
      </w:tr>
      <w:tr w:rsidR="004B1A77" w:rsidRPr="008718E6" w14:paraId="251E18B6" w14:textId="77777777" w:rsidTr="008A3235">
        <w:trPr>
          <w:trHeight w:val="284"/>
        </w:trPr>
        <w:tc>
          <w:tcPr>
            <w:tcW w:w="1907" w:type="pct"/>
            <w:vAlign w:val="bottom"/>
          </w:tcPr>
          <w:p w14:paraId="4F1B68C3" w14:textId="77777777" w:rsidR="004B1A77" w:rsidRPr="008718E6" w:rsidRDefault="004B1A77" w:rsidP="00795948">
            <w:pPr>
              <w:rPr>
                <w:noProof/>
              </w:rPr>
            </w:pPr>
            <w:r w:rsidRPr="00E27050">
              <w:rPr>
                <w:noProof/>
              </w:rPr>
              <w:t>Staten</w:t>
            </w:r>
          </w:p>
        </w:tc>
        <w:tc>
          <w:tcPr>
            <w:tcW w:w="418" w:type="pct"/>
            <w:vAlign w:val="bottom"/>
          </w:tcPr>
          <w:p w14:paraId="698EE517" w14:textId="77777777" w:rsidR="004B1A77" w:rsidRPr="008718E6" w:rsidRDefault="004B1A77" w:rsidP="00795948">
            <w:pPr>
              <w:jc w:val="right"/>
              <w:rPr>
                <w:noProof/>
              </w:rPr>
            </w:pPr>
            <w:r w:rsidRPr="00E27050">
              <w:rPr>
                <w:noProof/>
              </w:rPr>
              <w:t>0,9</w:t>
            </w:r>
            <w:r>
              <w:rPr>
                <w:noProof/>
                <w:vertAlign w:val="superscript"/>
              </w:rPr>
              <w:t>3</w:t>
            </w:r>
            <w:r w:rsidRPr="00E27050">
              <w:rPr>
                <w:noProof/>
              </w:rPr>
              <w:t xml:space="preserve"> </w:t>
            </w:r>
          </w:p>
        </w:tc>
        <w:tc>
          <w:tcPr>
            <w:tcW w:w="520" w:type="pct"/>
            <w:vAlign w:val="bottom"/>
          </w:tcPr>
          <w:p w14:paraId="29F7A4E8" w14:textId="77777777" w:rsidR="004B1A77" w:rsidRPr="008718E6" w:rsidRDefault="004B1A77" w:rsidP="00795948">
            <w:pPr>
              <w:jc w:val="right"/>
              <w:rPr>
                <w:noProof/>
              </w:rPr>
            </w:pPr>
            <w:r w:rsidRPr="00E27050">
              <w:rPr>
                <w:noProof/>
              </w:rPr>
              <w:t xml:space="preserve">2,3 </w:t>
            </w:r>
          </w:p>
        </w:tc>
        <w:tc>
          <w:tcPr>
            <w:tcW w:w="456" w:type="pct"/>
            <w:vAlign w:val="bottom"/>
          </w:tcPr>
          <w:p w14:paraId="1C7E344C" w14:textId="77777777" w:rsidR="004B1A77" w:rsidRPr="008718E6" w:rsidRDefault="004B1A77" w:rsidP="00795948">
            <w:pPr>
              <w:jc w:val="right"/>
              <w:rPr>
                <w:noProof/>
              </w:rPr>
            </w:pPr>
            <w:r w:rsidRPr="00E27050">
              <w:rPr>
                <w:noProof/>
              </w:rPr>
              <w:t>1,1</w:t>
            </w:r>
          </w:p>
        </w:tc>
        <w:tc>
          <w:tcPr>
            <w:tcW w:w="615" w:type="pct"/>
            <w:vAlign w:val="bottom"/>
          </w:tcPr>
          <w:p w14:paraId="30A8FD2F" w14:textId="77777777" w:rsidR="004B1A77" w:rsidRPr="008718E6" w:rsidRDefault="004B1A77" w:rsidP="00795948">
            <w:pPr>
              <w:jc w:val="right"/>
              <w:rPr>
                <w:noProof/>
              </w:rPr>
            </w:pPr>
            <w:r w:rsidRPr="00E27050">
              <w:rPr>
                <w:noProof/>
              </w:rPr>
              <w:t>2,2</w:t>
            </w:r>
          </w:p>
        </w:tc>
        <w:tc>
          <w:tcPr>
            <w:tcW w:w="538" w:type="pct"/>
            <w:vAlign w:val="bottom"/>
          </w:tcPr>
          <w:p w14:paraId="5E05C90B" w14:textId="77777777" w:rsidR="004B1A77" w:rsidRPr="008718E6" w:rsidRDefault="004B1A77" w:rsidP="00795948">
            <w:pPr>
              <w:jc w:val="right"/>
              <w:rPr>
                <w:noProof/>
              </w:rPr>
            </w:pPr>
            <w:r>
              <w:rPr>
                <w:noProof/>
              </w:rPr>
              <w:t>0,8</w:t>
            </w:r>
          </w:p>
        </w:tc>
        <w:tc>
          <w:tcPr>
            <w:tcW w:w="546" w:type="pct"/>
            <w:vAlign w:val="bottom"/>
          </w:tcPr>
          <w:p w14:paraId="1EFE8417" w14:textId="77777777" w:rsidR="004B1A77" w:rsidRPr="008718E6" w:rsidRDefault="004B1A77" w:rsidP="00795948">
            <w:pPr>
              <w:jc w:val="right"/>
              <w:rPr>
                <w:noProof/>
              </w:rPr>
            </w:pPr>
            <w:r>
              <w:rPr>
                <w:noProof/>
              </w:rPr>
              <w:t>2</w:t>
            </w:r>
            <w:r w:rsidR="004428B3">
              <w:rPr>
                <w:noProof/>
              </w:rPr>
              <w:t>,1</w:t>
            </w:r>
          </w:p>
        </w:tc>
      </w:tr>
      <w:tr w:rsidR="004B1A77" w:rsidRPr="008718E6" w14:paraId="0460446B" w14:textId="77777777" w:rsidTr="008A3235">
        <w:trPr>
          <w:trHeight w:val="289"/>
        </w:trPr>
        <w:tc>
          <w:tcPr>
            <w:tcW w:w="1907" w:type="pct"/>
            <w:vAlign w:val="bottom"/>
          </w:tcPr>
          <w:p w14:paraId="0EA6B3FE" w14:textId="77777777" w:rsidR="004B1A77" w:rsidRPr="008718E6" w:rsidRDefault="004B1A77" w:rsidP="00795948">
            <w:pPr>
              <w:rPr>
                <w:noProof/>
              </w:rPr>
            </w:pPr>
            <w:r w:rsidRPr="00E27050">
              <w:rPr>
                <w:noProof/>
              </w:rPr>
              <w:t>Kommunene i alt</w:t>
            </w:r>
            <w:r w:rsidRPr="00E27050">
              <w:rPr>
                <w:noProof/>
                <w:vertAlign w:val="superscript"/>
              </w:rPr>
              <w:t xml:space="preserve"> </w:t>
            </w:r>
            <w:r w:rsidRPr="00E27050">
              <w:rPr>
                <w:noProof/>
              </w:rPr>
              <w:t>:</w:t>
            </w:r>
          </w:p>
        </w:tc>
        <w:tc>
          <w:tcPr>
            <w:tcW w:w="418" w:type="pct"/>
            <w:vAlign w:val="bottom"/>
          </w:tcPr>
          <w:p w14:paraId="2C53E1C1" w14:textId="77777777" w:rsidR="004B1A77" w:rsidRPr="008718E6" w:rsidRDefault="004B1A77" w:rsidP="00795948">
            <w:pPr>
              <w:jc w:val="right"/>
              <w:rPr>
                <w:noProof/>
              </w:rPr>
            </w:pPr>
            <w:r w:rsidRPr="00E27050">
              <w:rPr>
                <w:noProof/>
              </w:rPr>
              <w:t>1,1</w:t>
            </w:r>
          </w:p>
        </w:tc>
        <w:tc>
          <w:tcPr>
            <w:tcW w:w="520" w:type="pct"/>
            <w:vAlign w:val="bottom"/>
          </w:tcPr>
          <w:p w14:paraId="290871B8" w14:textId="77777777" w:rsidR="004B1A77" w:rsidRPr="008718E6" w:rsidRDefault="004B1A77" w:rsidP="00795948">
            <w:pPr>
              <w:jc w:val="right"/>
              <w:rPr>
                <w:noProof/>
              </w:rPr>
            </w:pPr>
            <w:r w:rsidRPr="00E27050">
              <w:rPr>
                <w:noProof/>
              </w:rPr>
              <w:t xml:space="preserve">2,4 </w:t>
            </w:r>
          </w:p>
        </w:tc>
        <w:tc>
          <w:tcPr>
            <w:tcW w:w="456" w:type="pct"/>
            <w:vAlign w:val="bottom"/>
          </w:tcPr>
          <w:p w14:paraId="43FF7A0F" w14:textId="77777777" w:rsidR="004B1A77" w:rsidRPr="008718E6" w:rsidRDefault="004B1A77" w:rsidP="00795948">
            <w:pPr>
              <w:jc w:val="right"/>
              <w:rPr>
                <w:noProof/>
              </w:rPr>
            </w:pPr>
            <w:r w:rsidRPr="00E27050">
              <w:rPr>
                <w:noProof/>
              </w:rPr>
              <w:t>0,8</w:t>
            </w:r>
          </w:p>
        </w:tc>
        <w:tc>
          <w:tcPr>
            <w:tcW w:w="615" w:type="pct"/>
            <w:vAlign w:val="bottom"/>
          </w:tcPr>
          <w:p w14:paraId="3AFA5F9A" w14:textId="77777777" w:rsidR="004B1A77" w:rsidRPr="008718E6" w:rsidRDefault="004B1A77" w:rsidP="00795948">
            <w:pPr>
              <w:jc w:val="right"/>
              <w:rPr>
                <w:noProof/>
              </w:rPr>
            </w:pPr>
            <w:r w:rsidRPr="00E27050">
              <w:rPr>
                <w:noProof/>
              </w:rPr>
              <w:t>2,4</w:t>
            </w:r>
          </w:p>
        </w:tc>
        <w:tc>
          <w:tcPr>
            <w:tcW w:w="538" w:type="pct"/>
            <w:vAlign w:val="bottom"/>
          </w:tcPr>
          <w:p w14:paraId="32325BBB" w14:textId="77777777" w:rsidR="004B1A77" w:rsidRPr="008718E6" w:rsidRDefault="004B1A77" w:rsidP="00795948">
            <w:pPr>
              <w:jc w:val="right"/>
              <w:rPr>
                <w:noProof/>
              </w:rPr>
            </w:pPr>
            <w:r>
              <w:rPr>
                <w:noProof/>
              </w:rPr>
              <w:t>0,5</w:t>
            </w:r>
            <w:r w:rsidRPr="00E27050">
              <w:rPr>
                <w:noProof/>
              </w:rPr>
              <w:t xml:space="preserve"> </w:t>
            </w:r>
          </w:p>
        </w:tc>
        <w:tc>
          <w:tcPr>
            <w:tcW w:w="546" w:type="pct"/>
            <w:vAlign w:val="bottom"/>
          </w:tcPr>
          <w:p w14:paraId="50F5E508" w14:textId="77777777" w:rsidR="004B1A77" w:rsidRPr="008718E6" w:rsidRDefault="004B1A77" w:rsidP="004428B3">
            <w:pPr>
              <w:jc w:val="right"/>
              <w:rPr>
                <w:noProof/>
              </w:rPr>
            </w:pPr>
            <w:r>
              <w:rPr>
                <w:noProof/>
              </w:rPr>
              <w:t>1</w:t>
            </w:r>
            <w:r w:rsidR="004428B3">
              <w:rPr>
                <w:noProof/>
              </w:rPr>
              <w:t>,8</w:t>
            </w:r>
            <w:r w:rsidRPr="00AD4327">
              <w:rPr>
                <w:noProof/>
                <w:vertAlign w:val="superscript"/>
              </w:rPr>
              <w:t>6</w:t>
            </w:r>
            <w:r>
              <w:rPr>
                <w:noProof/>
              </w:rPr>
              <w:t xml:space="preserve"> </w:t>
            </w:r>
          </w:p>
        </w:tc>
      </w:tr>
      <w:tr w:rsidR="004B1A77" w:rsidRPr="008718E6" w14:paraId="0ACB02BD" w14:textId="77777777" w:rsidTr="008A3235">
        <w:trPr>
          <w:trHeight w:val="284"/>
        </w:trPr>
        <w:tc>
          <w:tcPr>
            <w:tcW w:w="1907" w:type="pct"/>
            <w:vAlign w:val="bottom"/>
          </w:tcPr>
          <w:p w14:paraId="7C2D6E8C" w14:textId="77777777" w:rsidR="004B1A77" w:rsidRPr="008718E6" w:rsidRDefault="004B1A77" w:rsidP="00795948">
            <w:pPr>
              <w:rPr>
                <w:noProof/>
              </w:rPr>
            </w:pPr>
            <w:r>
              <w:rPr>
                <w:noProof/>
              </w:rPr>
              <w:t xml:space="preserve">  </w:t>
            </w:r>
            <w:r w:rsidRPr="00E27050">
              <w:rPr>
                <w:noProof/>
              </w:rPr>
              <w:t>Undervisningspersonale</w:t>
            </w:r>
          </w:p>
        </w:tc>
        <w:tc>
          <w:tcPr>
            <w:tcW w:w="418" w:type="pct"/>
            <w:vAlign w:val="bottom"/>
          </w:tcPr>
          <w:p w14:paraId="75F6DB1B" w14:textId="77777777" w:rsidR="004B1A77" w:rsidRPr="008718E6" w:rsidRDefault="004B1A77" w:rsidP="00795948">
            <w:pPr>
              <w:jc w:val="right"/>
              <w:rPr>
                <w:noProof/>
              </w:rPr>
            </w:pPr>
            <w:r w:rsidRPr="00E27050">
              <w:rPr>
                <w:noProof/>
              </w:rPr>
              <w:t>1,0</w:t>
            </w:r>
          </w:p>
        </w:tc>
        <w:tc>
          <w:tcPr>
            <w:tcW w:w="520" w:type="pct"/>
            <w:vAlign w:val="bottom"/>
          </w:tcPr>
          <w:p w14:paraId="1A408A88" w14:textId="77777777" w:rsidR="004B1A77" w:rsidRPr="008718E6" w:rsidRDefault="004B1A77" w:rsidP="00795948">
            <w:pPr>
              <w:jc w:val="right"/>
              <w:rPr>
                <w:noProof/>
              </w:rPr>
            </w:pPr>
            <w:r w:rsidRPr="00E27050">
              <w:rPr>
                <w:noProof/>
              </w:rPr>
              <w:t xml:space="preserve">2,4 </w:t>
            </w:r>
          </w:p>
        </w:tc>
        <w:tc>
          <w:tcPr>
            <w:tcW w:w="456" w:type="pct"/>
            <w:vAlign w:val="bottom"/>
          </w:tcPr>
          <w:p w14:paraId="390F304A" w14:textId="77777777" w:rsidR="004B1A77" w:rsidRPr="008718E6" w:rsidRDefault="004B1A77" w:rsidP="00795948">
            <w:pPr>
              <w:jc w:val="right"/>
              <w:rPr>
                <w:noProof/>
              </w:rPr>
            </w:pPr>
            <w:r w:rsidRPr="00E27050">
              <w:rPr>
                <w:noProof/>
              </w:rPr>
              <w:t xml:space="preserve">0,7 </w:t>
            </w:r>
          </w:p>
        </w:tc>
        <w:tc>
          <w:tcPr>
            <w:tcW w:w="615" w:type="pct"/>
            <w:vAlign w:val="bottom"/>
          </w:tcPr>
          <w:p w14:paraId="16BC5928" w14:textId="77777777" w:rsidR="004B1A77" w:rsidRPr="008718E6" w:rsidRDefault="004B1A77" w:rsidP="00795948">
            <w:pPr>
              <w:jc w:val="right"/>
              <w:rPr>
                <w:noProof/>
              </w:rPr>
            </w:pPr>
            <w:r w:rsidRPr="00E27050">
              <w:rPr>
                <w:noProof/>
              </w:rPr>
              <w:t>2,5</w:t>
            </w:r>
          </w:p>
        </w:tc>
        <w:tc>
          <w:tcPr>
            <w:tcW w:w="538" w:type="pct"/>
            <w:vAlign w:val="bottom"/>
          </w:tcPr>
          <w:p w14:paraId="52B517F1" w14:textId="77777777" w:rsidR="004B1A77" w:rsidRPr="008718E6" w:rsidRDefault="004B1A77" w:rsidP="00795948">
            <w:pPr>
              <w:jc w:val="right"/>
              <w:rPr>
                <w:noProof/>
              </w:rPr>
            </w:pPr>
            <w:r>
              <w:rPr>
                <w:noProof/>
              </w:rPr>
              <w:t>0,3</w:t>
            </w:r>
            <w:r w:rsidRPr="00E27050">
              <w:rPr>
                <w:noProof/>
              </w:rPr>
              <w:t xml:space="preserve"> </w:t>
            </w:r>
          </w:p>
        </w:tc>
        <w:tc>
          <w:tcPr>
            <w:tcW w:w="546" w:type="pct"/>
            <w:vAlign w:val="bottom"/>
          </w:tcPr>
          <w:p w14:paraId="08644C2D" w14:textId="77777777" w:rsidR="004B1A77" w:rsidRPr="008718E6" w:rsidRDefault="004B1A77" w:rsidP="004428B3">
            <w:pPr>
              <w:jc w:val="right"/>
              <w:rPr>
                <w:noProof/>
              </w:rPr>
            </w:pPr>
            <w:r>
              <w:rPr>
                <w:noProof/>
              </w:rPr>
              <w:t>2</w:t>
            </w:r>
            <w:r w:rsidR="004428B3">
              <w:rPr>
                <w:noProof/>
              </w:rPr>
              <w:t>,6</w:t>
            </w:r>
            <w:r w:rsidRPr="004F5E46">
              <w:rPr>
                <w:noProof/>
                <w:vertAlign w:val="superscript"/>
              </w:rPr>
              <w:t>6</w:t>
            </w:r>
            <w:r>
              <w:rPr>
                <w:noProof/>
              </w:rPr>
              <w:t xml:space="preserve"> </w:t>
            </w:r>
          </w:p>
        </w:tc>
      </w:tr>
      <w:tr w:rsidR="004B1A77" w:rsidRPr="008718E6" w14:paraId="510EA40B" w14:textId="77777777" w:rsidTr="008A3235">
        <w:trPr>
          <w:trHeight w:val="284"/>
        </w:trPr>
        <w:tc>
          <w:tcPr>
            <w:tcW w:w="1907" w:type="pct"/>
            <w:vAlign w:val="bottom"/>
          </w:tcPr>
          <w:p w14:paraId="2934BC77" w14:textId="77777777" w:rsidR="004B1A77" w:rsidRPr="008718E6" w:rsidRDefault="004B1A77" w:rsidP="00795948">
            <w:pPr>
              <w:rPr>
                <w:noProof/>
              </w:rPr>
            </w:pPr>
            <w:r>
              <w:rPr>
                <w:noProof/>
              </w:rPr>
              <w:t xml:space="preserve">  </w:t>
            </w:r>
            <w:r w:rsidRPr="00E27050">
              <w:rPr>
                <w:noProof/>
              </w:rPr>
              <w:t>Øvrige ansatte</w:t>
            </w:r>
          </w:p>
        </w:tc>
        <w:tc>
          <w:tcPr>
            <w:tcW w:w="418" w:type="pct"/>
            <w:vAlign w:val="bottom"/>
          </w:tcPr>
          <w:p w14:paraId="672EF6B9" w14:textId="77777777" w:rsidR="004B1A77" w:rsidRPr="008718E6" w:rsidRDefault="004B1A77" w:rsidP="00795948">
            <w:pPr>
              <w:jc w:val="right"/>
              <w:rPr>
                <w:noProof/>
              </w:rPr>
            </w:pPr>
            <w:r w:rsidRPr="00E27050">
              <w:rPr>
                <w:noProof/>
              </w:rPr>
              <w:t>1,1</w:t>
            </w:r>
          </w:p>
        </w:tc>
        <w:tc>
          <w:tcPr>
            <w:tcW w:w="520" w:type="pct"/>
            <w:vAlign w:val="bottom"/>
          </w:tcPr>
          <w:p w14:paraId="0FBBFAB7" w14:textId="77777777" w:rsidR="004B1A77" w:rsidRPr="008718E6" w:rsidRDefault="004B1A77" w:rsidP="00795948">
            <w:pPr>
              <w:jc w:val="right"/>
              <w:rPr>
                <w:noProof/>
              </w:rPr>
            </w:pPr>
            <w:r w:rsidRPr="00E27050">
              <w:rPr>
                <w:noProof/>
              </w:rPr>
              <w:t>2,4</w:t>
            </w:r>
          </w:p>
        </w:tc>
        <w:tc>
          <w:tcPr>
            <w:tcW w:w="456" w:type="pct"/>
            <w:vAlign w:val="bottom"/>
          </w:tcPr>
          <w:p w14:paraId="398DFA59" w14:textId="77777777" w:rsidR="004B1A77" w:rsidRPr="008718E6" w:rsidRDefault="004B1A77" w:rsidP="00795948">
            <w:pPr>
              <w:jc w:val="right"/>
              <w:rPr>
                <w:noProof/>
              </w:rPr>
            </w:pPr>
            <w:r w:rsidRPr="00E27050">
              <w:rPr>
                <w:noProof/>
              </w:rPr>
              <w:t>0,8</w:t>
            </w:r>
          </w:p>
        </w:tc>
        <w:tc>
          <w:tcPr>
            <w:tcW w:w="615" w:type="pct"/>
            <w:vAlign w:val="bottom"/>
          </w:tcPr>
          <w:p w14:paraId="16CA0732" w14:textId="77777777" w:rsidR="004B1A77" w:rsidRPr="008718E6" w:rsidRDefault="004B1A77" w:rsidP="00795948">
            <w:pPr>
              <w:jc w:val="right"/>
              <w:rPr>
                <w:noProof/>
              </w:rPr>
            </w:pPr>
            <w:r w:rsidRPr="00E27050">
              <w:rPr>
                <w:noProof/>
              </w:rPr>
              <w:t>2,3</w:t>
            </w:r>
          </w:p>
        </w:tc>
        <w:tc>
          <w:tcPr>
            <w:tcW w:w="538" w:type="pct"/>
            <w:vAlign w:val="bottom"/>
          </w:tcPr>
          <w:p w14:paraId="5F82BAFD" w14:textId="77777777" w:rsidR="004B1A77" w:rsidRPr="008718E6" w:rsidRDefault="004B1A77" w:rsidP="00795948">
            <w:pPr>
              <w:jc w:val="right"/>
              <w:rPr>
                <w:noProof/>
              </w:rPr>
            </w:pPr>
            <w:r>
              <w:rPr>
                <w:noProof/>
              </w:rPr>
              <w:t>0,6</w:t>
            </w:r>
            <w:r w:rsidRPr="00E27050">
              <w:rPr>
                <w:noProof/>
              </w:rPr>
              <w:t xml:space="preserve"> </w:t>
            </w:r>
          </w:p>
        </w:tc>
        <w:tc>
          <w:tcPr>
            <w:tcW w:w="546" w:type="pct"/>
            <w:vAlign w:val="bottom"/>
          </w:tcPr>
          <w:p w14:paraId="354C7419" w14:textId="77777777" w:rsidR="004B1A77" w:rsidRPr="008718E6" w:rsidRDefault="004B1A77" w:rsidP="004428B3">
            <w:pPr>
              <w:jc w:val="right"/>
              <w:rPr>
                <w:noProof/>
              </w:rPr>
            </w:pPr>
            <w:r>
              <w:rPr>
                <w:noProof/>
              </w:rPr>
              <w:t>1</w:t>
            </w:r>
            <w:r w:rsidR="004428B3">
              <w:rPr>
                <w:noProof/>
              </w:rPr>
              <w:t>,6</w:t>
            </w:r>
            <w:r w:rsidRPr="004F5E46">
              <w:rPr>
                <w:noProof/>
                <w:vertAlign w:val="superscript"/>
              </w:rPr>
              <w:t>6</w:t>
            </w:r>
          </w:p>
        </w:tc>
      </w:tr>
      <w:tr w:rsidR="004B1A77" w:rsidRPr="008718E6" w14:paraId="0495002C" w14:textId="77777777" w:rsidTr="008A3235">
        <w:trPr>
          <w:trHeight w:val="284"/>
        </w:trPr>
        <w:tc>
          <w:tcPr>
            <w:tcW w:w="1907" w:type="pct"/>
            <w:vAlign w:val="bottom"/>
          </w:tcPr>
          <w:p w14:paraId="39B82658" w14:textId="77777777" w:rsidR="004B1A77" w:rsidRPr="008718E6" w:rsidRDefault="004B1A77" w:rsidP="00795948">
            <w:pPr>
              <w:rPr>
                <w:noProof/>
              </w:rPr>
            </w:pPr>
            <w:r w:rsidRPr="00E27050">
              <w:rPr>
                <w:noProof/>
              </w:rPr>
              <w:t>Ansatte i Spekter-bedrifter:</w:t>
            </w:r>
          </w:p>
        </w:tc>
        <w:tc>
          <w:tcPr>
            <w:tcW w:w="418" w:type="pct"/>
            <w:vAlign w:val="bottom"/>
          </w:tcPr>
          <w:p w14:paraId="68A3CA78" w14:textId="77777777" w:rsidR="004B1A77" w:rsidRPr="008718E6" w:rsidRDefault="004B1A77" w:rsidP="00795948">
            <w:pPr>
              <w:jc w:val="right"/>
              <w:rPr>
                <w:noProof/>
              </w:rPr>
            </w:pPr>
          </w:p>
        </w:tc>
        <w:tc>
          <w:tcPr>
            <w:tcW w:w="520" w:type="pct"/>
            <w:vAlign w:val="bottom"/>
          </w:tcPr>
          <w:p w14:paraId="6E9B48E3" w14:textId="77777777" w:rsidR="004B1A77" w:rsidRPr="008718E6" w:rsidRDefault="004B1A77" w:rsidP="00795948">
            <w:pPr>
              <w:jc w:val="right"/>
              <w:rPr>
                <w:noProof/>
              </w:rPr>
            </w:pPr>
          </w:p>
        </w:tc>
        <w:tc>
          <w:tcPr>
            <w:tcW w:w="456" w:type="pct"/>
            <w:vAlign w:val="bottom"/>
          </w:tcPr>
          <w:p w14:paraId="564830DD" w14:textId="77777777" w:rsidR="004B1A77" w:rsidRPr="008718E6" w:rsidRDefault="004B1A77" w:rsidP="00795948">
            <w:pPr>
              <w:jc w:val="right"/>
              <w:rPr>
                <w:noProof/>
              </w:rPr>
            </w:pPr>
          </w:p>
        </w:tc>
        <w:tc>
          <w:tcPr>
            <w:tcW w:w="615" w:type="pct"/>
            <w:vAlign w:val="bottom"/>
          </w:tcPr>
          <w:p w14:paraId="2A8766A1" w14:textId="77777777" w:rsidR="004B1A77" w:rsidRPr="008718E6" w:rsidRDefault="004B1A77" w:rsidP="00795948">
            <w:pPr>
              <w:jc w:val="right"/>
              <w:rPr>
                <w:noProof/>
              </w:rPr>
            </w:pPr>
          </w:p>
        </w:tc>
        <w:tc>
          <w:tcPr>
            <w:tcW w:w="538" w:type="pct"/>
            <w:vAlign w:val="bottom"/>
          </w:tcPr>
          <w:p w14:paraId="2778E7E3" w14:textId="77777777" w:rsidR="004B1A77" w:rsidRPr="008718E6" w:rsidRDefault="004B1A77" w:rsidP="00795948">
            <w:pPr>
              <w:jc w:val="right"/>
              <w:rPr>
                <w:noProof/>
              </w:rPr>
            </w:pPr>
          </w:p>
        </w:tc>
        <w:tc>
          <w:tcPr>
            <w:tcW w:w="546" w:type="pct"/>
            <w:vAlign w:val="bottom"/>
          </w:tcPr>
          <w:p w14:paraId="6464A82F" w14:textId="77777777" w:rsidR="004B1A77" w:rsidRPr="008718E6" w:rsidRDefault="004B1A77" w:rsidP="00795948">
            <w:pPr>
              <w:jc w:val="right"/>
              <w:rPr>
                <w:noProof/>
              </w:rPr>
            </w:pPr>
          </w:p>
        </w:tc>
      </w:tr>
      <w:tr w:rsidR="004B1A77" w:rsidRPr="008718E6" w14:paraId="26D6BD00" w14:textId="77777777" w:rsidTr="008A3235">
        <w:trPr>
          <w:trHeight w:val="284"/>
        </w:trPr>
        <w:tc>
          <w:tcPr>
            <w:tcW w:w="1907" w:type="pct"/>
            <w:tcBorders>
              <w:bottom w:val="nil"/>
            </w:tcBorders>
            <w:vAlign w:val="bottom"/>
          </w:tcPr>
          <w:p w14:paraId="63345D71" w14:textId="77777777" w:rsidR="004B1A77" w:rsidRPr="008718E6" w:rsidRDefault="004B1A77" w:rsidP="00795948">
            <w:pPr>
              <w:rPr>
                <w:noProof/>
              </w:rPr>
            </w:pPr>
            <w:r w:rsidRPr="00E27050">
              <w:rPr>
                <w:noProof/>
              </w:rPr>
              <w:t xml:space="preserve"> </w:t>
            </w:r>
            <w:r>
              <w:rPr>
                <w:noProof/>
              </w:rPr>
              <w:t xml:space="preserve"> </w:t>
            </w:r>
            <w:r w:rsidRPr="00E27050">
              <w:rPr>
                <w:noProof/>
              </w:rPr>
              <w:t>Helseforetakene</w:t>
            </w:r>
            <w:r>
              <w:rPr>
                <w:noProof/>
                <w:vertAlign w:val="superscript"/>
              </w:rPr>
              <w:t>4</w:t>
            </w:r>
          </w:p>
        </w:tc>
        <w:tc>
          <w:tcPr>
            <w:tcW w:w="418" w:type="pct"/>
            <w:tcBorders>
              <w:bottom w:val="nil"/>
            </w:tcBorders>
            <w:vAlign w:val="bottom"/>
          </w:tcPr>
          <w:p w14:paraId="6AF1A080" w14:textId="77777777" w:rsidR="004B1A77" w:rsidRPr="008718E6" w:rsidRDefault="004B1A77" w:rsidP="00795948">
            <w:pPr>
              <w:jc w:val="right"/>
              <w:rPr>
                <w:noProof/>
              </w:rPr>
            </w:pPr>
            <w:r w:rsidRPr="00E27050">
              <w:rPr>
                <w:noProof/>
              </w:rPr>
              <w:t>2,0</w:t>
            </w:r>
          </w:p>
        </w:tc>
        <w:tc>
          <w:tcPr>
            <w:tcW w:w="520" w:type="pct"/>
            <w:tcBorders>
              <w:bottom w:val="nil"/>
            </w:tcBorders>
            <w:vAlign w:val="bottom"/>
          </w:tcPr>
          <w:p w14:paraId="52A73048" w14:textId="77777777" w:rsidR="004B1A77" w:rsidRPr="008718E6" w:rsidRDefault="004B1A77" w:rsidP="00795948">
            <w:pPr>
              <w:jc w:val="right"/>
              <w:rPr>
                <w:noProof/>
              </w:rPr>
            </w:pPr>
            <w:r w:rsidRPr="00E27050">
              <w:rPr>
                <w:noProof/>
              </w:rPr>
              <w:t xml:space="preserve">1,9 </w:t>
            </w:r>
          </w:p>
        </w:tc>
        <w:tc>
          <w:tcPr>
            <w:tcW w:w="456" w:type="pct"/>
            <w:tcBorders>
              <w:bottom w:val="nil"/>
            </w:tcBorders>
            <w:vAlign w:val="bottom"/>
          </w:tcPr>
          <w:p w14:paraId="72F415A4" w14:textId="77777777" w:rsidR="004B1A77" w:rsidRPr="008718E6" w:rsidRDefault="004B1A77" w:rsidP="00795948">
            <w:pPr>
              <w:jc w:val="right"/>
              <w:rPr>
                <w:noProof/>
              </w:rPr>
            </w:pPr>
            <w:r w:rsidRPr="00E27050">
              <w:rPr>
                <w:noProof/>
              </w:rPr>
              <w:t>0,8</w:t>
            </w:r>
          </w:p>
        </w:tc>
        <w:tc>
          <w:tcPr>
            <w:tcW w:w="615" w:type="pct"/>
            <w:tcBorders>
              <w:bottom w:val="nil"/>
            </w:tcBorders>
            <w:vAlign w:val="bottom"/>
          </w:tcPr>
          <w:p w14:paraId="18EF2C77" w14:textId="77777777" w:rsidR="004B1A77" w:rsidRPr="008718E6" w:rsidRDefault="004B1A77" w:rsidP="00795948">
            <w:pPr>
              <w:jc w:val="right"/>
              <w:rPr>
                <w:noProof/>
              </w:rPr>
            </w:pPr>
            <w:r w:rsidRPr="00E27050">
              <w:rPr>
                <w:noProof/>
              </w:rPr>
              <w:t>1,0</w:t>
            </w:r>
          </w:p>
        </w:tc>
        <w:tc>
          <w:tcPr>
            <w:tcW w:w="538" w:type="pct"/>
            <w:tcBorders>
              <w:bottom w:val="nil"/>
            </w:tcBorders>
            <w:vAlign w:val="bottom"/>
          </w:tcPr>
          <w:p w14:paraId="2A899CAF" w14:textId="77777777" w:rsidR="004B1A77" w:rsidRPr="008718E6" w:rsidRDefault="004B1A77" w:rsidP="00795948">
            <w:pPr>
              <w:jc w:val="right"/>
              <w:rPr>
                <w:noProof/>
              </w:rPr>
            </w:pPr>
            <w:r>
              <w:rPr>
                <w:noProof/>
              </w:rPr>
              <w:t>0,7</w:t>
            </w:r>
          </w:p>
        </w:tc>
        <w:tc>
          <w:tcPr>
            <w:tcW w:w="546" w:type="pct"/>
            <w:tcBorders>
              <w:bottom w:val="nil"/>
            </w:tcBorders>
            <w:vAlign w:val="bottom"/>
          </w:tcPr>
          <w:p w14:paraId="7C4CBC0A" w14:textId="77777777" w:rsidR="004B1A77" w:rsidRPr="008718E6" w:rsidRDefault="004B1A77" w:rsidP="00795948">
            <w:pPr>
              <w:jc w:val="right"/>
              <w:rPr>
                <w:noProof/>
              </w:rPr>
            </w:pPr>
            <w:r>
              <w:rPr>
                <w:noProof/>
              </w:rPr>
              <w:t>1,2</w:t>
            </w:r>
          </w:p>
        </w:tc>
      </w:tr>
      <w:tr w:rsidR="004B1A77" w:rsidRPr="008718E6" w14:paraId="51B976F7" w14:textId="77777777" w:rsidTr="008A3235">
        <w:trPr>
          <w:trHeight w:val="284"/>
        </w:trPr>
        <w:tc>
          <w:tcPr>
            <w:tcW w:w="1907" w:type="pct"/>
            <w:tcBorders>
              <w:bottom w:val="single" w:sz="4" w:space="0" w:color="auto"/>
            </w:tcBorders>
            <w:vAlign w:val="bottom"/>
          </w:tcPr>
          <w:p w14:paraId="171D7C19" w14:textId="77777777" w:rsidR="004B1A77" w:rsidRPr="008718E6" w:rsidRDefault="004B1A77" w:rsidP="00795948">
            <w:pPr>
              <w:rPr>
                <w:noProof/>
              </w:rPr>
            </w:pPr>
            <w:r>
              <w:rPr>
                <w:noProof/>
              </w:rPr>
              <w:t xml:space="preserve">  </w:t>
            </w:r>
            <w:r w:rsidRPr="00E27050">
              <w:rPr>
                <w:noProof/>
              </w:rPr>
              <w:t>Øvrige bedrifter</w:t>
            </w:r>
          </w:p>
        </w:tc>
        <w:tc>
          <w:tcPr>
            <w:tcW w:w="418" w:type="pct"/>
            <w:tcBorders>
              <w:bottom w:val="single" w:sz="4" w:space="0" w:color="auto"/>
            </w:tcBorders>
            <w:vAlign w:val="bottom"/>
          </w:tcPr>
          <w:p w14:paraId="612E8F6A" w14:textId="77777777" w:rsidR="004B1A77" w:rsidRPr="008718E6" w:rsidRDefault="004B1A77" w:rsidP="00795948">
            <w:pPr>
              <w:jc w:val="right"/>
              <w:rPr>
                <w:noProof/>
              </w:rPr>
            </w:pPr>
            <w:r w:rsidRPr="00E27050">
              <w:rPr>
                <w:noProof/>
              </w:rPr>
              <w:t>0,9</w:t>
            </w:r>
          </w:p>
        </w:tc>
        <w:tc>
          <w:tcPr>
            <w:tcW w:w="520" w:type="pct"/>
            <w:tcBorders>
              <w:bottom w:val="single" w:sz="4" w:space="0" w:color="auto"/>
            </w:tcBorders>
            <w:vAlign w:val="bottom"/>
          </w:tcPr>
          <w:p w14:paraId="5240C886" w14:textId="77777777" w:rsidR="004B1A77" w:rsidRPr="008718E6" w:rsidRDefault="004B1A77" w:rsidP="00795948">
            <w:pPr>
              <w:jc w:val="right"/>
              <w:rPr>
                <w:noProof/>
              </w:rPr>
            </w:pPr>
            <w:r w:rsidRPr="00E27050">
              <w:rPr>
                <w:noProof/>
              </w:rPr>
              <w:t>0,9</w:t>
            </w:r>
          </w:p>
        </w:tc>
        <w:tc>
          <w:tcPr>
            <w:tcW w:w="456" w:type="pct"/>
            <w:tcBorders>
              <w:bottom w:val="single" w:sz="4" w:space="0" w:color="auto"/>
            </w:tcBorders>
            <w:vAlign w:val="bottom"/>
          </w:tcPr>
          <w:p w14:paraId="1A598F8E" w14:textId="77777777" w:rsidR="004B1A77" w:rsidRPr="008718E6" w:rsidRDefault="004B1A77" w:rsidP="00795948">
            <w:pPr>
              <w:jc w:val="right"/>
              <w:rPr>
                <w:noProof/>
              </w:rPr>
            </w:pPr>
            <w:r w:rsidRPr="00E27050">
              <w:rPr>
                <w:noProof/>
              </w:rPr>
              <w:t>1,2</w:t>
            </w:r>
          </w:p>
        </w:tc>
        <w:tc>
          <w:tcPr>
            <w:tcW w:w="615" w:type="pct"/>
            <w:tcBorders>
              <w:bottom w:val="single" w:sz="4" w:space="0" w:color="auto"/>
            </w:tcBorders>
            <w:vAlign w:val="bottom"/>
          </w:tcPr>
          <w:p w14:paraId="78E4EA03" w14:textId="77777777" w:rsidR="004B1A77" w:rsidRPr="008718E6" w:rsidRDefault="004B1A77" w:rsidP="00795948">
            <w:pPr>
              <w:jc w:val="right"/>
              <w:rPr>
                <w:noProof/>
              </w:rPr>
            </w:pPr>
            <w:r w:rsidRPr="00E27050">
              <w:rPr>
                <w:noProof/>
              </w:rPr>
              <w:t>1,2</w:t>
            </w:r>
          </w:p>
        </w:tc>
        <w:tc>
          <w:tcPr>
            <w:tcW w:w="538" w:type="pct"/>
            <w:tcBorders>
              <w:bottom w:val="single" w:sz="4" w:space="0" w:color="auto"/>
            </w:tcBorders>
            <w:vAlign w:val="bottom"/>
          </w:tcPr>
          <w:p w14:paraId="00F27479" w14:textId="77777777" w:rsidR="004B1A77" w:rsidRPr="008718E6" w:rsidRDefault="004B1A77" w:rsidP="00795948">
            <w:pPr>
              <w:jc w:val="right"/>
              <w:rPr>
                <w:noProof/>
              </w:rPr>
            </w:pPr>
            <w:r>
              <w:rPr>
                <w:noProof/>
              </w:rPr>
              <w:t>0,8</w:t>
            </w:r>
            <w:r w:rsidRPr="00E27050">
              <w:rPr>
                <w:noProof/>
              </w:rPr>
              <w:t xml:space="preserve"> </w:t>
            </w:r>
          </w:p>
        </w:tc>
        <w:tc>
          <w:tcPr>
            <w:tcW w:w="546" w:type="pct"/>
            <w:tcBorders>
              <w:bottom w:val="single" w:sz="4" w:space="0" w:color="auto"/>
            </w:tcBorders>
            <w:vAlign w:val="bottom"/>
          </w:tcPr>
          <w:p w14:paraId="706AF156" w14:textId="77777777" w:rsidR="004B1A77" w:rsidRPr="008718E6" w:rsidRDefault="004428B3" w:rsidP="00795948">
            <w:pPr>
              <w:jc w:val="right"/>
              <w:rPr>
                <w:noProof/>
              </w:rPr>
            </w:pPr>
            <w:r>
              <w:rPr>
                <w:noProof/>
              </w:rPr>
              <w:t xml:space="preserve">0,8 </w:t>
            </w:r>
          </w:p>
        </w:tc>
      </w:tr>
      <w:tr w:rsidR="004B1A77" w:rsidRPr="008718E6" w14:paraId="13B0F8F1" w14:textId="77777777" w:rsidTr="008A3235">
        <w:trPr>
          <w:trHeight w:val="269"/>
        </w:trPr>
        <w:tc>
          <w:tcPr>
            <w:tcW w:w="1907" w:type="pct"/>
            <w:tcBorders>
              <w:top w:val="single" w:sz="4" w:space="0" w:color="auto"/>
            </w:tcBorders>
            <w:vAlign w:val="bottom"/>
          </w:tcPr>
          <w:p w14:paraId="5315B75F" w14:textId="77777777" w:rsidR="004B1A77" w:rsidRPr="008718E6" w:rsidRDefault="004B1A77" w:rsidP="00795948">
            <w:pPr>
              <w:rPr>
                <w:noProof/>
              </w:rPr>
            </w:pPr>
            <w:r w:rsidRPr="00E27050">
              <w:rPr>
                <w:noProof/>
              </w:rPr>
              <w:t>Veid gjennomsnitt</w:t>
            </w:r>
            <w:r>
              <w:rPr>
                <w:noProof/>
                <w:vertAlign w:val="superscript"/>
              </w:rPr>
              <w:t>5</w:t>
            </w:r>
          </w:p>
        </w:tc>
        <w:tc>
          <w:tcPr>
            <w:tcW w:w="418" w:type="pct"/>
            <w:tcBorders>
              <w:top w:val="single" w:sz="4" w:space="0" w:color="auto"/>
            </w:tcBorders>
            <w:vAlign w:val="bottom"/>
          </w:tcPr>
          <w:p w14:paraId="0328A8F5" w14:textId="77777777" w:rsidR="004B1A77" w:rsidRPr="008718E6" w:rsidRDefault="004B1A77" w:rsidP="00795948">
            <w:pPr>
              <w:jc w:val="right"/>
              <w:rPr>
                <w:noProof/>
              </w:rPr>
            </w:pPr>
            <w:r w:rsidRPr="00E27050">
              <w:rPr>
                <w:noProof/>
              </w:rPr>
              <w:t>1,2</w:t>
            </w:r>
          </w:p>
        </w:tc>
        <w:tc>
          <w:tcPr>
            <w:tcW w:w="520" w:type="pct"/>
            <w:tcBorders>
              <w:top w:val="single" w:sz="4" w:space="0" w:color="auto"/>
            </w:tcBorders>
            <w:vAlign w:val="bottom"/>
          </w:tcPr>
          <w:p w14:paraId="49E672A1" w14:textId="77777777" w:rsidR="004B1A77" w:rsidRPr="008718E6" w:rsidRDefault="004B1A77" w:rsidP="00795948">
            <w:pPr>
              <w:jc w:val="right"/>
              <w:rPr>
                <w:noProof/>
              </w:rPr>
            </w:pPr>
            <w:r w:rsidRPr="00E27050">
              <w:rPr>
                <w:noProof/>
              </w:rPr>
              <w:t>1,9</w:t>
            </w:r>
          </w:p>
        </w:tc>
        <w:tc>
          <w:tcPr>
            <w:tcW w:w="456" w:type="pct"/>
            <w:tcBorders>
              <w:top w:val="single" w:sz="4" w:space="0" w:color="auto"/>
            </w:tcBorders>
            <w:vAlign w:val="bottom"/>
          </w:tcPr>
          <w:p w14:paraId="28C86A1A" w14:textId="77777777" w:rsidR="004B1A77" w:rsidRPr="008718E6" w:rsidRDefault="004B1A77" w:rsidP="00795948">
            <w:pPr>
              <w:jc w:val="right"/>
              <w:rPr>
                <w:noProof/>
              </w:rPr>
            </w:pPr>
            <w:r w:rsidRPr="00E27050">
              <w:rPr>
                <w:noProof/>
              </w:rPr>
              <w:t xml:space="preserve">1,0 </w:t>
            </w:r>
          </w:p>
        </w:tc>
        <w:tc>
          <w:tcPr>
            <w:tcW w:w="615" w:type="pct"/>
            <w:tcBorders>
              <w:top w:val="single" w:sz="4" w:space="0" w:color="auto"/>
            </w:tcBorders>
            <w:vAlign w:val="bottom"/>
          </w:tcPr>
          <w:p w14:paraId="2B9B293C" w14:textId="77777777" w:rsidR="004B1A77" w:rsidRPr="008718E6" w:rsidRDefault="004B1A77" w:rsidP="00795948">
            <w:pPr>
              <w:jc w:val="right"/>
              <w:rPr>
                <w:noProof/>
              </w:rPr>
            </w:pPr>
            <w:r w:rsidRPr="00E27050">
              <w:rPr>
                <w:noProof/>
              </w:rPr>
              <w:t>1,8</w:t>
            </w:r>
          </w:p>
        </w:tc>
        <w:tc>
          <w:tcPr>
            <w:tcW w:w="538" w:type="pct"/>
            <w:tcBorders>
              <w:top w:val="single" w:sz="4" w:space="0" w:color="auto"/>
            </w:tcBorders>
            <w:vAlign w:val="bottom"/>
          </w:tcPr>
          <w:p w14:paraId="7A89A8B4" w14:textId="77777777" w:rsidR="004B1A77" w:rsidRPr="008718E6" w:rsidRDefault="004B1A77" w:rsidP="00795948">
            <w:pPr>
              <w:jc w:val="right"/>
              <w:rPr>
                <w:noProof/>
              </w:rPr>
            </w:pPr>
            <w:r>
              <w:rPr>
                <w:noProof/>
              </w:rPr>
              <w:t>0,8</w:t>
            </w:r>
            <w:r w:rsidRPr="00E27050">
              <w:rPr>
                <w:noProof/>
              </w:rPr>
              <w:t xml:space="preserve"> </w:t>
            </w:r>
          </w:p>
        </w:tc>
        <w:tc>
          <w:tcPr>
            <w:tcW w:w="546" w:type="pct"/>
            <w:tcBorders>
              <w:top w:val="single" w:sz="4" w:space="0" w:color="auto"/>
            </w:tcBorders>
            <w:vAlign w:val="bottom"/>
          </w:tcPr>
          <w:p w14:paraId="0E19ED4A" w14:textId="77777777" w:rsidR="004B1A77" w:rsidRPr="008718E6" w:rsidRDefault="004B1A77" w:rsidP="007E7F54">
            <w:pPr>
              <w:jc w:val="right"/>
              <w:rPr>
                <w:noProof/>
              </w:rPr>
            </w:pPr>
            <w:r>
              <w:t>1</w:t>
            </w:r>
            <w:r w:rsidR="007E7F54">
              <w:t>,4</w:t>
            </w:r>
          </w:p>
        </w:tc>
      </w:tr>
    </w:tbl>
    <w:p w14:paraId="074AECDA" w14:textId="77777777" w:rsidR="004B1A77" w:rsidRDefault="004B1A77" w:rsidP="00EB23A2">
      <w:pPr>
        <w:pStyle w:val="tabell-noter"/>
        <w:numPr>
          <w:ilvl w:val="0"/>
          <w:numId w:val="24"/>
        </w:numPr>
        <w:spacing w:after="0"/>
        <w:ind w:left="567" w:hanging="283"/>
      </w:pPr>
      <w:r>
        <w:t>Arbeidere og funksjonærer i industrien er vektet sammen med lønnssummen i hver gruppe som vekt.</w:t>
      </w:r>
    </w:p>
    <w:p w14:paraId="606D1C9E" w14:textId="77777777" w:rsidR="004B1A77" w:rsidRPr="0091435D" w:rsidRDefault="004B1A77" w:rsidP="00EB23A2">
      <w:pPr>
        <w:pStyle w:val="tabell-noter"/>
        <w:numPr>
          <w:ilvl w:val="0"/>
          <w:numId w:val="24"/>
        </w:numPr>
        <w:spacing w:after="0"/>
        <w:ind w:left="567" w:hanging="283"/>
      </w:pPr>
      <w:r w:rsidRPr="0091435D">
        <w:t>Forretnings- og sparebanker og forsikring under ett som omfatter noen flere grupper enn</w:t>
      </w:r>
      <w:r>
        <w:t xml:space="preserve"> </w:t>
      </w:r>
      <w:r w:rsidRPr="0091435D">
        <w:t xml:space="preserve">forhandlingsområdet bank og forsikring. </w:t>
      </w:r>
    </w:p>
    <w:p w14:paraId="54EFC6CB" w14:textId="77777777" w:rsidR="004B1A77" w:rsidRDefault="004B1A77" w:rsidP="00EB23A2">
      <w:pPr>
        <w:pStyle w:val="tabell-noter"/>
        <w:numPr>
          <w:ilvl w:val="0"/>
          <w:numId w:val="24"/>
        </w:numPr>
        <w:spacing w:after="0"/>
        <w:ind w:left="567" w:hanging="283"/>
      </w:pPr>
      <w:r w:rsidRPr="008746A8">
        <w:t xml:space="preserve">Omlegging av beregningsmetode </w:t>
      </w:r>
      <w:r>
        <w:t>trakk</w:t>
      </w:r>
      <w:r w:rsidRPr="008746A8">
        <w:t xml:space="preserve"> opp overhenget til 2010 med 0,3 prosentpoeng i forhold til tidligere beregni</w:t>
      </w:r>
      <w:r>
        <w:t>ng, jf. tabell 1.7 i NOU 2010:4.</w:t>
      </w:r>
    </w:p>
    <w:p w14:paraId="0DAA3B15" w14:textId="77777777" w:rsidR="00C53F15" w:rsidRPr="00CB4766" w:rsidRDefault="00C53F15" w:rsidP="00EB23A2">
      <w:pPr>
        <w:pStyle w:val="tabell-noter"/>
        <w:numPr>
          <w:ilvl w:val="0"/>
          <w:numId w:val="24"/>
        </w:numPr>
        <w:spacing w:after="0"/>
        <w:ind w:left="567" w:hanging="283"/>
        <w:rPr>
          <w:rStyle w:val="StilTimes"/>
        </w:rPr>
      </w:pPr>
      <w:r>
        <w:rPr>
          <w:rStyle w:val="StilTimes"/>
        </w:rPr>
        <w:t>Beregnet på Spekters tallmateriale til 2010. Fra 2011 beregnet på tallmateriale fra Statistisk sentralbyrå.</w:t>
      </w:r>
    </w:p>
    <w:p w14:paraId="56A9463B" w14:textId="77777777" w:rsidR="004B1A77" w:rsidRPr="00125CE3" w:rsidRDefault="004B1A77" w:rsidP="00EB23A2">
      <w:pPr>
        <w:pStyle w:val="tabell-noter"/>
        <w:numPr>
          <w:ilvl w:val="0"/>
          <w:numId w:val="24"/>
        </w:numPr>
        <w:spacing w:after="0"/>
        <w:ind w:left="567" w:hanging="283"/>
      </w:pPr>
      <w:r w:rsidRPr="0091435D">
        <w:t>Overhenget er et gjennomsnitt for</w:t>
      </w:r>
      <w:r w:rsidR="006A6146">
        <w:t xml:space="preserve"> </w:t>
      </w:r>
      <w:r w:rsidRPr="00125CE3">
        <w:rPr>
          <w:szCs w:val="24"/>
        </w:rPr>
        <w:t>ansatte i virksomheter som er medlemmer av arbeidsgiverorganisasjoner og ansatte i offentlig forvaltning inklusive helseforetakene. Antall årsverk i hver gruppe er brukt som vekter.</w:t>
      </w:r>
    </w:p>
    <w:p w14:paraId="36F828B7" w14:textId="77777777" w:rsidR="004B1A77" w:rsidRPr="004F5E46" w:rsidRDefault="004B1A77" w:rsidP="00EB23A2">
      <w:pPr>
        <w:pStyle w:val="tabell-noter"/>
        <w:numPr>
          <w:ilvl w:val="0"/>
          <w:numId w:val="24"/>
        </w:numPr>
        <w:spacing w:after="0"/>
        <w:ind w:left="567" w:hanging="283"/>
      </w:pPr>
      <w:r w:rsidRPr="00125CE3">
        <w:rPr>
          <w:rFonts w:ascii="Times New Roman" w:hAnsi="Times New Roman" w:cs="Times New Roman"/>
        </w:rPr>
        <w:t>For ansatte i konflikt i 2014 ble virkningstidspunkter forskjøvet. Dette trakk overhenget til 2015 opp</w:t>
      </w:r>
      <w:r w:rsidR="004428B3">
        <w:rPr>
          <w:rFonts w:ascii="Times New Roman" w:hAnsi="Times New Roman" w:cs="Times New Roman"/>
        </w:rPr>
        <w:t xml:space="preserve"> med 0,2 prosentpoeng for hele kommunesektoren og med 0,9 prosentp</w:t>
      </w:r>
      <w:r w:rsidR="00FA4055">
        <w:rPr>
          <w:rFonts w:ascii="Times New Roman" w:hAnsi="Times New Roman" w:cs="Times New Roman"/>
        </w:rPr>
        <w:t>o</w:t>
      </w:r>
      <w:r w:rsidR="004428B3">
        <w:rPr>
          <w:rFonts w:ascii="Times New Roman" w:hAnsi="Times New Roman" w:cs="Times New Roman"/>
        </w:rPr>
        <w:t xml:space="preserve">eng for undervisningspersonell. </w:t>
      </w:r>
      <w:r w:rsidR="004428B3">
        <w:t>For</w:t>
      </w:r>
      <w:r w:rsidR="004428B3" w:rsidRPr="002E611A">
        <w:t xml:space="preserve"> </w:t>
      </w:r>
      <w:r w:rsidR="004428B3" w:rsidRPr="00B42FC6">
        <w:rPr>
          <w:rFonts w:ascii="Times New Roman" w:hAnsi="Times New Roman" w:cs="Times New Roman"/>
          <w:sz w:val="18"/>
          <w:szCs w:val="18"/>
        </w:rPr>
        <w:t>øvrige ansatte i kommunesektoren</w:t>
      </w:r>
      <w:r w:rsidR="004428B3">
        <w:rPr>
          <w:rFonts w:ascii="Times New Roman" w:hAnsi="Times New Roman" w:cs="Times New Roman"/>
          <w:sz w:val="18"/>
          <w:szCs w:val="18"/>
        </w:rPr>
        <w:t xml:space="preserve"> ble overhenget ikke påvirket</w:t>
      </w:r>
      <w:r>
        <w:rPr>
          <w:rFonts w:ascii="Times New Roman" w:hAnsi="Times New Roman" w:cs="Times New Roman"/>
        </w:rPr>
        <w:t>.</w:t>
      </w:r>
    </w:p>
    <w:p w14:paraId="693EC1CE" w14:textId="0C218933" w:rsidR="004B1A77" w:rsidRDefault="004B1A77" w:rsidP="008A3235">
      <w:pPr>
        <w:pStyle w:val="tabell-noter"/>
      </w:pPr>
      <w:r w:rsidRPr="00B413AB">
        <w:t>Kilde: Beregningsutvalget</w:t>
      </w:r>
      <w:r w:rsidR="00B45989">
        <w:t>.</w:t>
      </w:r>
    </w:p>
    <w:p w14:paraId="4624C836" w14:textId="77777777" w:rsidR="00B45989" w:rsidRDefault="00B45989" w:rsidP="00B45989"/>
    <w:p w14:paraId="7D992B3C" w14:textId="6B05B3C5" w:rsidR="00B45989" w:rsidRDefault="00B45989" w:rsidP="00B45989">
      <w:pPr>
        <w:pStyle w:val="Overskrift2"/>
      </w:pPr>
      <w:bookmarkStart w:id="135" w:name="_Toc422226824"/>
      <w:r>
        <w:t>Noen hovedtrekk ved lønnsutviklingen i 2015 i enkelte forhandlingsområder</w:t>
      </w:r>
      <w:bookmarkEnd w:id="135"/>
      <w:r w:rsidR="006301E1">
        <w:t xml:space="preserve"> </w:t>
      </w:r>
    </w:p>
    <w:p w14:paraId="18A289B4" w14:textId="2A30786B" w:rsidR="00B45989" w:rsidRDefault="00B45989" w:rsidP="00B45989">
      <w:r>
        <w:t>I dette avsnittet gis det en oversikt over lønnsveksten fra 2014 til 201</w:t>
      </w:r>
      <w:r w:rsidR="00A02B3A">
        <w:t>5</w:t>
      </w:r>
      <w:r>
        <w:t xml:space="preserve"> i en del tariffområder før bidrag fra lønnsglidningen i 2015. Bidraget fra lønnsglidningen til årslønnsveksten i årene 2010 til 2014 i de ulike tariffområdene vises i tabell 1.3.</w:t>
      </w:r>
    </w:p>
    <w:p w14:paraId="0EE817A4" w14:textId="39758155" w:rsidR="00A61F59" w:rsidRDefault="00D1799A" w:rsidP="00D1799A">
      <w:pPr>
        <w:rPr>
          <w:szCs w:val="24"/>
        </w:rPr>
      </w:pPr>
      <w:r w:rsidRPr="00D1799A">
        <w:rPr>
          <w:szCs w:val="24"/>
        </w:rPr>
        <w:t xml:space="preserve">For </w:t>
      </w:r>
      <w:r w:rsidRPr="00D1799A">
        <w:rPr>
          <w:i/>
          <w:iCs/>
          <w:szCs w:val="24"/>
        </w:rPr>
        <w:t>industriarbeidere</w:t>
      </w:r>
      <w:r w:rsidRPr="00D1799A">
        <w:rPr>
          <w:bCs/>
          <w:i/>
          <w:szCs w:val="24"/>
        </w:rPr>
        <w:t xml:space="preserve"> </w:t>
      </w:r>
      <w:r w:rsidRPr="00D1799A">
        <w:rPr>
          <w:i/>
          <w:iCs/>
          <w:szCs w:val="24"/>
        </w:rPr>
        <w:t>i NHO-bedrifter</w:t>
      </w:r>
      <w:r w:rsidRPr="00D1799A">
        <w:rPr>
          <w:szCs w:val="24"/>
        </w:rPr>
        <w:t xml:space="preserve"> gir de avtalte tarifftilleggene </w:t>
      </w:r>
      <w:r w:rsidR="0003214A">
        <w:rPr>
          <w:szCs w:val="24"/>
        </w:rPr>
        <w:t xml:space="preserve">mellom LO og NHO </w:t>
      </w:r>
      <w:r w:rsidRPr="00D1799A">
        <w:rPr>
          <w:szCs w:val="24"/>
        </w:rPr>
        <w:t xml:space="preserve">i mellomoppgjøret i 2015 og bidrag fra garantiordninger og sentrale tilpasninger av minstelønnssatser, et bidrag til årslønnsveksten på 0,1-0,2 prosentpoeng. Sammen med lønnsoverhenget til 2015 på 1,0 prosent gir dette en årslønnsvekst fra 2014 til 2015 på 1,1-1,2 prosent før bidrag fra lønnsglidningen i 2015.  </w:t>
      </w:r>
    </w:p>
    <w:p w14:paraId="219EAFF6" w14:textId="6BEF5F7C" w:rsidR="00D1799A" w:rsidRPr="00D1799A" w:rsidRDefault="00A61F59" w:rsidP="00D1799A">
      <w:pPr>
        <w:rPr>
          <w:szCs w:val="24"/>
        </w:rPr>
      </w:pPr>
      <w:r>
        <w:rPr>
          <w:szCs w:val="24"/>
        </w:rPr>
        <w:t>Ved</w:t>
      </w:r>
      <w:r w:rsidR="00D1799A" w:rsidRPr="00D1799A">
        <w:rPr>
          <w:szCs w:val="24"/>
        </w:rPr>
        <w:t xml:space="preserve"> mellomoppgjøret mellom LO og NHO anslo NHO, i forståelse med LO, årslønnsveksten i industrien samlet i NHO-området til 2,7 prosent i 2015. </w:t>
      </w:r>
    </w:p>
    <w:p w14:paraId="5FD14722" w14:textId="2640655A" w:rsidR="00D1799A" w:rsidRPr="00D1799A" w:rsidRDefault="00D1799A" w:rsidP="00D1799A">
      <w:pPr>
        <w:suppressAutoHyphens/>
        <w:autoSpaceDE w:val="0"/>
        <w:autoSpaceDN w:val="0"/>
        <w:adjustRightInd w:val="0"/>
        <w:rPr>
          <w:noProof/>
          <w:szCs w:val="24"/>
        </w:rPr>
      </w:pPr>
      <w:r w:rsidRPr="00D1799A">
        <w:rPr>
          <w:snapToGrid w:val="0"/>
          <w:szCs w:val="24"/>
        </w:rPr>
        <w:t xml:space="preserve">For </w:t>
      </w:r>
      <w:r w:rsidRPr="00D1799A">
        <w:rPr>
          <w:i/>
          <w:snapToGrid w:val="0"/>
          <w:szCs w:val="24"/>
        </w:rPr>
        <w:t>Virke-bedrifter i varehandel</w:t>
      </w:r>
      <w:r w:rsidRPr="00D1799A">
        <w:rPr>
          <w:snapToGrid w:val="0"/>
          <w:szCs w:val="24"/>
        </w:rPr>
        <w:t xml:space="preserve"> gir de avtalte tarifftilleggene i 2015</w:t>
      </w:r>
      <w:r w:rsidR="00A61F59">
        <w:rPr>
          <w:snapToGrid w:val="0"/>
          <w:szCs w:val="24"/>
        </w:rPr>
        <w:t xml:space="preserve"> på </w:t>
      </w:r>
      <w:r w:rsidRPr="00D1799A">
        <w:rPr>
          <w:snapToGrid w:val="0"/>
          <w:szCs w:val="24"/>
        </w:rPr>
        <w:t xml:space="preserve">0,4 prosent og garantitillegg </w:t>
      </w:r>
      <w:r w:rsidR="00A61F59">
        <w:rPr>
          <w:snapToGrid w:val="0"/>
          <w:szCs w:val="24"/>
        </w:rPr>
        <w:t xml:space="preserve">på </w:t>
      </w:r>
      <w:r w:rsidRPr="00D1799A">
        <w:rPr>
          <w:snapToGrid w:val="0"/>
          <w:szCs w:val="24"/>
        </w:rPr>
        <w:t xml:space="preserve">0,3 prosent et bidrag til årslønnsveksten på 0,7 prosentpoeng. Sammen med overhenget </w:t>
      </w:r>
      <w:r w:rsidR="00A61F59">
        <w:rPr>
          <w:snapToGrid w:val="0"/>
          <w:szCs w:val="24"/>
        </w:rPr>
        <w:t xml:space="preserve">til 2015 </w:t>
      </w:r>
      <w:r w:rsidRPr="00D1799A">
        <w:rPr>
          <w:snapToGrid w:val="0"/>
          <w:szCs w:val="24"/>
        </w:rPr>
        <w:t xml:space="preserve">på 1,0 prosent gir dette </w:t>
      </w:r>
      <w:r w:rsidRPr="00D1799A">
        <w:rPr>
          <w:szCs w:val="24"/>
        </w:rPr>
        <w:t>en årslønnsvekst på 1,7 prosent fra 2014 til 2015 før bidrag fra lønnsglidningen i 2015.</w:t>
      </w:r>
    </w:p>
    <w:p w14:paraId="7AA2CA3A" w14:textId="4B51FBE4" w:rsidR="00D1799A" w:rsidRPr="00D1799A" w:rsidRDefault="00D1799A" w:rsidP="00D1799A">
      <w:pPr>
        <w:rPr>
          <w:rFonts w:ascii="Calibri" w:eastAsia="Calibri" w:hAnsi="Calibri"/>
          <w:sz w:val="22"/>
        </w:rPr>
      </w:pPr>
      <w:r w:rsidRPr="00D1799A">
        <w:rPr>
          <w:szCs w:val="24"/>
        </w:rPr>
        <w:t xml:space="preserve">I </w:t>
      </w:r>
      <w:r w:rsidRPr="00D1799A">
        <w:rPr>
          <w:i/>
          <w:szCs w:val="24"/>
        </w:rPr>
        <w:t>staten</w:t>
      </w:r>
      <w:r w:rsidRPr="00D1799A">
        <w:rPr>
          <w:szCs w:val="24"/>
        </w:rPr>
        <w:t xml:space="preserve"> </w:t>
      </w:r>
      <w:r w:rsidRPr="00D1799A">
        <w:rPr>
          <w:snapToGrid w:val="0"/>
          <w:szCs w:val="24"/>
        </w:rPr>
        <w:t>gir de avtalte tarifftilleggene i 2015 et bidrag til årslønnsveksten fra 2014 til 2015 på 0,1 prosentpoeng. Sammen med</w:t>
      </w:r>
      <w:r w:rsidRPr="00D1799A">
        <w:rPr>
          <w:szCs w:val="24"/>
        </w:rPr>
        <w:t xml:space="preserve"> overhenget på 2,1 prosent gir dette en årslønnsvekst fra 2014 til 2015 på 2,2 prosent før bidrag fra lønnsglidningen i 2015. </w:t>
      </w:r>
    </w:p>
    <w:p w14:paraId="5234FBF8" w14:textId="495AB2AB" w:rsidR="00D1799A" w:rsidRPr="00D1799A" w:rsidRDefault="00D1799A" w:rsidP="00D1799A">
      <w:pPr>
        <w:rPr>
          <w:rFonts w:ascii="Calibri" w:eastAsia="Calibri" w:hAnsi="Calibri"/>
          <w:sz w:val="22"/>
        </w:rPr>
      </w:pPr>
      <w:r w:rsidRPr="00D1799A">
        <w:rPr>
          <w:szCs w:val="24"/>
        </w:rPr>
        <w:t xml:space="preserve">For ansatte med hovedsakelig sentral lønnsdannelse (kap 4) i </w:t>
      </w:r>
      <w:r w:rsidRPr="00D1799A">
        <w:rPr>
          <w:i/>
          <w:szCs w:val="24"/>
        </w:rPr>
        <w:t>KS-området</w:t>
      </w:r>
      <w:r w:rsidRPr="00D1799A">
        <w:rPr>
          <w:szCs w:val="24"/>
        </w:rPr>
        <w:t xml:space="preserve"> </w:t>
      </w:r>
      <w:r w:rsidRPr="00D1799A">
        <w:rPr>
          <w:snapToGrid w:val="0"/>
          <w:szCs w:val="24"/>
        </w:rPr>
        <w:t>gir de avtalte tarifftilleggene i 2015 et bidrag til årslønnsveksten fra 2014 til 2015 på 1,1 prosentpoeng. Sammen med</w:t>
      </w:r>
      <w:r w:rsidRPr="00D1799A">
        <w:rPr>
          <w:szCs w:val="24"/>
        </w:rPr>
        <w:t xml:space="preserve"> overhenget på 1,9 prosent gir dette en årslønnsvekst fra 2014 til 2015 på 3,0 prosent før bidrag fra lønnsglidningen i 2015</w:t>
      </w:r>
      <w:r w:rsidR="002A087D">
        <w:t xml:space="preserve"> er medregnet</w:t>
      </w:r>
      <w:r w:rsidRPr="00D1799A">
        <w:rPr>
          <w:szCs w:val="24"/>
        </w:rPr>
        <w:t>.</w:t>
      </w:r>
      <w:r w:rsidRPr="00D1799A">
        <w:rPr>
          <w:rFonts w:eastAsia="Calibri"/>
          <w:color w:val="1F497D"/>
          <w:szCs w:val="24"/>
        </w:rPr>
        <w:t xml:space="preserve"> </w:t>
      </w:r>
      <w:r w:rsidRPr="00D1799A">
        <w:rPr>
          <w:szCs w:val="24"/>
        </w:rPr>
        <w:t xml:space="preserve">Lærerstreiken i 2014 trakk opp overhenget til 2015 med 0,3 prosentpoeng </w:t>
      </w:r>
      <w:r w:rsidR="002A087D">
        <w:t xml:space="preserve">for disse stillingene. For disse stillingene er gjennomsnittlig bidrag fra lønnsglidningen </w:t>
      </w:r>
      <w:r w:rsidR="0045274F">
        <w:t xml:space="preserve">de </w:t>
      </w:r>
      <w:r w:rsidR="002A087D">
        <w:t xml:space="preserve">siste </w:t>
      </w:r>
      <w:r w:rsidR="0045274F">
        <w:t>tre</w:t>
      </w:r>
      <w:r w:rsidR="002A087D">
        <w:t xml:space="preserve"> år</w:t>
      </w:r>
      <w:r w:rsidR="0045274F">
        <w:t>ene</w:t>
      </w:r>
      <w:r w:rsidR="002A087D">
        <w:t xml:space="preserve"> beregnet til 0,2 prosentpoeng</w:t>
      </w:r>
      <w:r w:rsidRPr="00D1799A">
        <w:rPr>
          <w:szCs w:val="24"/>
        </w:rPr>
        <w:t>.</w:t>
      </w:r>
      <w:r w:rsidR="00CB0C96">
        <w:rPr>
          <w:szCs w:val="24"/>
        </w:rPr>
        <w:t xml:space="preserve"> </w:t>
      </w:r>
    </w:p>
    <w:p w14:paraId="55B33E52" w14:textId="7BA5213C" w:rsidR="00D1799A" w:rsidRPr="00D1799A" w:rsidRDefault="00D1799A" w:rsidP="00D1799A">
      <w:pPr>
        <w:rPr>
          <w:szCs w:val="24"/>
        </w:rPr>
      </w:pPr>
      <w:r w:rsidRPr="00D1799A">
        <w:rPr>
          <w:szCs w:val="24"/>
        </w:rPr>
        <w:t xml:space="preserve">I </w:t>
      </w:r>
      <w:r w:rsidRPr="00D1799A">
        <w:rPr>
          <w:i/>
          <w:iCs/>
          <w:szCs w:val="24"/>
        </w:rPr>
        <w:t>Spekter-bedrifter eksklusive helseforetakene</w:t>
      </w:r>
      <w:r w:rsidRPr="00D1799A">
        <w:rPr>
          <w:szCs w:val="24"/>
        </w:rPr>
        <w:t xml:space="preserve"> gir de avtalte tilleggene på A-nivå et bidrag til årslønnsveksten på om lag 0,2 prosentpoeng fra 2014 til 2015. I tillegg kommer lønnstillegg avtalt på den enkelte virksomhet (B-nivå) som anslås i gjennomsnitt å gi et bidrag på om lag 1¾ prosentpoeng. </w:t>
      </w:r>
      <w:r w:rsidRPr="00D1799A">
        <w:rPr>
          <w:snapToGrid w:val="0"/>
          <w:szCs w:val="24"/>
        </w:rPr>
        <w:t>Sammen med</w:t>
      </w:r>
      <w:r w:rsidRPr="00D1799A">
        <w:rPr>
          <w:szCs w:val="24"/>
        </w:rPr>
        <w:t xml:space="preserve"> overhenget på 0,8 prosent gir dette en årslønnsvekst fra 2014 til 2015 på 2¾ prosent før bidrag fra lønnsglidningen i 2015. </w:t>
      </w:r>
    </w:p>
    <w:p w14:paraId="586AB8D6" w14:textId="2C94E7BB" w:rsidR="00D1799A" w:rsidRPr="00D1799A" w:rsidRDefault="00D1799A" w:rsidP="00D1799A">
      <w:pPr>
        <w:rPr>
          <w:szCs w:val="24"/>
        </w:rPr>
      </w:pPr>
      <w:r w:rsidRPr="00D1799A">
        <w:rPr>
          <w:szCs w:val="24"/>
        </w:rPr>
        <w:t xml:space="preserve">I </w:t>
      </w:r>
      <w:r w:rsidRPr="00D1799A">
        <w:rPr>
          <w:i/>
          <w:szCs w:val="24"/>
        </w:rPr>
        <w:t>helseforetakene</w:t>
      </w:r>
      <w:r w:rsidRPr="00D1799A">
        <w:rPr>
          <w:szCs w:val="24"/>
        </w:rPr>
        <w:t xml:space="preserve"> </w:t>
      </w:r>
      <w:r>
        <w:t xml:space="preserve">gir de sentralt avtalte tilleggene i 2015 et bidrag til årslønnsveksten fra 2014 til 2015 på om lag 1 </w:t>
      </w:r>
      <w:r w:rsidRPr="00D74956">
        <w:t>prosentpoeng</w:t>
      </w:r>
      <w:r>
        <w:t xml:space="preserve">. I tillegg kommer bidrag fra tillegg ved lokale forhandlinger som anslås til ½ prosentpoeng. </w:t>
      </w:r>
      <w:r w:rsidRPr="00D1799A">
        <w:rPr>
          <w:snapToGrid w:val="0"/>
          <w:szCs w:val="24"/>
        </w:rPr>
        <w:t>Sammen med</w:t>
      </w:r>
      <w:r w:rsidRPr="00D1799A">
        <w:rPr>
          <w:szCs w:val="24"/>
        </w:rPr>
        <w:t xml:space="preserve"> overhenget på 1,2 prosent gir dette en årslønnsvekst fra 2014 til 2015 på 2¾ prosent før bidrag fra lønnsglidningen i 2015.</w:t>
      </w:r>
    </w:p>
    <w:p w14:paraId="163716F5" w14:textId="162D33DD" w:rsidR="00B45989" w:rsidRDefault="00D1799A" w:rsidP="00D1799A">
      <w:r>
        <w:rPr>
          <w:szCs w:val="24"/>
        </w:rPr>
        <w:t xml:space="preserve">For ansatte i </w:t>
      </w:r>
      <w:r>
        <w:rPr>
          <w:i/>
          <w:szCs w:val="24"/>
        </w:rPr>
        <w:t>forretnings- og sparebanker og forsikringsvirksomhet</w:t>
      </w:r>
      <w:r>
        <w:rPr>
          <w:szCs w:val="24"/>
        </w:rPr>
        <w:t xml:space="preserve">, som omfatter noen flere grupper enn forhandlingsområdet bank og forsikring, gir de avtalte tarifftilleggene i 2015 et bidrag til årslønnsveksten fra 2014 til 2015 på 0,4 prosentpoeng. </w:t>
      </w:r>
      <w:r>
        <w:rPr>
          <w:snapToGrid w:val="0"/>
          <w:szCs w:val="24"/>
        </w:rPr>
        <w:t>Sammen med</w:t>
      </w:r>
      <w:r>
        <w:rPr>
          <w:szCs w:val="24"/>
        </w:rPr>
        <w:t xml:space="preserve"> overhenget på 1,2 prosent gir dette en årslønnsvekst fra 2014 til 2015 på 1,6 prosent før bidrag fra lønnsglidningen i 2015.</w:t>
      </w:r>
    </w:p>
    <w:p w14:paraId="4C186CBF" w14:textId="77777777" w:rsidR="00B45989" w:rsidRPr="00B45989" w:rsidRDefault="00B45989" w:rsidP="00B45989"/>
    <w:p w14:paraId="279DE70F" w14:textId="50A69534" w:rsidR="004B1A77" w:rsidRDefault="004B1A77" w:rsidP="004B1A77">
      <w:pPr>
        <w:pStyle w:val="Overskrift2"/>
      </w:pPr>
      <w:bookmarkStart w:id="136" w:name="ID_BOX3_46_8"/>
      <w:bookmarkStart w:id="137" w:name="_Toc225769704"/>
      <w:bookmarkStart w:id="138" w:name="_Toc225769830"/>
      <w:bookmarkStart w:id="139" w:name="_Toc226010295"/>
      <w:bookmarkStart w:id="140" w:name="_Toc286073358"/>
      <w:bookmarkStart w:id="141" w:name="_Toc286074005"/>
      <w:bookmarkStart w:id="142" w:name="_Toc286075002"/>
      <w:bookmarkStart w:id="143" w:name="_Toc286075251"/>
      <w:bookmarkStart w:id="144" w:name="_Toc289722986"/>
      <w:bookmarkStart w:id="145" w:name="_Toc296427216"/>
      <w:bookmarkStart w:id="146" w:name="_Toc380506131"/>
      <w:bookmarkStart w:id="147" w:name="_Toc422226825"/>
      <w:bookmarkEnd w:id="136"/>
      <w:r w:rsidRPr="00E15C9E">
        <w:t>Lønnsutviklingen for ledere</w:t>
      </w:r>
      <w:bookmarkEnd w:id="137"/>
      <w:bookmarkEnd w:id="138"/>
      <w:bookmarkEnd w:id="139"/>
      <w:bookmarkEnd w:id="140"/>
      <w:bookmarkEnd w:id="141"/>
      <w:bookmarkEnd w:id="142"/>
      <w:bookmarkEnd w:id="143"/>
      <w:bookmarkEnd w:id="144"/>
      <w:bookmarkEnd w:id="145"/>
      <w:bookmarkEnd w:id="146"/>
      <w:bookmarkEnd w:id="147"/>
      <w:r w:rsidRPr="00E15C9E">
        <w:t xml:space="preserve"> </w:t>
      </w:r>
    </w:p>
    <w:p w14:paraId="6FB60183" w14:textId="5C42E35C" w:rsidR="004B1A77" w:rsidRPr="00BA1C84" w:rsidRDefault="004B1A77" w:rsidP="004B1A77">
      <w:pPr>
        <w:pStyle w:val="Overskrift3"/>
      </w:pPr>
      <w:bookmarkStart w:id="148" w:name="_Toc317589289"/>
      <w:bookmarkStart w:id="149" w:name="_Toc380506132"/>
      <w:bookmarkStart w:id="150" w:name="_Toc422226826"/>
      <w:r w:rsidRPr="00BA1C84">
        <w:t>Lønnsutviklingen eksklusive opsjons- og naturalytelser for ledere i enkelte næringer</w:t>
      </w:r>
      <w:bookmarkEnd w:id="148"/>
      <w:bookmarkEnd w:id="149"/>
      <w:bookmarkEnd w:id="150"/>
      <w:r w:rsidRPr="00BA1C84" w:rsidDel="00B74B02">
        <w:t xml:space="preserve"> </w:t>
      </w:r>
      <w:r w:rsidRPr="00BA1C84">
        <w:t xml:space="preserve"> </w:t>
      </w:r>
    </w:p>
    <w:p w14:paraId="34650157" w14:textId="77777777" w:rsidR="004B1A77" w:rsidRDefault="004B1A77" w:rsidP="004B1A77">
      <w:bookmarkStart w:id="151" w:name="_Toc317589290"/>
      <w:bookmarkStart w:id="152" w:name="_Toc351913439"/>
      <w:r>
        <w:t xml:space="preserve">I dette avsnittet presenteres lønnsveksten fra 2013 til 2014 for ledere i en del næringer basert på samme lønnsbegrep som i tabell 1.1, </w:t>
      </w:r>
      <w:r w:rsidRPr="00F17691">
        <w:t xml:space="preserve">dvs. avtalt lønn, uregelmessige tillegg og bonus. </w:t>
      </w:r>
      <w:r>
        <w:t>Tallene o</w:t>
      </w:r>
      <w:r w:rsidRPr="0080016E">
        <w:t xml:space="preserve">mfatter </w:t>
      </w:r>
      <w:r>
        <w:t xml:space="preserve">ledere i </w:t>
      </w:r>
      <w:r w:rsidRPr="0080016E">
        <w:t xml:space="preserve">foretak </w:t>
      </w:r>
      <w:r>
        <w:t xml:space="preserve">i næringsvirksomhet </w:t>
      </w:r>
      <w:r w:rsidRPr="0080016E">
        <w:t xml:space="preserve">utenom offentlig forvaltning og helseforetakene. Offentlig eide foretak er inkludert. </w:t>
      </w:r>
      <w:r>
        <w:t xml:space="preserve">Tallene er basert på Statistisk sentralbyrås lønnsstatistikk. Lønnsveksten er regnet som endring i månedslønn fra september/oktober det ene året til samme tidspunktet året etter.  </w:t>
      </w:r>
    </w:p>
    <w:p w14:paraId="21F13F19" w14:textId="77777777" w:rsidR="004B1A77" w:rsidRDefault="004B1A77" w:rsidP="004B1A77">
      <w:pPr>
        <w:spacing w:after="0"/>
      </w:pPr>
      <w:r>
        <w:t>Det presenteres tall for to grupper av ledere i næringsvirksomhet:</w:t>
      </w:r>
    </w:p>
    <w:p w14:paraId="3F0E696A" w14:textId="492CF3ED" w:rsidR="004B1A77" w:rsidRDefault="004B1A77" w:rsidP="004B1A77">
      <w:pPr>
        <w:numPr>
          <w:ilvl w:val="0"/>
          <w:numId w:val="3"/>
        </w:numPr>
        <w:spacing w:after="0"/>
      </w:pPr>
      <w:r>
        <w:t xml:space="preserve">Gruppen med yrkeskode 1210 ”administrerende direktører” </w:t>
      </w:r>
      <w:r w:rsidRPr="005A4BFD">
        <w:t>i store og mellomstore</w:t>
      </w:r>
      <w:r>
        <w:t xml:space="preserve"> foretak, dvs. foretak </w:t>
      </w:r>
      <w:r w:rsidRPr="005A4BFD">
        <w:t>med 10 eller flere ansatte</w:t>
      </w:r>
      <w:r>
        <w:t>. Gruppen kan omfatte flere personer med lederfunksjoner i hvert foretak.</w:t>
      </w:r>
      <w:r w:rsidRPr="005A4BFD">
        <w:t xml:space="preserve"> </w:t>
      </w:r>
    </w:p>
    <w:p w14:paraId="26EEDE5A" w14:textId="5C96B93E" w:rsidR="004B1A77" w:rsidRDefault="004B1A77" w:rsidP="004B1A77">
      <w:pPr>
        <w:numPr>
          <w:ilvl w:val="0"/>
          <w:numId w:val="3"/>
        </w:numPr>
      </w:pPr>
      <w:r>
        <w:t>Gruppen med yrkeskode 1300 ”ledere av små foretak”, dvs. foretak med færre enn 10 ansatte.</w:t>
      </w:r>
    </w:p>
    <w:p w14:paraId="34D4EA2E" w14:textId="159DF999" w:rsidR="004B1A77" w:rsidRDefault="004B1A77" w:rsidP="004B1A77">
      <w:r w:rsidRPr="0080016E">
        <w:t>Totalt</w:t>
      </w:r>
      <w:r>
        <w:t xml:space="preserve"> omfattet utvalget til lønnsstatistikken i </w:t>
      </w:r>
      <w:r w:rsidR="00F818BA">
        <w:t xml:space="preserve">2014 </w:t>
      </w:r>
      <w:r>
        <w:t xml:space="preserve">om lag </w:t>
      </w:r>
      <w:r w:rsidR="00977F76">
        <w:t xml:space="preserve">23 900 </w:t>
      </w:r>
      <w:r>
        <w:t xml:space="preserve">heltidsansatte personer </w:t>
      </w:r>
      <w:r w:rsidR="008575FA">
        <w:t xml:space="preserve">i </w:t>
      </w:r>
      <w:r w:rsidR="00A47F02">
        <w:t>næringsvirksomhet</w:t>
      </w:r>
      <w:r w:rsidR="008575FA">
        <w:t xml:space="preserve"> </w:t>
      </w:r>
      <w:r>
        <w:t xml:space="preserve">innen disse to ledergruppene. </w:t>
      </w:r>
    </w:p>
    <w:p w14:paraId="6728A520" w14:textId="1CB9E3A9" w:rsidR="004B1A77" w:rsidRDefault="004B1A77" w:rsidP="004B1A77">
      <w:r>
        <w:t xml:space="preserve">Tabell 1.7 viser at lønnsveksten regnet som endring i gjennomsnittslønn fra september/oktober 2013 til september/oktober 2014 for administrerende direktører varierte en del mellom næringene som er med i tabellen, fra en nedgang i gjennomsnittslønnen i varehandel på 4,4 prosent til en vekst på 5,6 prosent i olje- og gassutvinning. </w:t>
      </w:r>
      <w:r w:rsidRPr="00BE37D9">
        <w:rPr>
          <w:szCs w:val="24"/>
        </w:rPr>
        <w:t xml:space="preserve">For administrerende direktører i industrien var lønnsveksten </w:t>
      </w:r>
      <w:r>
        <w:rPr>
          <w:szCs w:val="24"/>
        </w:rPr>
        <w:t>0,9</w:t>
      </w:r>
      <w:r w:rsidRPr="00BE37D9">
        <w:rPr>
          <w:szCs w:val="24"/>
        </w:rPr>
        <w:t xml:space="preserve"> prosent. For ledere av små foretak var </w:t>
      </w:r>
      <w:r>
        <w:rPr>
          <w:szCs w:val="24"/>
        </w:rPr>
        <w:t xml:space="preserve">lønnsveksten i 2014 høy i </w:t>
      </w:r>
      <w:r w:rsidR="00727233">
        <w:rPr>
          <w:szCs w:val="24"/>
        </w:rPr>
        <w:t xml:space="preserve">samferdsel (11,0 prosent) og </w:t>
      </w:r>
      <w:r>
        <w:rPr>
          <w:szCs w:val="24"/>
        </w:rPr>
        <w:t>IKT (7,1 prosent), mens veksten varierte mellom 2,4 og 4,0 prosent i</w:t>
      </w:r>
      <w:r w:rsidRPr="00BE37D9">
        <w:rPr>
          <w:szCs w:val="24"/>
        </w:rPr>
        <w:t xml:space="preserve"> de andre næringene i tabell 1.</w:t>
      </w:r>
      <w:r>
        <w:rPr>
          <w:szCs w:val="24"/>
        </w:rPr>
        <w:t xml:space="preserve">7. </w:t>
      </w:r>
      <w:r w:rsidR="00727233">
        <w:rPr>
          <w:szCs w:val="24"/>
        </w:rPr>
        <w:t>Gjennomsnittslønnen for administrerende direktører under ett steg med 0,</w:t>
      </w:r>
      <w:r w:rsidR="00A04E72">
        <w:rPr>
          <w:szCs w:val="24"/>
        </w:rPr>
        <w:t xml:space="preserve">4 </w:t>
      </w:r>
      <w:r w:rsidR="00727233">
        <w:rPr>
          <w:szCs w:val="24"/>
        </w:rPr>
        <w:t xml:space="preserve">prosent fra september/oktober 2013 til samme tidspunkt i 2014, mot </w:t>
      </w:r>
      <w:r w:rsidR="003031B8">
        <w:rPr>
          <w:szCs w:val="24"/>
        </w:rPr>
        <w:t>3,</w:t>
      </w:r>
      <w:r w:rsidR="00A04E72">
        <w:rPr>
          <w:szCs w:val="24"/>
        </w:rPr>
        <w:t xml:space="preserve">1 </w:t>
      </w:r>
      <w:r w:rsidR="00727233">
        <w:rPr>
          <w:szCs w:val="24"/>
        </w:rPr>
        <w:t>prosent året før. For ledere av små foretak var lønnsveksten 1,7 prosent, mot 3,0 prosent året før.</w:t>
      </w:r>
    </w:p>
    <w:p w14:paraId="1D53A23B" w14:textId="77777777" w:rsidR="004B1A77" w:rsidRDefault="004B1A77" w:rsidP="004B1A77">
      <w:r>
        <w:t>I næringene olje- og gassutvinning og f</w:t>
      </w:r>
      <w:r w:rsidRPr="004A2D75">
        <w:t>aglig, vitenskapelig og teknisk tjenesteyting</w:t>
      </w:r>
      <w:r>
        <w:t xml:space="preserve"> var lønnsveksten for </w:t>
      </w:r>
      <w:r w:rsidRPr="00D92E03">
        <w:t>administrerende direktører</w:t>
      </w:r>
      <w:r>
        <w:t xml:space="preserve"> fra september/oktober 2013 til samme tidspunkt i 2014 høyere enn for lønnstakerne ellers i disse næringene. </w:t>
      </w:r>
    </w:p>
    <w:p w14:paraId="2C83709A" w14:textId="77777777" w:rsidR="00A07954" w:rsidRDefault="004B1A77" w:rsidP="004B1A77">
      <w:r>
        <w:t xml:space="preserve">Fra september/oktober 2012 til samme tidspunkt i 2013 var lønnsveksten høyere for administrerende direktører i næringene bygg- og anleggsvirksomhet, varehandel og IKT enn for lønnstakerne ellers i disse næringene.  </w:t>
      </w:r>
    </w:p>
    <w:p w14:paraId="49837C24" w14:textId="77777777" w:rsidR="00A07954" w:rsidRDefault="00A07954">
      <w:pPr>
        <w:spacing w:after="0"/>
      </w:pPr>
      <w:r>
        <w:br w:type="page"/>
      </w:r>
    </w:p>
    <w:p w14:paraId="543E53C2" w14:textId="00DB1847" w:rsidR="004B1A77" w:rsidRDefault="004B1A77" w:rsidP="006E305B">
      <w:pPr>
        <w:pStyle w:val="tabell-tittel"/>
        <w:numPr>
          <w:ilvl w:val="6"/>
          <w:numId w:val="31"/>
        </w:numPr>
      </w:pPr>
      <w:r w:rsidRPr="00023930">
        <w:t>Gjennomsnittslønn</w:t>
      </w:r>
      <w:r w:rsidRPr="00023930">
        <w:rPr>
          <w:vertAlign w:val="superscript"/>
        </w:rPr>
        <w:t>1</w:t>
      </w:r>
      <w:r w:rsidRPr="00023930">
        <w:t xml:space="preserve"> per september/oktober </w:t>
      </w:r>
      <w:r>
        <w:t xml:space="preserve">2013 og </w:t>
      </w:r>
      <w:r w:rsidRPr="00023930">
        <w:t>201</w:t>
      </w:r>
      <w:r>
        <w:t>4</w:t>
      </w:r>
      <w:r w:rsidRPr="00023930">
        <w:t xml:space="preserve"> for </w:t>
      </w:r>
      <w:r w:rsidR="00BD6674">
        <w:t xml:space="preserve">heltidsansatte </w:t>
      </w:r>
      <w:r w:rsidRPr="00023930">
        <w:t>administrerende direktører</w:t>
      </w:r>
      <w:r w:rsidRPr="00023930">
        <w:rPr>
          <w:vertAlign w:val="superscript"/>
        </w:rPr>
        <w:t>2</w:t>
      </w:r>
      <w:r w:rsidRPr="00023930">
        <w:t xml:space="preserve"> og ledere</w:t>
      </w:r>
      <w:r w:rsidRPr="00023930">
        <w:rPr>
          <w:vertAlign w:val="superscript"/>
        </w:rPr>
        <w:t>3</w:t>
      </w:r>
      <w:r w:rsidRPr="00023930">
        <w:t xml:space="preserve"> av små foretak i enkelte næringer. Eksklusive opsjons- og naturalytelser. Lønnsvekst fra året før i prosent. </w:t>
      </w:r>
    </w:p>
    <w:tbl>
      <w:tblPr>
        <w:tblStyle w:val="TrykketTabell"/>
        <w:tblW w:w="5139" w:type="pct"/>
        <w:tblCellMar>
          <w:left w:w="57" w:type="dxa"/>
          <w:right w:w="57" w:type="dxa"/>
        </w:tblCellMar>
        <w:tblLook w:val="04A0" w:firstRow="1" w:lastRow="0" w:firstColumn="1" w:lastColumn="0" w:noHBand="0" w:noVBand="1"/>
      </w:tblPr>
      <w:tblGrid>
        <w:gridCol w:w="2907"/>
        <w:gridCol w:w="613"/>
        <w:gridCol w:w="608"/>
        <w:gridCol w:w="1128"/>
        <w:gridCol w:w="888"/>
        <w:gridCol w:w="120"/>
        <w:gridCol w:w="681"/>
        <w:gridCol w:w="594"/>
        <w:gridCol w:w="1128"/>
        <w:gridCol w:w="888"/>
      </w:tblGrid>
      <w:tr w:rsidR="004B1A77" w:rsidRPr="008A3235" w14:paraId="7E2F258F" w14:textId="77777777" w:rsidTr="00A47F02">
        <w:trPr>
          <w:cnfStyle w:val="100000000000" w:firstRow="1" w:lastRow="0" w:firstColumn="0" w:lastColumn="0" w:oddVBand="0" w:evenVBand="0" w:oddHBand="0" w:evenHBand="0" w:firstRowFirstColumn="0" w:firstRowLastColumn="0" w:lastRowFirstColumn="0" w:lastRowLastColumn="0"/>
          <w:trHeight w:val="361"/>
        </w:trPr>
        <w:tc>
          <w:tcPr>
            <w:tcW w:w="1597" w:type="pct"/>
            <w:tcBorders>
              <w:bottom w:val="nil"/>
            </w:tcBorders>
            <w:vAlign w:val="bottom"/>
          </w:tcPr>
          <w:p w14:paraId="76201BC8" w14:textId="77777777" w:rsidR="004B1A77" w:rsidRPr="008A3235" w:rsidRDefault="004B1A77" w:rsidP="00795948">
            <w:pPr>
              <w:rPr>
                <w:rFonts w:ascii="Times New Roman" w:hAnsi="Times New Roman"/>
              </w:rPr>
            </w:pPr>
          </w:p>
        </w:tc>
        <w:tc>
          <w:tcPr>
            <w:tcW w:w="1639" w:type="pct"/>
            <w:gridSpan w:val="4"/>
            <w:vAlign w:val="bottom"/>
          </w:tcPr>
          <w:p w14:paraId="48D6AD7C" w14:textId="77777777" w:rsidR="004B1A77" w:rsidRPr="008A3235" w:rsidRDefault="004B1A77" w:rsidP="00795948">
            <w:pPr>
              <w:jc w:val="center"/>
              <w:rPr>
                <w:rFonts w:ascii="Times New Roman" w:hAnsi="Times New Roman"/>
              </w:rPr>
            </w:pPr>
            <w:r w:rsidRPr="008A3235">
              <w:rPr>
                <w:rFonts w:ascii="Times New Roman" w:hAnsi="Times New Roman"/>
              </w:rPr>
              <w:t>Administrerende direktører</w:t>
            </w:r>
          </w:p>
        </w:tc>
        <w:tc>
          <w:tcPr>
            <w:tcW w:w="64" w:type="pct"/>
            <w:vAlign w:val="bottom"/>
          </w:tcPr>
          <w:p w14:paraId="6ECA4230" w14:textId="77777777" w:rsidR="004B1A77" w:rsidRPr="008A3235" w:rsidRDefault="004B1A77" w:rsidP="00795948">
            <w:pPr>
              <w:jc w:val="center"/>
              <w:rPr>
                <w:rFonts w:ascii="Times New Roman" w:hAnsi="Times New Roman"/>
              </w:rPr>
            </w:pPr>
          </w:p>
        </w:tc>
        <w:tc>
          <w:tcPr>
            <w:tcW w:w="1700" w:type="pct"/>
            <w:gridSpan w:val="4"/>
            <w:vAlign w:val="bottom"/>
          </w:tcPr>
          <w:p w14:paraId="605A2AF7" w14:textId="77777777" w:rsidR="004B1A77" w:rsidRPr="008A3235" w:rsidRDefault="004B1A77" w:rsidP="00795948">
            <w:pPr>
              <w:jc w:val="center"/>
              <w:rPr>
                <w:rFonts w:ascii="Times New Roman" w:hAnsi="Times New Roman"/>
              </w:rPr>
            </w:pPr>
            <w:r w:rsidRPr="008A3235">
              <w:rPr>
                <w:rFonts w:ascii="Times New Roman" w:hAnsi="Times New Roman"/>
              </w:rPr>
              <w:t>Ledere av små foretak</w:t>
            </w:r>
          </w:p>
        </w:tc>
      </w:tr>
      <w:tr w:rsidR="004B1A77" w:rsidRPr="008A3235" w14:paraId="0B0D9D53" w14:textId="77777777" w:rsidTr="00A47F02">
        <w:trPr>
          <w:trHeight w:val="628"/>
        </w:trPr>
        <w:tc>
          <w:tcPr>
            <w:tcW w:w="1597" w:type="pct"/>
            <w:tcBorders>
              <w:top w:val="nil"/>
              <w:bottom w:val="single" w:sz="4" w:space="0" w:color="auto"/>
            </w:tcBorders>
            <w:vAlign w:val="bottom"/>
          </w:tcPr>
          <w:p w14:paraId="71C0EB5D" w14:textId="77777777" w:rsidR="004B1A77" w:rsidRPr="008A3235" w:rsidRDefault="004B1A77" w:rsidP="00795948">
            <w:pPr>
              <w:rPr>
                <w:rFonts w:ascii="Times New Roman" w:hAnsi="Times New Roman"/>
              </w:rPr>
            </w:pPr>
          </w:p>
        </w:tc>
        <w:tc>
          <w:tcPr>
            <w:tcW w:w="620" w:type="pct"/>
            <w:gridSpan w:val="2"/>
            <w:tcBorders>
              <w:top w:val="single" w:sz="4" w:space="0" w:color="auto"/>
              <w:bottom w:val="single" w:sz="4" w:space="0" w:color="auto"/>
            </w:tcBorders>
            <w:vAlign w:val="bottom"/>
          </w:tcPr>
          <w:p w14:paraId="111237EA" w14:textId="77777777" w:rsidR="004B1A77" w:rsidRPr="008A3235" w:rsidRDefault="004B1A77" w:rsidP="00795948">
            <w:pPr>
              <w:jc w:val="center"/>
              <w:rPr>
                <w:rFonts w:ascii="Times New Roman" w:hAnsi="Times New Roman"/>
              </w:rPr>
            </w:pPr>
            <w:r w:rsidRPr="008A3235">
              <w:rPr>
                <w:rFonts w:ascii="Times New Roman" w:hAnsi="Times New Roman"/>
              </w:rPr>
              <w:t>Lønnsvekst</w:t>
            </w:r>
          </w:p>
        </w:tc>
        <w:tc>
          <w:tcPr>
            <w:tcW w:w="570" w:type="pct"/>
            <w:tcBorders>
              <w:top w:val="single" w:sz="4" w:space="0" w:color="auto"/>
              <w:bottom w:val="single" w:sz="4" w:space="0" w:color="auto"/>
            </w:tcBorders>
            <w:vAlign w:val="bottom"/>
          </w:tcPr>
          <w:p w14:paraId="02F7B97E" w14:textId="77777777" w:rsidR="004B1A77" w:rsidRPr="008A3235" w:rsidRDefault="004B1A77" w:rsidP="00795948">
            <w:pPr>
              <w:jc w:val="right"/>
              <w:rPr>
                <w:rFonts w:ascii="Times New Roman" w:hAnsi="Times New Roman"/>
              </w:rPr>
            </w:pPr>
            <w:r w:rsidRPr="008A3235">
              <w:rPr>
                <w:rFonts w:ascii="Times New Roman" w:hAnsi="Times New Roman"/>
              </w:rPr>
              <w:t xml:space="preserve">Lønnsnivå </w:t>
            </w:r>
          </w:p>
        </w:tc>
        <w:tc>
          <w:tcPr>
            <w:tcW w:w="449" w:type="pct"/>
            <w:tcBorders>
              <w:top w:val="single" w:sz="4" w:space="0" w:color="auto"/>
              <w:bottom w:val="single" w:sz="4" w:space="0" w:color="auto"/>
            </w:tcBorders>
            <w:vAlign w:val="bottom"/>
          </w:tcPr>
          <w:p w14:paraId="7493D410" w14:textId="77777777" w:rsidR="004B1A77" w:rsidRPr="008A3235" w:rsidRDefault="004B1A77" w:rsidP="00795948">
            <w:pPr>
              <w:jc w:val="center"/>
              <w:rPr>
                <w:rFonts w:ascii="Times New Roman" w:hAnsi="Times New Roman"/>
              </w:rPr>
            </w:pPr>
            <w:r w:rsidRPr="008A3235">
              <w:rPr>
                <w:rFonts w:ascii="Times New Roman" w:hAnsi="Times New Roman"/>
              </w:rPr>
              <w:t xml:space="preserve">Antall i utvalget </w:t>
            </w:r>
          </w:p>
        </w:tc>
        <w:tc>
          <w:tcPr>
            <w:tcW w:w="64" w:type="pct"/>
            <w:tcBorders>
              <w:top w:val="single" w:sz="4" w:space="0" w:color="auto"/>
              <w:bottom w:val="single" w:sz="4" w:space="0" w:color="auto"/>
            </w:tcBorders>
            <w:vAlign w:val="bottom"/>
          </w:tcPr>
          <w:p w14:paraId="663B59FB" w14:textId="77777777" w:rsidR="004B1A77" w:rsidRPr="008A3235" w:rsidRDefault="004B1A77" w:rsidP="00795948">
            <w:pPr>
              <w:jc w:val="center"/>
              <w:rPr>
                <w:rFonts w:ascii="Times New Roman" w:hAnsi="Times New Roman"/>
              </w:rPr>
            </w:pPr>
          </w:p>
        </w:tc>
        <w:tc>
          <w:tcPr>
            <w:tcW w:w="682" w:type="pct"/>
            <w:gridSpan w:val="2"/>
            <w:tcBorders>
              <w:top w:val="single" w:sz="4" w:space="0" w:color="auto"/>
              <w:bottom w:val="single" w:sz="4" w:space="0" w:color="auto"/>
            </w:tcBorders>
            <w:vAlign w:val="bottom"/>
          </w:tcPr>
          <w:p w14:paraId="0DF7DFCF" w14:textId="77777777" w:rsidR="004B1A77" w:rsidRPr="008A3235" w:rsidRDefault="004B1A77" w:rsidP="00795948">
            <w:pPr>
              <w:jc w:val="center"/>
              <w:rPr>
                <w:rFonts w:ascii="Times New Roman" w:hAnsi="Times New Roman"/>
              </w:rPr>
            </w:pPr>
            <w:r w:rsidRPr="008A3235">
              <w:rPr>
                <w:rFonts w:ascii="Times New Roman" w:hAnsi="Times New Roman"/>
              </w:rPr>
              <w:t>Lønnsvekst</w:t>
            </w:r>
          </w:p>
        </w:tc>
        <w:tc>
          <w:tcPr>
            <w:tcW w:w="570" w:type="pct"/>
            <w:tcBorders>
              <w:top w:val="single" w:sz="4" w:space="0" w:color="auto"/>
              <w:bottom w:val="single" w:sz="4" w:space="0" w:color="auto"/>
            </w:tcBorders>
            <w:vAlign w:val="bottom"/>
          </w:tcPr>
          <w:p w14:paraId="7951B1B5" w14:textId="77777777" w:rsidR="004B1A77" w:rsidRPr="008A3235" w:rsidRDefault="004B1A77" w:rsidP="00795948">
            <w:pPr>
              <w:jc w:val="right"/>
              <w:rPr>
                <w:rFonts w:ascii="Times New Roman" w:hAnsi="Times New Roman"/>
              </w:rPr>
            </w:pPr>
            <w:r w:rsidRPr="008A3235">
              <w:rPr>
                <w:rFonts w:ascii="Times New Roman" w:hAnsi="Times New Roman"/>
              </w:rPr>
              <w:t xml:space="preserve">Lønnsnivå </w:t>
            </w:r>
          </w:p>
        </w:tc>
        <w:tc>
          <w:tcPr>
            <w:tcW w:w="449" w:type="pct"/>
            <w:tcBorders>
              <w:top w:val="single" w:sz="4" w:space="0" w:color="auto"/>
              <w:bottom w:val="single" w:sz="4" w:space="0" w:color="auto"/>
            </w:tcBorders>
            <w:vAlign w:val="bottom"/>
          </w:tcPr>
          <w:p w14:paraId="4E1B5EB8" w14:textId="77777777" w:rsidR="004B1A77" w:rsidRPr="008A3235" w:rsidRDefault="004B1A77" w:rsidP="00795948">
            <w:pPr>
              <w:jc w:val="right"/>
              <w:rPr>
                <w:rFonts w:ascii="Times New Roman" w:hAnsi="Times New Roman"/>
              </w:rPr>
            </w:pPr>
            <w:r w:rsidRPr="008A3235">
              <w:rPr>
                <w:rFonts w:ascii="Times New Roman" w:hAnsi="Times New Roman"/>
              </w:rPr>
              <w:t>Antall i utvalget</w:t>
            </w:r>
          </w:p>
        </w:tc>
      </w:tr>
      <w:tr w:rsidR="00A47F02" w:rsidRPr="008A3235" w14:paraId="6A041896" w14:textId="77777777" w:rsidTr="00A47F02">
        <w:trPr>
          <w:trHeight w:val="361"/>
        </w:trPr>
        <w:tc>
          <w:tcPr>
            <w:tcW w:w="1597" w:type="pct"/>
            <w:tcBorders>
              <w:top w:val="single" w:sz="4" w:space="0" w:color="auto"/>
              <w:bottom w:val="single" w:sz="4" w:space="0" w:color="auto"/>
            </w:tcBorders>
            <w:vAlign w:val="bottom"/>
          </w:tcPr>
          <w:p w14:paraId="245942E2" w14:textId="77777777" w:rsidR="004B1A77" w:rsidRPr="008A3235" w:rsidRDefault="004B1A77" w:rsidP="00795948">
            <w:pPr>
              <w:spacing w:after="0"/>
              <w:ind w:left="284"/>
              <w:rPr>
                <w:rFonts w:ascii="Times New Roman" w:hAnsi="Times New Roman"/>
                <w:lang w:eastAsia="nb-NO"/>
              </w:rPr>
            </w:pPr>
          </w:p>
        </w:tc>
        <w:tc>
          <w:tcPr>
            <w:tcW w:w="311" w:type="pct"/>
            <w:tcBorders>
              <w:top w:val="single" w:sz="4" w:space="0" w:color="auto"/>
              <w:bottom w:val="single" w:sz="4" w:space="0" w:color="auto"/>
            </w:tcBorders>
            <w:vAlign w:val="bottom"/>
          </w:tcPr>
          <w:p w14:paraId="0F67A7C1"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2013</w:t>
            </w:r>
          </w:p>
        </w:tc>
        <w:tc>
          <w:tcPr>
            <w:tcW w:w="309" w:type="pct"/>
            <w:tcBorders>
              <w:top w:val="single" w:sz="4" w:space="0" w:color="auto"/>
              <w:bottom w:val="single" w:sz="4" w:space="0" w:color="auto"/>
            </w:tcBorders>
            <w:vAlign w:val="bottom"/>
          </w:tcPr>
          <w:p w14:paraId="169B4DD0"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2014</w:t>
            </w:r>
          </w:p>
        </w:tc>
        <w:tc>
          <w:tcPr>
            <w:tcW w:w="570" w:type="pct"/>
            <w:tcBorders>
              <w:top w:val="single" w:sz="4" w:space="0" w:color="auto"/>
              <w:bottom w:val="single" w:sz="4" w:space="0" w:color="auto"/>
            </w:tcBorders>
            <w:vAlign w:val="bottom"/>
          </w:tcPr>
          <w:p w14:paraId="5F04EEF7" w14:textId="77777777" w:rsidR="004B1A77" w:rsidRPr="008A3235" w:rsidRDefault="004B1A77" w:rsidP="00795948">
            <w:pPr>
              <w:spacing w:after="0"/>
              <w:jc w:val="right"/>
              <w:rPr>
                <w:rFonts w:ascii="Times New Roman" w:hAnsi="Times New Roman"/>
                <w:color w:val="000000"/>
                <w:lang w:eastAsia="nb-NO"/>
              </w:rPr>
            </w:pPr>
            <w:r w:rsidRPr="008A3235">
              <w:rPr>
                <w:rFonts w:ascii="Times New Roman" w:hAnsi="Times New Roman"/>
                <w:color w:val="000000"/>
              </w:rPr>
              <w:t>2014</w:t>
            </w:r>
          </w:p>
        </w:tc>
        <w:tc>
          <w:tcPr>
            <w:tcW w:w="449" w:type="pct"/>
            <w:tcBorders>
              <w:top w:val="single" w:sz="4" w:space="0" w:color="auto"/>
              <w:bottom w:val="single" w:sz="4" w:space="0" w:color="auto"/>
            </w:tcBorders>
            <w:vAlign w:val="bottom"/>
          </w:tcPr>
          <w:p w14:paraId="5B5061BB"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2014</w:t>
            </w:r>
          </w:p>
        </w:tc>
        <w:tc>
          <w:tcPr>
            <w:tcW w:w="64" w:type="pct"/>
            <w:tcBorders>
              <w:top w:val="single" w:sz="4" w:space="0" w:color="auto"/>
              <w:bottom w:val="single" w:sz="4" w:space="0" w:color="auto"/>
            </w:tcBorders>
            <w:vAlign w:val="bottom"/>
          </w:tcPr>
          <w:p w14:paraId="35C22145" w14:textId="77777777" w:rsidR="004B1A77" w:rsidRPr="008A3235" w:rsidRDefault="004B1A77" w:rsidP="00795948">
            <w:pPr>
              <w:spacing w:after="0"/>
              <w:jc w:val="right"/>
              <w:rPr>
                <w:rFonts w:ascii="Times New Roman" w:hAnsi="Times New Roman"/>
                <w:lang w:eastAsia="nb-NO"/>
              </w:rPr>
            </w:pPr>
          </w:p>
        </w:tc>
        <w:tc>
          <w:tcPr>
            <w:tcW w:w="380" w:type="pct"/>
            <w:tcBorders>
              <w:top w:val="single" w:sz="4" w:space="0" w:color="auto"/>
              <w:bottom w:val="single" w:sz="4" w:space="0" w:color="auto"/>
            </w:tcBorders>
            <w:vAlign w:val="bottom"/>
          </w:tcPr>
          <w:p w14:paraId="738321D7"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2013</w:t>
            </w:r>
          </w:p>
        </w:tc>
        <w:tc>
          <w:tcPr>
            <w:tcW w:w="302" w:type="pct"/>
            <w:tcBorders>
              <w:top w:val="single" w:sz="4" w:space="0" w:color="auto"/>
              <w:bottom w:val="single" w:sz="4" w:space="0" w:color="auto"/>
            </w:tcBorders>
            <w:vAlign w:val="bottom"/>
          </w:tcPr>
          <w:p w14:paraId="08B623C7"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2014</w:t>
            </w:r>
          </w:p>
        </w:tc>
        <w:tc>
          <w:tcPr>
            <w:tcW w:w="570" w:type="pct"/>
            <w:tcBorders>
              <w:top w:val="single" w:sz="4" w:space="0" w:color="auto"/>
              <w:bottom w:val="single" w:sz="4" w:space="0" w:color="auto"/>
            </w:tcBorders>
            <w:vAlign w:val="bottom"/>
          </w:tcPr>
          <w:p w14:paraId="4E8747B5"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2014</w:t>
            </w:r>
          </w:p>
        </w:tc>
        <w:tc>
          <w:tcPr>
            <w:tcW w:w="449" w:type="pct"/>
            <w:tcBorders>
              <w:top w:val="single" w:sz="4" w:space="0" w:color="auto"/>
              <w:bottom w:val="single" w:sz="4" w:space="0" w:color="auto"/>
            </w:tcBorders>
            <w:vAlign w:val="bottom"/>
          </w:tcPr>
          <w:p w14:paraId="36D6D05C"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2014</w:t>
            </w:r>
          </w:p>
        </w:tc>
      </w:tr>
      <w:tr w:rsidR="00A47F02" w:rsidRPr="008A3235" w14:paraId="54A2F326" w14:textId="77777777" w:rsidTr="00A47F02">
        <w:trPr>
          <w:trHeight w:val="373"/>
        </w:trPr>
        <w:tc>
          <w:tcPr>
            <w:tcW w:w="1597" w:type="pct"/>
            <w:tcBorders>
              <w:top w:val="single" w:sz="4" w:space="0" w:color="auto"/>
              <w:bottom w:val="nil"/>
            </w:tcBorders>
            <w:vAlign w:val="bottom"/>
          </w:tcPr>
          <w:p w14:paraId="3A30110D" w14:textId="77777777" w:rsidR="004B1A77" w:rsidRPr="008A3235" w:rsidRDefault="004B1A77" w:rsidP="00795948">
            <w:pPr>
              <w:spacing w:after="0"/>
              <w:ind w:left="33"/>
              <w:rPr>
                <w:rFonts w:ascii="Times New Roman" w:hAnsi="Times New Roman"/>
              </w:rPr>
            </w:pPr>
            <w:r w:rsidRPr="008A3235">
              <w:rPr>
                <w:rFonts w:ascii="Times New Roman" w:hAnsi="Times New Roman"/>
              </w:rPr>
              <w:t>Olje- og gassutvinning inkl. tjenesteyting</w:t>
            </w:r>
          </w:p>
        </w:tc>
        <w:tc>
          <w:tcPr>
            <w:tcW w:w="311" w:type="pct"/>
            <w:tcBorders>
              <w:top w:val="single" w:sz="4" w:space="0" w:color="auto"/>
              <w:bottom w:val="nil"/>
            </w:tcBorders>
            <w:vAlign w:val="bottom"/>
          </w:tcPr>
          <w:p w14:paraId="610B0267" w14:textId="77777777" w:rsidR="004B1A77" w:rsidRPr="008A3235" w:rsidRDefault="004B1A77" w:rsidP="00795948">
            <w:pPr>
              <w:spacing w:after="0"/>
              <w:jc w:val="right"/>
              <w:rPr>
                <w:rFonts w:ascii="Times New Roman" w:hAnsi="Times New Roman"/>
              </w:rPr>
            </w:pPr>
            <w:r w:rsidRPr="008A3235">
              <w:rPr>
                <w:rFonts w:ascii="Times New Roman" w:hAnsi="Times New Roman"/>
              </w:rPr>
              <w:t>21,5</w:t>
            </w:r>
          </w:p>
        </w:tc>
        <w:tc>
          <w:tcPr>
            <w:tcW w:w="309" w:type="pct"/>
            <w:tcBorders>
              <w:top w:val="single" w:sz="4" w:space="0" w:color="auto"/>
              <w:bottom w:val="nil"/>
            </w:tcBorders>
            <w:vAlign w:val="bottom"/>
          </w:tcPr>
          <w:p w14:paraId="7E680BB8" w14:textId="77777777" w:rsidR="004B1A77" w:rsidRPr="008A3235" w:rsidRDefault="004B1A77" w:rsidP="00795948">
            <w:pPr>
              <w:spacing w:after="0"/>
              <w:jc w:val="right"/>
              <w:rPr>
                <w:rFonts w:ascii="Times New Roman" w:hAnsi="Times New Roman"/>
              </w:rPr>
            </w:pPr>
            <w:r w:rsidRPr="008A3235">
              <w:rPr>
                <w:rFonts w:ascii="Times New Roman" w:hAnsi="Times New Roman"/>
              </w:rPr>
              <w:t>5,6</w:t>
            </w:r>
          </w:p>
        </w:tc>
        <w:tc>
          <w:tcPr>
            <w:tcW w:w="570" w:type="pct"/>
            <w:tcBorders>
              <w:top w:val="single" w:sz="4" w:space="0" w:color="auto"/>
              <w:bottom w:val="nil"/>
            </w:tcBorders>
            <w:vAlign w:val="bottom"/>
          </w:tcPr>
          <w:p w14:paraId="78969E08" w14:textId="77777777" w:rsidR="004B1A77" w:rsidRPr="008A3235" w:rsidRDefault="004B1A77" w:rsidP="00795948">
            <w:pPr>
              <w:spacing w:after="0"/>
              <w:jc w:val="right"/>
              <w:rPr>
                <w:rFonts w:ascii="Times New Roman" w:hAnsi="Times New Roman"/>
                <w:color w:val="000000"/>
              </w:rPr>
            </w:pPr>
            <w:r w:rsidRPr="008A3235">
              <w:rPr>
                <w:rFonts w:ascii="Times New Roman" w:hAnsi="Times New Roman"/>
                <w:color w:val="000000"/>
              </w:rPr>
              <w:t>2 041 200</w:t>
            </w:r>
          </w:p>
        </w:tc>
        <w:tc>
          <w:tcPr>
            <w:tcW w:w="449" w:type="pct"/>
            <w:tcBorders>
              <w:top w:val="single" w:sz="4" w:space="0" w:color="auto"/>
              <w:bottom w:val="nil"/>
            </w:tcBorders>
            <w:vAlign w:val="bottom"/>
          </w:tcPr>
          <w:p w14:paraId="4539936A" w14:textId="77777777" w:rsidR="004B1A77" w:rsidRPr="008A3235" w:rsidRDefault="004B1A77" w:rsidP="00795948">
            <w:pPr>
              <w:spacing w:after="0"/>
              <w:jc w:val="right"/>
              <w:rPr>
                <w:rFonts w:ascii="Times New Roman" w:hAnsi="Times New Roman"/>
              </w:rPr>
            </w:pPr>
            <w:r w:rsidRPr="008A3235">
              <w:rPr>
                <w:rFonts w:ascii="Times New Roman" w:hAnsi="Times New Roman"/>
              </w:rPr>
              <w:t>102</w:t>
            </w:r>
          </w:p>
        </w:tc>
        <w:tc>
          <w:tcPr>
            <w:tcW w:w="64" w:type="pct"/>
            <w:tcBorders>
              <w:top w:val="single" w:sz="4" w:space="0" w:color="auto"/>
              <w:bottom w:val="nil"/>
            </w:tcBorders>
            <w:vAlign w:val="bottom"/>
          </w:tcPr>
          <w:p w14:paraId="4CD922BF" w14:textId="77777777" w:rsidR="004B1A77" w:rsidRPr="008A3235" w:rsidRDefault="004B1A77" w:rsidP="00795948">
            <w:pPr>
              <w:spacing w:after="0"/>
              <w:jc w:val="right"/>
              <w:rPr>
                <w:rFonts w:ascii="Times New Roman" w:hAnsi="Times New Roman"/>
              </w:rPr>
            </w:pPr>
          </w:p>
        </w:tc>
        <w:tc>
          <w:tcPr>
            <w:tcW w:w="380" w:type="pct"/>
            <w:tcBorders>
              <w:top w:val="single" w:sz="4" w:space="0" w:color="auto"/>
              <w:bottom w:val="nil"/>
            </w:tcBorders>
            <w:vAlign w:val="bottom"/>
          </w:tcPr>
          <w:p w14:paraId="4116E00A" w14:textId="77777777" w:rsidR="004B1A77" w:rsidRPr="008A3235" w:rsidRDefault="004B1A77" w:rsidP="00795948">
            <w:pPr>
              <w:spacing w:after="0"/>
              <w:jc w:val="right"/>
              <w:rPr>
                <w:rFonts w:ascii="Times New Roman" w:hAnsi="Times New Roman"/>
              </w:rPr>
            </w:pPr>
            <w:r w:rsidRPr="008A3235">
              <w:rPr>
                <w:rFonts w:ascii="Times New Roman" w:hAnsi="Times New Roman"/>
              </w:rPr>
              <w:t>-</w:t>
            </w:r>
          </w:p>
        </w:tc>
        <w:tc>
          <w:tcPr>
            <w:tcW w:w="302" w:type="pct"/>
            <w:tcBorders>
              <w:top w:val="single" w:sz="4" w:space="0" w:color="auto"/>
              <w:bottom w:val="nil"/>
            </w:tcBorders>
            <w:vAlign w:val="bottom"/>
          </w:tcPr>
          <w:p w14:paraId="259DB3A1" w14:textId="77777777" w:rsidR="004B1A77" w:rsidRPr="008A3235" w:rsidRDefault="004B1A77" w:rsidP="00795948">
            <w:pPr>
              <w:spacing w:after="0"/>
              <w:jc w:val="right"/>
              <w:rPr>
                <w:rFonts w:ascii="Times New Roman" w:hAnsi="Times New Roman"/>
              </w:rPr>
            </w:pPr>
            <w:r w:rsidRPr="008A3235">
              <w:rPr>
                <w:rFonts w:ascii="Times New Roman" w:hAnsi="Times New Roman"/>
              </w:rPr>
              <w:t>-</w:t>
            </w:r>
          </w:p>
        </w:tc>
        <w:tc>
          <w:tcPr>
            <w:tcW w:w="570" w:type="pct"/>
            <w:tcBorders>
              <w:top w:val="single" w:sz="4" w:space="0" w:color="auto"/>
              <w:bottom w:val="nil"/>
            </w:tcBorders>
            <w:vAlign w:val="bottom"/>
          </w:tcPr>
          <w:p w14:paraId="2E00F2B8" w14:textId="77777777" w:rsidR="004B1A77" w:rsidRPr="008A3235" w:rsidRDefault="004B1A77" w:rsidP="00795948">
            <w:pPr>
              <w:spacing w:after="0"/>
              <w:jc w:val="right"/>
              <w:rPr>
                <w:rFonts w:ascii="Times New Roman" w:hAnsi="Times New Roman"/>
              </w:rPr>
            </w:pPr>
            <w:r w:rsidRPr="008A3235">
              <w:rPr>
                <w:rFonts w:ascii="Times New Roman" w:hAnsi="Times New Roman"/>
              </w:rPr>
              <w:t>-</w:t>
            </w:r>
          </w:p>
        </w:tc>
        <w:tc>
          <w:tcPr>
            <w:tcW w:w="449" w:type="pct"/>
            <w:tcBorders>
              <w:top w:val="single" w:sz="4" w:space="0" w:color="auto"/>
              <w:bottom w:val="nil"/>
            </w:tcBorders>
            <w:vAlign w:val="bottom"/>
          </w:tcPr>
          <w:p w14:paraId="756C3E67" w14:textId="77777777" w:rsidR="004B1A77" w:rsidRPr="008A3235" w:rsidRDefault="004B1A77" w:rsidP="00795948">
            <w:pPr>
              <w:spacing w:after="0"/>
              <w:jc w:val="right"/>
              <w:rPr>
                <w:rFonts w:ascii="Times New Roman" w:hAnsi="Times New Roman"/>
              </w:rPr>
            </w:pPr>
            <w:r w:rsidRPr="008A3235">
              <w:rPr>
                <w:rFonts w:ascii="Times New Roman" w:hAnsi="Times New Roman"/>
              </w:rPr>
              <w:t>-</w:t>
            </w:r>
          </w:p>
        </w:tc>
      </w:tr>
      <w:tr w:rsidR="00A47F02" w:rsidRPr="008A3235" w14:paraId="298FD59D" w14:textId="77777777" w:rsidTr="00A47F02">
        <w:trPr>
          <w:trHeight w:val="373"/>
        </w:trPr>
        <w:tc>
          <w:tcPr>
            <w:tcW w:w="1597" w:type="pct"/>
            <w:tcBorders>
              <w:top w:val="nil"/>
            </w:tcBorders>
            <w:vAlign w:val="bottom"/>
          </w:tcPr>
          <w:p w14:paraId="0A56CADB" w14:textId="77777777" w:rsidR="004B1A77" w:rsidRPr="008A3235" w:rsidRDefault="004B1A77" w:rsidP="00795948">
            <w:pPr>
              <w:spacing w:after="0"/>
              <w:ind w:left="33"/>
              <w:rPr>
                <w:rFonts w:ascii="Times New Roman" w:hAnsi="Times New Roman"/>
                <w:lang w:eastAsia="nb-NO"/>
              </w:rPr>
            </w:pPr>
            <w:r w:rsidRPr="008A3235">
              <w:rPr>
                <w:rFonts w:ascii="Times New Roman" w:hAnsi="Times New Roman"/>
              </w:rPr>
              <w:t>Industri</w:t>
            </w:r>
          </w:p>
        </w:tc>
        <w:tc>
          <w:tcPr>
            <w:tcW w:w="311" w:type="pct"/>
            <w:vAlign w:val="bottom"/>
          </w:tcPr>
          <w:p w14:paraId="3EB0E310"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0,8</w:t>
            </w:r>
          </w:p>
        </w:tc>
        <w:tc>
          <w:tcPr>
            <w:tcW w:w="309" w:type="pct"/>
            <w:tcBorders>
              <w:top w:val="nil"/>
            </w:tcBorders>
            <w:vAlign w:val="bottom"/>
          </w:tcPr>
          <w:p w14:paraId="2303BCCC"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0,9</w:t>
            </w:r>
          </w:p>
        </w:tc>
        <w:tc>
          <w:tcPr>
            <w:tcW w:w="570" w:type="pct"/>
            <w:tcBorders>
              <w:top w:val="nil"/>
            </w:tcBorders>
            <w:vAlign w:val="bottom"/>
          </w:tcPr>
          <w:p w14:paraId="616EABBC" w14:textId="77777777" w:rsidR="004B1A77" w:rsidRPr="008A3235" w:rsidRDefault="004B1A77" w:rsidP="00795948">
            <w:pPr>
              <w:spacing w:after="0"/>
              <w:jc w:val="right"/>
              <w:rPr>
                <w:rFonts w:ascii="Times New Roman" w:hAnsi="Times New Roman"/>
                <w:color w:val="000000"/>
                <w:lang w:eastAsia="nb-NO"/>
              </w:rPr>
            </w:pPr>
            <w:r w:rsidRPr="008A3235">
              <w:rPr>
                <w:rFonts w:ascii="Times New Roman" w:hAnsi="Times New Roman"/>
                <w:color w:val="000000"/>
                <w:lang w:eastAsia="nb-NO"/>
              </w:rPr>
              <w:t>1 029 600</w:t>
            </w:r>
          </w:p>
        </w:tc>
        <w:tc>
          <w:tcPr>
            <w:tcW w:w="449" w:type="pct"/>
            <w:tcBorders>
              <w:top w:val="nil"/>
            </w:tcBorders>
            <w:vAlign w:val="bottom"/>
          </w:tcPr>
          <w:p w14:paraId="6DBF2C07"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1123</w:t>
            </w:r>
          </w:p>
        </w:tc>
        <w:tc>
          <w:tcPr>
            <w:tcW w:w="64" w:type="pct"/>
            <w:tcBorders>
              <w:top w:val="nil"/>
            </w:tcBorders>
            <w:vAlign w:val="bottom"/>
          </w:tcPr>
          <w:p w14:paraId="5A08F57D" w14:textId="77777777" w:rsidR="004B1A77" w:rsidRPr="008A3235" w:rsidRDefault="004B1A77" w:rsidP="00795948">
            <w:pPr>
              <w:spacing w:after="0"/>
              <w:jc w:val="right"/>
              <w:rPr>
                <w:rFonts w:ascii="Times New Roman" w:hAnsi="Times New Roman"/>
                <w:lang w:eastAsia="nb-NO"/>
              </w:rPr>
            </w:pPr>
          </w:p>
        </w:tc>
        <w:tc>
          <w:tcPr>
            <w:tcW w:w="380" w:type="pct"/>
            <w:tcBorders>
              <w:top w:val="nil"/>
            </w:tcBorders>
            <w:vAlign w:val="bottom"/>
          </w:tcPr>
          <w:p w14:paraId="24BE9A72"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6,4</w:t>
            </w:r>
          </w:p>
        </w:tc>
        <w:tc>
          <w:tcPr>
            <w:tcW w:w="302" w:type="pct"/>
            <w:tcBorders>
              <w:top w:val="nil"/>
            </w:tcBorders>
            <w:vAlign w:val="bottom"/>
          </w:tcPr>
          <w:p w14:paraId="3F37DFAE"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3,4</w:t>
            </w:r>
          </w:p>
        </w:tc>
        <w:tc>
          <w:tcPr>
            <w:tcW w:w="570" w:type="pct"/>
            <w:tcBorders>
              <w:top w:val="nil"/>
            </w:tcBorders>
            <w:vAlign w:val="bottom"/>
          </w:tcPr>
          <w:p w14:paraId="5D8CEF00"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662 400</w:t>
            </w:r>
          </w:p>
        </w:tc>
        <w:tc>
          <w:tcPr>
            <w:tcW w:w="449" w:type="pct"/>
            <w:tcBorders>
              <w:top w:val="nil"/>
            </w:tcBorders>
            <w:vAlign w:val="bottom"/>
          </w:tcPr>
          <w:p w14:paraId="02B9B636"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494</w:t>
            </w:r>
          </w:p>
        </w:tc>
      </w:tr>
      <w:tr w:rsidR="004B1A77" w:rsidRPr="008A3235" w14:paraId="0A1F12A1" w14:textId="77777777" w:rsidTr="00A47F02">
        <w:trPr>
          <w:trHeight w:val="618"/>
        </w:trPr>
        <w:tc>
          <w:tcPr>
            <w:tcW w:w="1597" w:type="pct"/>
            <w:vAlign w:val="bottom"/>
          </w:tcPr>
          <w:p w14:paraId="0E02B105" w14:textId="77777777" w:rsidR="004B1A77" w:rsidRPr="008A3235" w:rsidRDefault="004B1A77" w:rsidP="00795948">
            <w:pPr>
              <w:spacing w:after="0"/>
              <w:ind w:left="33"/>
              <w:rPr>
                <w:rFonts w:ascii="Times New Roman" w:hAnsi="Times New Roman"/>
                <w:lang w:eastAsia="nb-NO"/>
              </w:rPr>
            </w:pPr>
            <w:r w:rsidRPr="008A3235">
              <w:rPr>
                <w:rFonts w:ascii="Times New Roman" w:hAnsi="Times New Roman"/>
              </w:rPr>
              <w:t>Bygg- og anleggsvirksomhet</w:t>
            </w:r>
          </w:p>
        </w:tc>
        <w:tc>
          <w:tcPr>
            <w:tcW w:w="311" w:type="pct"/>
            <w:vAlign w:val="bottom"/>
          </w:tcPr>
          <w:p w14:paraId="184DD427"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3,4</w:t>
            </w:r>
          </w:p>
        </w:tc>
        <w:tc>
          <w:tcPr>
            <w:tcW w:w="309" w:type="pct"/>
            <w:vAlign w:val="bottom"/>
          </w:tcPr>
          <w:p w14:paraId="7CD08CA5"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2,3</w:t>
            </w:r>
          </w:p>
        </w:tc>
        <w:tc>
          <w:tcPr>
            <w:tcW w:w="570" w:type="pct"/>
            <w:vAlign w:val="bottom"/>
          </w:tcPr>
          <w:p w14:paraId="67B083C9"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816 000</w:t>
            </w:r>
          </w:p>
        </w:tc>
        <w:tc>
          <w:tcPr>
            <w:tcW w:w="449" w:type="pct"/>
            <w:vAlign w:val="bottom"/>
          </w:tcPr>
          <w:p w14:paraId="79BC9AF2"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834</w:t>
            </w:r>
          </w:p>
        </w:tc>
        <w:tc>
          <w:tcPr>
            <w:tcW w:w="64" w:type="pct"/>
            <w:vAlign w:val="bottom"/>
          </w:tcPr>
          <w:p w14:paraId="53912974" w14:textId="77777777" w:rsidR="004B1A77" w:rsidRPr="008A3235" w:rsidRDefault="004B1A77" w:rsidP="00795948">
            <w:pPr>
              <w:spacing w:after="0"/>
              <w:jc w:val="right"/>
              <w:rPr>
                <w:rFonts w:ascii="Times New Roman" w:hAnsi="Times New Roman"/>
                <w:lang w:eastAsia="nb-NO"/>
              </w:rPr>
            </w:pPr>
          </w:p>
        </w:tc>
        <w:tc>
          <w:tcPr>
            <w:tcW w:w="380" w:type="pct"/>
            <w:vAlign w:val="bottom"/>
          </w:tcPr>
          <w:p w14:paraId="02F02495"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2,2</w:t>
            </w:r>
          </w:p>
        </w:tc>
        <w:tc>
          <w:tcPr>
            <w:tcW w:w="302" w:type="pct"/>
            <w:vAlign w:val="bottom"/>
          </w:tcPr>
          <w:p w14:paraId="51B808A6"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4,0</w:t>
            </w:r>
          </w:p>
        </w:tc>
        <w:tc>
          <w:tcPr>
            <w:tcW w:w="570" w:type="pct"/>
            <w:vAlign w:val="bottom"/>
          </w:tcPr>
          <w:p w14:paraId="1C309BB4"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631 200</w:t>
            </w:r>
          </w:p>
        </w:tc>
        <w:tc>
          <w:tcPr>
            <w:tcW w:w="449" w:type="pct"/>
            <w:vAlign w:val="bottom"/>
          </w:tcPr>
          <w:p w14:paraId="0FD2193E"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640</w:t>
            </w:r>
          </w:p>
        </w:tc>
      </w:tr>
      <w:tr w:rsidR="004B1A77" w:rsidRPr="008A3235" w14:paraId="38DDBBC4" w14:textId="77777777" w:rsidTr="00A47F02">
        <w:trPr>
          <w:trHeight w:val="373"/>
        </w:trPr>
        <w:tc>
          <w:tcPr>
            <w:tcW w:w="1597" w:type="pct"/>
            <w:vAlign w:val="bottom"/>
          </w:tcPr>
          <w:p w14:paraId="651A5951" w14:textId="77777777" w:rsidR="004B1A77" w:rsidRPr="008A3235" w:rsidRDefault="004B1A77" w:rsidP="00795948">
            <w:pPr>
              <w:spacing w:after="0"/>
              <w:ind w:left="33"/>
              <w:rPr>
                <w:rFonts w:ascii="Times New Roman" w:hAnsi="Times New Roman"/>
                <w:lang w:eastAsia="nb-NO"/>
              </w:rPr>
            </w:pPr>
            <w:r w:rsidRPr="008A3235">
              <w:rPr>
                <w:rFonts w:ascii="Times New Roman" w:hAnsi="Times New Roman"/>
              </w:rPr>
              <w:t>Varehandel</w:t>
            </w:r>
          </w:p>
        </w:tc>
        <w:tc>
          <w:tcPr>
            <w:tcW w:w="311" w:type="pct"/>
            <w:vAlign w:val="bottom"/>
          </w:tcPr>
          <w:p w14:paraId="3EE1666C"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6,6</w:t>
            </w:r>
          </w:p>
        </w:tc>
        <w:tc>
          <w:tcPr>
            <w:tcW w:w="309" w:type="pct"/>
            <w:vAlign w:val="bottom"/>
          </w:tcPr>
          <w:p w14:paraId="68230996"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÷4,4</w:t>
            </w:r>
          </w:p>
        </w:tc>
        <w:tc>
          <w:tcPr>
            <w:tcW w:w="570" w:type="pct"/>
            <w:vAlign w:val="bottom"/>
          </w:tcPr>
          <w:p w14:paraId="23339CDB"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756 000</w:t>
            </w:r>
          </w:p>
        </w:tc>
        <w:tc>
          <w:tcPr>
            <w:tcW w:w="449" w:type="pct"/>
            <w:vAlign w:val="bottom"/>
          </w:tcPr>
          <w:p w14:paraId="0E153D7A"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3 525</w:t>
            </w:r>
          </w:p>
        </w:tc>
        <w:tc>
          <w:tcPr>
            <w:tcW w:w="64" w:type="pct"/>
            <w:vAlign w:val="bottom"/>
          </w:tcPr>
          <w:p w14:paraId="5FE42279" w14:textId="77777777" w:rsidR="004B1A77" w:rsidRPr="008A3235" w:rsidRDefault="004B1A77" w:rsidP="00795948">
            <w:pPr>
              <w:spacing w:after="0"/>
              <w:jc w:val="right"/>
              <w:rPr>
                <w:rFonts w:ascii="Times New Roman" w:hAnsi="Times New Roman"/>
                <w:lang w:eastAsia="nb-NO"/>
              </w:rPr>
            </w:pPr>
          </w:p>
        </w:tc>
        <w:tc>
          <w:tcPr>
            <w:tcW w:w="380" w:type="pct"/>
            <w:vAlign w:val="bottom"/>
          </w:tcPr>
          <w:p w14:paraId="4E0B5BCA"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2,2</w:t>
            </w:r>
          </w:p>
        </w:tc>
        <w:tc>
          <w:tcPr>
            <w:tcW w:w="302" w:type="pct"/>
            <w:vAlign w:val="bottom"/>
          </w:tcPr>
          <w:p w14:paraId="24CD3A70"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0,5</w:t>
            </w:r>
          </w:p>
        </w:tc>
        <w:tc>
          <w:tcPr>
            <w:tcW w:w="570" w:type="pct"/>
            <w:vAlign w:val="bottom"/>
          </w:tcPr>
          <w:p w14:paraId="70479D4C"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499 200</w:t>
            </w:r>
          </w:p>
        </w:tc>
        <w:tc>
          <w:tcPr>
            <w:tcW w:w="449" w:type="pct"/>
            <w:vAlign w:val="bottom"/>
          </w:tcPr>
          <w:p w14:paraId="066A58CF"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7 497</w:t>
            </w:r>
          </w:p>
        </w:tc>
      </w:tr>
      <w:tr w:rsidR="004B1A77" w:rsidRPr="008A3235" w14:paraId="46F96663" w14:textId="77777777" w:rsidTr="00A47F02">
        <w:trPr>
          <w:trHeight w:val="373"/>
        </w:trPr>
        <w:tc>
          <w:tcPr>
            <w:tcW w:w="1597" w:type="pct"/>
            <w:vAlign w:val="bottom"/>
          </w:tcPr>
          <w:p w14:paraId="2D791B61" w14:textId="77777777" w:rsidR="004B1A77" w:rsidRPr="008A3235" w:rsidRDefault="004B1A77" w:rsidP="00795948">
            <w:pPr>
              <w:spacing w:after="0"/>
              <w:ind w:left="33"/>
              <w:rPr>
                <w:rFonts w:ascii="Times New Roman" w:hAnsi="Times New Roman"/>
                <w:lang w:eastAsia="nb-NO"/>
              </w:rPr>
            </w:pPr>
            <w:r w:rsidRPr="008A3235">
              <w:rPr>
                <w:rFonts w:ascii="Times New Roman" w:hAnsi="Times New Roman"/>
              </w:rPr>
              <w:t>Samferdsel</w:t>
            </w:r>
          </w:p>
        </w:tc>
        <w:tc>
          <w:tcPr>
            <w:tcW w:w="311" w:type="pct"/>
            <w:vAlign w:val="bottom"/>
          </w:tcPr>
          <w:p w14:paraId="1A1C3587"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0,5</w:t>
            </w:r>
          </w:p>
        </w:tc>
        <w:tc>
          <w:tcPr>
            <w:tcW w:w="309" w:type="pct"/>
            <w:vAlign w:val="bottom"/>
          </w:tcPr>
          <w:p w14:paraId="473E34FD" w14:textId="77777777" w:rsidR="004B1A77" w:rsidRPr="008A3235" w:rsidRDefault="00CF59F9" w:rsidP="00795948">
            <w:pPr>
              <w:spacing w:after="0"/>
              <w:jc w:val="right"/>
              <w:rPr>
                <w:rFonts w:ascii="Times New Roman" w:hAnsi="Times New Roman"/>
                <w:lang w:eastAsia="nb-NO"/>
              </w:rPr>
            </w:pPr>
            <w:r>
              <w:rPr>
                <w:rFonts w:ascii="Times New Roman" w:hAnsi="Times New Roman"/>
                <w:lang w:eastAsia="nb-NO"/>
              </w:rPr>
              <w:t>2,0</w:t>
            </w:r>
          </w:p>
        </w:tc>
        <w:tc>
          <w:tcPr>
            <w:tcW w:w="570" w:type="pct"/>
            <w:vAlign w:val="bottom"/>
          </w:tcPr>
          <w:p w14:paraId="3883A98C" w14:textId="77777777" w:rsidR="004B1A77" w:rsidRPr="008A3235" w:rsidRDefault="00CF59F9" w:rsidP="00795948">
            <w:pPr>
              <w:spacing w:after="0"/>
              <w:jc w:val="right"/>
              <w:rPr>
                <w:rFonts w:ascii="Times New Roman" w:hAnsi="Times New Roman"/>
                <w:lang w:eastAsia="nb-NO"/>
              </w:rPr>
            </w:pPr>
            <w:r>
              <w:rPr>
                <w:rFonts w:ascii="Times New Roman" w:hAnsi="Times New Roman"/>
                <w:lang w:eastAsia="nb-NO"/>
              </w:rPr>
              <w:t>958 800</w:t>
            </w:r>
          </w:p>
        </w:tc>
        <w:tc>
          <w:tcPr>
            <w:tcW w:w="449" w:type="pct"/>
            <w:vAlign w:val="bottom"/>
          </w:tcPr>
          <w:p w14:paraId="2E0C3F52" w14:textId="77777777" w:rsidR="004B1A77" w:rsidRPr="008A3235" w:rsidRDefault="00CF59F9" w:rsidP="00795948">
            <w:pPr>
              <w:spacing w:after="0"/>
              <w:jc w:val="right"/>
              <w:rPr>
                <w:rFonts w:ascii="Times New Roman" w:hAnsi="Times New Roman"/>
                <w:lang w:eastAsia="nb-NO"/>
              </w:rPr>
            </w:pPr>
            <w:r>
              <w:rPr>
                <w:rFonts w:ascii="Times New Roman" w:hAnsi="Times New Roman"/>
                <w:lang w:eastAsia="nb-NO"/>
              </w:rPr>
              <w:t>594</w:t>
            </w:r>
          </w:p>
        </w:tc>
        <w:tc>
          <w:tcPr>
            <w:tcW w:w="64" w:type="pct"/>
            <w:vAlign w:val="bottom"/>
          </w:tcPr>
          <w:p w14:paraId="26E5F000" w14:textId="77777777" w:rsidR="004B1A77" w:rsidRPr="008A3235" w:rsidRDefault="004B1A77" w:rsidP="00795948">
            <w:pPr>
              <w:spacing w:after="0"/>
              <w:jc w:val="right"/>
              <w:rPr>
                <w:rFonts w:ascii="Times New Roman" w:hAnsi="Times New Roman"/>
                <w:lang w:eastAsia="nb-NO"/>
              </w:rPr>
            </w:pPr>
          </w:p>
        </w:tc>
        <w:tc>
          <w:tcPr>
            <w:tcW w:w="380" w:type="pct"/>
            <w:vAlign w:val="bottom"/>
          </w:tcPr>
          <w:p w14:paraId="5E350737"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÷1,9</w:t>
            </w:r>
          </w:p>
        </w:tc>
        <w:tc>
          <w:tcPr>
            <w:tcW w:w="302" w:type="pct"/>
            <w:vAlign w:val="bottom"/>
          </w:tcPr>
          <w:p w14:paraId="3362B34E" w14:textId="77777777" w:rsidR="004B1A77" w:rsidRPr="008A3235" w:rsidRDefault="00CF59F9" w:rsidP="00795948">
            <w:pPr>
              <w:spacing w:after="0"/>
              <w:jc w:val="right"/>
              <w:rPr>
                <w:rFonts w:ascii="Times New Roman" w:hAnsi="Times New Roman"/>
                <w:lang w:eastAsia="nb-NO"/>
              </w:rPr>
            </w:pPr>
            <w:r>
              <w:rPr>
                <w:rFonts w:ascii="Times New Roman" w:hAnsi="Times New Roman"/>
                <w:lang w:eastAsia="nb-NO"/>
              </w:rPr>
              <w:t>11,0</w:t>
            </w:r>
          </w:p>
        </w:tc>
        <w:tc>
          <w:tcPr>
            <w:tcW w:w="570" w:type="pct"/>
            <w:vAlign w:val="bottom"/>
          </w:tcPr>
          <w:p w14:paraId="6C858782" w14:textId="77777777" w:rsidR="004B1A77" w:rsidRPr="008A3235" w:rsidRDefault="00CF59F9" w:rsidP="00795948">
            <w:pPr>
              <w:spacing w:after="0"/>
              <w:jc w:val="right"/>
              <w:rPr>
                <w:rFonts w:ascii="Times New Roman" w:hAnsi="Times New Roman"/>
                <w:lang w:eastAsia="nb-NO"/>
              </w:rPr>
            </w:pPr>
            <w:r>
              <w:rPr>
                <w:rFonts w:ascii="Times New Roman" w:hAnsi="Times New Roman"/>
                <w:lang w:eastAsia="nb-NO"/>
              </w:rPr>
              <w:t>631 200</w:t>
            </w:r>
          </w:p>
        </w:tc>
        <w:tc>
          <w:tcPr>
            <w:tcW w:w="449" w:type="pct"/>
            <w:vAlign w:val="bottom"/>
          </w:tcPr>
          <w:p w14:paraId="59AC6DB4" w14:textId="77777777" w:rsidR="004B1A77" w:rsidRPr="008A3235" w:rsidRDefault="00CF59F9" w:rsidP="00795948">
            <w:pPr>
              <w:spacing w:after="0"/>
              <w:jc w:val="right"/>
              <w:rPr>
                <w:rFonts w:ascii="Times New Roman" w:hAnsi="Times New Roman"/>
                <w:lang w:eastAsia="nb-NO"/>
              </w:rPr>
            </w:pPr>
            <w:r>
              <w:rPr>
                <w:rFonts w:ascii="Times New Roman" w:hAnsi="Times New Roman"/>
                <w:lang w:eastAsia="nb-NO"/>
              </w:rPr>
              <w:t>289</w:t>
            </w:r>
          </w:p>
        </w:tc>
      </w:tr>
      <w:tr w:rsidR="00A47F02" w:rsidRPr="008A3235" w14:paraId="1C2CED95" w14:textId="77777777" w:rsidTr="00A47F02">
        <w:trPr>
          <w:trHeight w:val="373"/>
        </w:trPr>
        <w:tc>
          <w:tcPr>
            <w:tcW w:w="1597" w:type="pct"/>
            <w:vAlign w:val="bottom"/>
          </w:tcPr>
          <w:p w14:paraId="68D9AF31" w14:textId="77777777" w:rsidR="004B1A77" w:rsidRPr="008A3235" w:rsidRDefault="004B1A77" w:rsidP="00795948">
            <w:pPr>
              <w:spacing w:after="0"/>
              <w:ind w:left="33"/>
              <w:rPr>
                <w:rFonts w:ascii="Times New Roman" w:hAnsi="Times New Roman"/>
                <w:lang w:eastAsia="nb-NO"/>
              </w:rPr>
            </w:pPr>
            <w:r w:rsidRPr="008A3235">
              <w:rPr>
                <w:rFonts w:ascii="Times New Roman" w:hAnsi="Times New Roman"/>
              </w:rPr>
              <w:t>IKT</w:t>
            </w:r>
          </w:p>
        </w:tc>
        <w:tc>
          <w:tcPr>
            <w:tcW w:w="311" w:type="pct"/>
            <w:tcBorders>
              <w:bottom w:val="nil"/>
            </w:tcBorders>
            <w:vAlign w:val="bottom"/>
          </w:tcPr>
          <w:p w14:paraId="0222D2BB"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7,3</w:t>
            </w:r>
          </w:p>
        </w:tc>
        <w:tc>
          <w:tcPr>
            <w:tcW w:w="309" w:type="pct"/>
            <w:vAlign w:val="bottom"/>
          </w:tcPr>
          <w:p w14:paraId="0CFB00F1"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÷1,0</w:t>
            </w:r>
          </w:p>
        </w:tc>
        <w:tc>
          <w:tcPr>
            <w:tcW w:w="570" w:type="pct"/>
            <w:vAlign w:val="bottom"/>
          </w:tcPr>
          <w:p w14:paraId="145FC917"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1 134 000</w:t>
            </w:r>
          </w:p>
        </w:tc>
        <w:tc>
          <w:tcPr>
            <w:tcW w:w="449" w:type="pct"/>
            <w:vAlign w:val="bottom"/>
          </w:tcPr>
          <w:p w14:paraId="39B22FEB"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989</w:t>
            </w:r>
          </w:p>
        </w:tc>
        <w:tc>
          <w:tcPr>
            <w:tcW w:w="64" w:type="pct"/>
            <w:vAlign w:val="bottom"/>
          </w:tcPr>
          <w:p w14:paraId="03E51A49" w14:textId="77777777" w:rsidR="004B1A77" w:rsidRPr="008A3235" w:rsidRDefault="004B1A77" w:rsidP="00795948">
            <w:pPr>
              <w:spacing w:after="0"/>
              <w:jc w:val="right"/>
              <w:rPr>
                <w:rFonts w:ascii="Times New Roman" w:hAnsi="Times New Roman"/>
                <w:lang w:eastAsia="nb-NO"/>
              </w:rPr>
            </w:pPr>
          </w:p>
        </w:tc>
        <w:tc>
          <w:tcPr>
            <w:tcW w:w="380" w:type="pct"/>
            <w:vAlign w:val="bottom"/>
          </w:tcPr>
          <w:p w14:paraId="072E1E77"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1,0</w:t>
            </w:r>
          </w:p>
        </w:tc>
        <w:tc>
          <w:tcPr>
            <w:tcW w:w="302" w:type="pct"/>
            <w:vAlign w:val="bottom"/>
          </w:tcPr>
          <w:p w14:paraId="0F537AB3"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7,1</w:t>
            </w:r>
          </w:p>
        </w:tc>
        <w:tc>
          <w:tcPr>
            <w:tcW w:w="570" w:type="pct"/>
            <w:vAlign w:val="bottom"/>
          </w:tcPr>
          <w:p w14:paraId="1096D2BD"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904 800</w:t>
            </w:r>
          </w:p>
        </w:tc>
        <w:tc>
          <w:tcPr>
            <w:tcW w:w="449" w:type="pct"/>
            <w:vAlign w:val="bottom"/>
          </w:tcPr>
          <w:p w14:paraId="051F487F"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305</w:t>
            </w:r>
          </w:p>
        </w:tc>
      </w:tr>
      <w:tr w:rsidR="00A47F02" w:rsidRPr="008A3235" w14:paraId="1AFBD8AD" w14:textId="77777777" w:rsidTr="00A47F02">
        <w:trPr>
          <w:trHeight w:val="373"/>
        </w:trPr>
        <w:tc>
          <w:tcPr>
            <w:tcW w:w="1597" w:type="pct"/>
            <w:tcBorders>
              <w:bottom w:val="nil"/>
            </w:tcBorders>
            <w:vAlign w:val="bottom"/>
          </w:tcPr>
          <w:p w14:paraId="02A31E83" w14:textId="77777777" w:rsidR="004B1A77" w:rsidRPr="008A3235" w:rsidRDefault="004B1A77" w:rsidP="00795948">
            <w:pPr>
              <w:spacing w:after="0"/>
              <w:ind w:left="33"/>
              <w:rPr>
                <w:rFonts w:ascii="Times New Roman" w:hAnsi="Times New Roman"/>
                <w:lang w:eastAsia="nb-NO"/>
              </w:rPr>
            </w:pPr>
            <w:r w:rsidRPr="008A3235">
              <w:rPr>
                <w:rFonts w:ascii="Times New Roman" w:hAnsi="Times New Roman"/>
              </w:rPr>
              <w:t>Finanstjenester</w:t>
            </w:r>
          </w:p>
        </w:tc>
        <w:tc>
          <w:tcPr>
            <w:tcW w:w="311" w:type="pct"/>
            <w:tcBorders>
              <w:bottom w:val="nil"/>
            </w:tcBorders>
            <w:vAlign w:val="bottom"/>
          </w:tcPr>
          <w:p w14:paraId="46D62F9A"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4,4</w:t>
            </w:r>
          </w:p>
        </w:tc>
        <w:tc>
          <w:tcPr>
            <w:tcW w:w="309" w:type="pct"/>
            <w:tcBorders>
              <w:bottom w:val="nil"/>
            </w:tcBorders>
            <w:vAlign w:val="bottom"/>
          </w:tcPr>
          <w:p w14:paraId="21ED00A4"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0,9</w:t>
            </w:r>
            <w:r w:rsidRPr="008A3235">
              <w:rPr>
                <w:rFonts w:ascii="Times New Roman" w:hAnsi="Times New Roman"/>
                <w:vertAlign w:val="superscript"/>
                <w:lang w:eastAsia="nb-NO"/>
              </w:rPr>
              <w:t>4</w:t>
            </w:r>
          </w:p>
        </w:tc>
        <w:tc>
          <w:tcPr>
            <w:tcW w:w="570" w:type="pct"/>
            <w:tcBorders>
              <w:bottom w:val="nil"/>
            </w:tcBorders>
            <w:vAlign w:val="bottom"/>
          </w:tcPr>
          <w:p w14:paraId="1C3E47F5" w14:textId="77777777" w:rsidR="004B1A77" w:rsidRPr="008A3235" w:rsidRDefault="004B1A77" w:rsidP="00795948">
            <w:pPr>
              <w:spacing w:after="0"/>
              <w:jc w:val="right"/>
              <w:rPr>
                <w:rFonts w:ascii="Times New Roman" w:hAnsi="Times New Roman"/>
                <w:color w:val="000000"/>
                <w:lang w:eastAsia="nb-NO"/>
              </w:rPr>
            </w:pPr>
            <w:r w:rsidRPr="008A3235">
              <w:rPr>
                <w:rFonts w:ascii="Times New Roman" w:hAnsi="Times New Roman"/>
                <w:color w:val="000000"/>
                <w:lang w:eastAsia="nb-NO"/>
              </w:rPr>
              <w:t>1 683 600</w:t>
            </w:r>
          </w:p>
        </w:tc>
        <w:tc>
          <w:tcPr>
            <w:tcW w:w="449" w:type="pct"/>
            <w:tcBorders>
              <w:bottom w:val="nil"/>
            </w:tcBorders>
            <w:vAlign w:val="bottom"/>
          </w:tcPr>
          <w:p w14:paraId="1C5B3435"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608</w:t>
            </w:r>
          </w:p>
        </w:tc>
        <w:tc>
          <w:tcPr>
            <w:tcW w:w="64" w:type="pct"/>
            <w:tcBorders>
              <w:bottom w:val="nil"/>
            </w:tcBorders>
            <w:vAlign w:val="bottom"/>
          </w:tcPr>
          <w:p w14:paraId="71EEA38D" w14:textId="77777777" w:rsidR="004B1A77" w:rsidRPr="008A3235" w:rsidRDefault="004B1A77" w:rsidP="00795948">
            <w:pPr>
              <w:spacing w:after="0"/>
              <w:jc w:val="right"/>
              <w:rPr>
                <w:rFonts w:ascii="Times New Roman" w:hAnsi="Times New Roman"/>
                <w:lang w:eastAsia="nb-NO"/>
              </w:rPr>
            </w:pPr>
          </w:p>
        </w:tc>
        <w:tc>
          <w:tcPr>
            <w:tcW w:w="380" w:type="pct"/>
            <w:tcBorders>
              <w:bottom w:val="nil"/>
            </w:tcBorders>
            <w:vAlign w:val="bottom"/>
          </w:tcPr>
          <w:p w14:paraId="6B05514E"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w:t>
            </w:r>
          </w:p>
        </w:tc>
        <w:tc>
          <w:tcPr>
            <w:tcW w:w="302" w:type="pct"/>
            <w:tcBorders>
              <w:bottom w:val="nil"/>
            </w:tcBorders>
            <w:vAlign w:val="bottom"/>
          </w:tcPr>
          <w:p w14:paraId="460D0B8E"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w:t>
            </w:r>
          </w:p>
        </w:tc>
        <w:tc>
          <w:tcPr>
            <w:tcW w:w="570" w:type="pct"/>
            <w:tcBorders>
              <w:bottom w:val="nil"/>
            </w:tcBorders>
            <w:vAlign w:val="bottom"/>
          </w:tcPr>
          <w:p w14:paraId="7D8127EA"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w:t>
            </w:r>
          </w:p>
        </w:tc>
        <w:tc>
          <w:tcPr>
            <w:tcW w:w="449" w:type="pct"/>
            <w:tcBorders>
              <w:bottom w:val="nil"/>
            </w:tcBorders>
            <w:vAlign w:val="bottom"/>
          </w:tcPr>
          <w:p w14:paraId="5EE53A56"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w:t>
            </w:r>
          </w:p>
        </w:tc>
      </w:tr>
      <w:tr w:rsidR="00A47F02" w:rsidRPr="008A3235" w14:paraId="22AFA900" w14:textId="77777777" w:rsidTr="00A47F02">
        <w:trPr>
          <w:trHeight w:val="602"/>
        </w:trPr>
        <w:tc>
          <w:tcPr>
            <w:tcW w:w="1597" w:type="pct"/>
            <w:tcBorders>
              <w:bottom w:val="nil"/>
            </w:tcBorders>
            <w:vAlign w:val="bottom"/>
          </w:tcPr>
          <w:p w14:paraId="4AB419BF" w14:textId="77777777" w:rsidR="004B1A77" w:rsidRPr="008A3235" w:rsidRDefault="004B1A77" w:rsidP="00795948">
            <w:pPr>
              <w:spacing w:after="0"/>
              <w:ind w:left="33"/>
              <w:rPr>
                <w:rFonts w:ascii="Times New Roman" w:hAnsi="Times New Roman"/>
              </w:rPr>
            </w:pPr>
            <w:r w:rsidRPr="008A3235">
              <w:rPr>
                <w:rFonts w:ascii="Times New Roman" w:hAnsi="Times New Roman"/>
              </w:rPr>
              <w:t>Faglig, vitenskapelig og teknisk tjenesteyting</w:t>
            </w:r>
          </w:p>
        </w:tc>
        <w:tc>
          <w:tcPr>
            <w:tcW w:w="311" w:type="pct"/>
            <w:tcBorders>
              <w:top w:val="nil"/>
              <w:bottom w:val="nil"/>
            </w:tcBorders>
            <w:vAlign w:val="bottom"/>
          </w:tcPr>
          <w:p w14:paraId="7A4C975D" w14:textId="77777777" w:rsidR="004B1A77" w:rsidRPr="008A3235" w:rsidRDefault="004B1A77" w:rsidP="00795948">
            <w:pPr>
              <w:spacing w:after="0"/>
              <w:jc w:val="right"/>
              <w:rPr>
                <w:rFonts w:ascii="Times New Roman" w:hAnsi="Times New Roman"/>
              </w:rPr>
            </w:pPr>
            <w:r w:rsidRPr="008A3235">
              <w:rPr>
                <w:rFonts w:ascii="Times New Roman" w:hAnsi="Times New Roman"/>
              </w:rPr>
              <w:t>0,7</w:t>
            </w:r>
          </w:p>
        </w:tc>
        <w:tc>
          <w:tcPr>
            <w:tcW w:w="309" w:type="pct"/>
            <w:tcBorders>
              <w:bottom w:val="nil"/>
            </w:tcBorders>
            <w:vAlign w:val="bottom"/>
          </w:tcPr>
          <w:p w14:paraId="6757C8F6" w14:textId="77777777" w:rsidR="004B1A77" w:rsidRPr="008A3235" w:rsidRDefault="004B1A77" w:rsidP="00795948">
            <w:pPr>
              <w:spacing w:after="0"/>
              <w:jc w:val="right"/>
              <w:rPr>
                <w:rFonts w:ascii="Times New Roman" w:hAnsi="Times New Roman"/>
              </w:rPr>
            </w:pPr>
            <w:r w:rsidRPr="008A3235">
              <w:rPr>
                <w:rFonts w:ascii="Times New Roman" w:hAnsi="Times New Roman"/>
              </w:rPr>
              <w:t>4,9</w:t>
            </w:r>
          </w:p>
        </w:tc>
        <w:tc>
          <w:tcPr>
            <w:tcW w:w="570" w:type="pct"/>
            <w:tcBorders>
              <w:bottom w:val="nil"/>
            </w:tcBorders>
            <w:vAlign w:val="bottom"/>
          </w:tcPr>
          <w:p w14:paraId="2DC58113" w14:textId="77777777" w:rsidR="004B1A77" w:rsidRPr="008A3235" w:rsidRDefault="004B1A77" w:rsidP="00795948">
            <w:pPr>
              <w:spacing w:after="0"/>
              <w:jc w:val="right"/>
              <w:rPr>
                <w:rFonts w:ascii="Times New Roman" w:hAnsi="Times New Roman"/>
              </w:rPr>
            </w:pPr>
            <w:r w:rsidRPr="008A3235">
              <w:rPr>
                <w:rFonts w:ascii="Times New Roman" w:hAnsi="Times New Roman"/>
              </w:rPr>
              <w:t>1 105 200</w:t>
            </w:r>
          </w:p>
        </w:tc>
        <w:tc>
          <w:tcPr>
            <w:tcW w:w="449" w:type="pct"/>
            <w:tcBorders>
              <w:bottom w:val="nil"/>
            </w:tcBorders>
            <w:vAlign w:val="bottom"/>
          </w:tcPr>
          <w:p w14:paraId="0CF58B79" w14:textId="77777777" w:rsidR="004B1A77" w:rsidRPr="008A3235" w:rsidRDefault="004B1A77" w:rsidP="00795948">
            <w:pPr>
              <w:spacing w:after="0"/>
              <w:jc w:val="right"/>
              <w:rPr>
                <w:rFonts w:ascii="Times New Roman" w:hAnsi="Times New Roman"/>
              </w:rPr>
            </w:pPr>
            <w:r w:rsidRPr="008A3235">
              <w:rPr>
                <w:rFonts w:ascii="Times New Roman" w:hAnsi="Times New Roman"/>
              </w:rPr>
              <w:t>649</w:t>
            </w:r>
          </w:p>
        </w:tc>
        <w:tc>
          <w:tcPr>
            <w:tcW w:w="64" w:type="pct"/>
            <w:tcBorders>
              <w:bottom w:val="nil"/>
            </w:tcBorders>
            <w:vAlign w:val="bottom"/>
          </w:tcPr>
          <w:p w14:paraId="42F46511" w14:textId="77777777" w:rsidR="004B1A77" w:rsidRPr="008A3235" w:rsidRDefault="004B1A77" w:rsidP="00795948">
            <w:pPr>
              <w:spacing w:after="0"/>
              <w:jc w:val="right"/>
              <w:rPr>
                <w:rFonts w:ascii="Times New Roman" w:hAnsi="Times New Roman"/>
              </w:rPr>
            </w:pPr>
          </w:p>
        </w:tc>
        <w:tc>
          <w:tcPr>
            <w:tcW w:w="380" w:type="pct"/>
            <w:tcBorders>
              <w:bottom w:val="nil"/>
            </w:tcBorders>
            <w:vAlign w:val="bottom"/>
          </w:tcPr>
          <w:p w14:paraId="34D61B49" w14:textId="77777777" w:rsidR="004B1A77" w:rsidRPr="008A3235" w:rsidRDefault="004B1A77" w:rsidP="00795948">
            <w:pPr>
              <w:spacing w:after="0"/>
              <w:jc w:val="right"/>
              <w:rPr>
                <w:rFonts w:ascii="Times New Roman" w:hAnsi="Times New Roman"/>
              </w:rPr>
            </w:pPr>
            <w:r w:rsidRPr="008A3235">
              <w:rPr>
                <w:rFonts w:ascii="Times New Roman" w:hAnsi="Times New Roman"/>
              </w:rPr>
              <w:t>9,8</w:t>
            </w:r>
          </w:p>
        </w:tc>
        <w:tc>
          <w:tcPr>
            <w:tcW w:w="302" w:type="pct"/>
            <w:tcBorders>
              <w:bottom w:val="nil"/>
            </w:tcBorders>
            <w:vAlign w:val="bottom"/>
          </w:tcPr>
          <w:p w14:paraId="14E19EC2" w14:textId="77777777" w:rsidR="004B1A77" w:rsidRPr="008A3235" w:rsidRDefault="004B1A77" w:rsidP="00795948">
            <w:pPr>
              <w:spacing w:after="0"/>
              <w:jc w:val="right"/>
              <w:rPr>
                <w:rFonts w:ascii="Times New Roman" w:hAnsi="Times New Roman"/>
              </w:rPr>
            </w:pPr>
            <w:r w:rsidRPr="008A3235">
              <w:rPr>
                <w:rFonts w:ascii="Times New Roman" w:hAnsi="Times New Roman"/>
              </w:rPr>
              <w:t>2,4</w:t>
            </w:r>
          </w:p>
        </w:tc>
        <w:tc>
          <w:tcPr>
            <w:tcW w:w="570" w:type="pct"/>
            <w:tcBorders>
              <w:bottom w:val="nil"/>
            </w:tcBorders>
            <w:vAlign w:val="bottom"/>
          </w:tcPr>
          <w:p w14:paraId="2E9426C9" w14:textId="77777777" w:rsidR="004B1A77" w:rsidRPr="008A3235" w:rsidRDefault="004B1A77" w:rsidP="00795948">
            <w:pPr>
              <w:spacing w:after="0"/>
              <w:jc w:val="right"/>
              <w:rPr>
                <w:rFonts w:ascii="Times New Roman" w:hAnsi="Times New Roman"/>
              </w:rPr>
            </w:pPr>
            <w:r w:rsidRPr="008A3235">
              <w:rPr>
                <w:rFonts w:ascii="Times New Roman" w:hAnsi="Times New Roman"/>
              </w:rPr>
              <w:t>774 000</w:t>
            </w:r>
          </w:p>
        </w:tc>
        <w:tc>
          <w:tcPr>
            <w:tcW w:w="449" w:type="pct"/>
            <w:tcBorders>
              <w:bottom w:val="nil"/>
            </w:tcBorders>
            <w:vAlign w:val="bottom"/>
          </w:tcPr>
          <w:p w14:paraId="04A0AA3D" w14:textId="77777777" w:rsidR="004B1A77" w:rsidRPr="008A3235" w:rsidRDefault="004B1A77" w:rsidP="00795948">
            <w:pPr>
              <w:spacing w:after="0"/>
              <w:jc w:val="right"/>
              <w:rPr>
                <w:rFonts w:ascii="Times New Roman" w:hAnsi="Times New Roman"/>
              </w:rPr>
            </w:pPr>
            <w:r w:rsidRPr="008A3235">
              <w:rPr>
                <w:rFonts w:ascii="Times New Roman" w:hAnsi="Times New Roman"/>
              </w:rPr>
              <w:t>375</w:t>
            </w:r>
          </w:p>
        </w:tc>
      </w:tr>
      <w:tr w:rsidR="00A47F02" w:rsidRPr="008A3235" w14:paraId="0AC8021D" w14:textId="77777777" w:rsidTr="00A47F02">
        <w:trPr>
          <w:trHeight w:val="602"/>
        </w:trPr>
        <w:tc>
          <w:tcPr>
            <w:tcW w:w="1597" w:type="pct"/>
            <w:tcBorders>
              <w:top w:val="nil"/>
              <w:bottom w:val="single" w:sz="4" w:space="0" w:color="auto"/>
            </w:tcBorders>
            <w:vAlign w:val="bottom"/>
          </w:tcPr>
          <w:p w14:paraId="47F31960" w14:textId="77777777" w:rsidR="004B1A77" w:rsidRPr="008A3235" w:rsidRDefault="004B1A77" w:rsidP="00795948">
            <w:pPr>
              <w:spacing w:after="0"/>
              <w:ind w:left="33"/>
              <w:rPr>
                <w:rFonts w:ascii="Times New Roman" w:hAnsi="Times New Roman"/>
                <w:lang w:eastAsia="nb-NO"/>
              </w:rPr>
            </w:pPr>
            <w:r w:rsidRPr="008A3235">
              <w:rPr>
                <w:rFonts w:ascii="Times New Roman" w:hAnsi="Times New Roman"/>
              </w:rPr>
              <w:t>Forretningsmessig tjenesteyting</w:t>
            </w:r>
          </w:p>
        </w:tc>
        <w:tc>
          <w:tcPr>
            <w:tcW w:w="311" w:type="pct"/>
            <w:tcBorders>
              <w:top w:val="nil"/>
              <w:bottom w:val="single" w:sz="4" w:space="0" w:color="auto"/>
            </w:tcBorders>
            <w:vAlign w:val="bottom"/>
          </w:tcPr>
          <w:p w14:paraId="54215070"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0,0</w:t>
            </w:r>
          </w:p>
        </w:tc>
        <w:tc>
          <w:tcPr>
            <w:tcW w:w="309" w:type="pct"/>
            <w:tcBorders>
              <w:top w:val="nil"/>
              <w:bottom w:val="single" w:sz="4" w:space="0" w:color="auto"/>
            </w:tcBorders>
            <w:vAlign w:val="bottom"/>
          </w:tcPr>
          <w:p w14:paraId="1D17CD5A"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1,0</w:t>
            </w:r>
          </w:p>
        </w:tc>
        <w:tc>
          <w:tcPr>
            <w:tcW w:w="570" w:type="pct"/>
            <w:tcBorders>
              <w:top w:val="nil"/>
              <w:bottom w:val="single" w:sz="4" w:space="0" w:color="auto"/>
            </w:tcBorders>
            <w:vAlign w:val="bottom"/>
          </w:tcPr>
          <w:p w14:paraId="352DC86B"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888 000</w:t>
            </w:r>
          </w:p>
        </w:tc>
        <w:tc>
          <w:tcPr>
            <w:tcW w:w="449" w:type="pct"/>
            <w:tcBorders>
              <w:top w:val="nil"/>
              <w:bottom w:val="single" w:sz="4" w:space="0" w:color="auto"/>
            </w:tcBorders>
            <w:vAlign w:val="bottom"/>
          </w:tcPr>
          <w:p w14:paraId="386E78BA"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420</w:t>
            </w:r>
          </w:p>
        </w:tc>
        <w:tc>
          <w:tcPr>
            <w:tcW w:w="64" w:type="pct"/>
            <w:tcBorders>
              <w:top w:val="nil"/>
              <w:bottom w:val="single" w:sz="4" w:space="0" w:color="auto"/>
            </w:tcBorders>
            <w:vAlign w:val="bottom"/>
          </w:tcPr>
          <w:p w14:paraId="011A58D5" w14:textId="77777777" w:rsidR="004B1A77" w:rsidRPr="008A3235" w:rsidRDefault="004B1A77" w:rsidP="00795948">
            <w:pPr>
              <w:spacing w:after="0"/>
              <w:jc w:val="right"/>
              <w:rPr>
                <w:rFonts w:ascii="Times New Roman" w:hAnsi="Times New Roman"/>
                <w:lang w:eastAsia="nb-NO"/>
              </w:rPr>
            </w:pPr>
          </w:p>
        </w:tc>
        <w:tc>
          <w:tcPr>
            <w:tcW w:w="380" w:type="pct"/>
            <w:tcBorders>
              <w:top w:val="nil"/>
              <w:bottom w:val="single" w:sz="4" w:space="0" w:color="auto"/>
            </w:tcBorders>
            <w:vAlign w:val="bottom"/>
          </w:tcPr>
          <w:p w14:paraId="6ACE8E03"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rPr>
              <w:t>5,8</w:t>
            </w:r>
          </w:p>
        </w:tc>
        <w:tc>
          <w:tcPr>
            <w:tcW w:w="302" w:type="pct"/>
            <w:tcBorders>
              <w:top w:val="nil"/>
              <w:bottom w:val="single" w:sz="4" w:space="0" w:color="auto"/>
            </w:tcBorders>
            <w:vAlign w:val="bottom"/>
          </w:tcPr>
          <w:p w14:paraId="112AF07F"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2,4</w:t>
            </w:r>
          </w:p>
        </w:tc>
        <w:tc>
          <w:tcPr>
            <w:tcW w:w="570" w:type="pct"/>
            <w:tcBorders>
              <w:top w:val="nil"/>
              <w:bottom w:val="single" w:sz="4" w:space="0" w:color="auto"/>
            </w:tcBorders>
            <w:vAlign w:val="bottom"/>
          </w:tcPr>
          <w:p w14:paraId="3758EA44"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655 200</w:t>
            </w:r>
          </w:p>
        </w:tc>
        <w:tc>
          <w:tcPr>
            <w:tcW w:w="449" w:type="pct"/>
            <w:tcBorders>
              <w:top w:val="nil"/>
              <w:bottom w:val="single" w:sz="4" w:space="0" w:color="auto"/>
            </w:tcBorders>
            <w:vAlign w:val="bottom"/>
          </w:tcPr>
          <w:p w14:paraId="691FFA08" w14:textId="77777777" w:rsidR="004B1A77" w:rsidRPr="008A3235" w:rsidRDefault="004B1A77" w:rsidP="00795948">
            <w:pPr>
              <w:spacing w:after="0"/>
              <w:jc w:val="right"/>
              <w:rPr>
                <w:rFonts w:ascii="Times New Roman" w:hAnsi="Times New Roman"/>
                <w:lang w:eastAsia="nb-NO"/>
              </w:rPr>
            </w:pPr>
            <w:r w:rsidRPr="008A3235">
              <w:rPr>
                <w:rFonts w:ascii="Times New Roman" w:hAnsi="Times New Roman"/>
                <w:lang w:eastAsia="nb-NO"/>
              </w:rPr>
              <w:t>231</w:t>
            </w:r>
          </w:p>
        </w:tc>
      </w:tr>
      <w:tr w:rsidR="00A47F02" w:rsidRPr="008A3235" w14:paraId="15346EF0" w14:textId="77777777" w:rsidTr="00A47F02">
        <w:trPr>
          <w:trHeight w:val="602"/>
        </w:trPr>
        <w:tc>
          <w:tcPr>
            <w:tcW w:w="1597" w:type="pct"/>
            <w:tcBorders>
              <w:top w:val="single" w:sz="4" w:space="0" w:color="auto"/>
              <w:bottom w:val="single" w:sz="4" w:space="0" w:color="auto"/>
            </w:tcBorders>
            <w:vAlign w:val="bottom"/>
          </w:tcPr>
          <w:p w14:paraId="3605DA05" w14:textId="703F187B" w:rsidR="00CF59F9" w:rsidRPr="008A3235" w:rsidRDefault="00CF59F9" w:rsidP="00795948">
            <w:pPr>
              <w:spacing w:after="0"/>
              <w:ind w:left="33"/>
              <w:rPr>
                <w:rFonts w:ascii="Times New Roman" w:hAnsi="Times New Roman"/>
              </w:rPr>
            </w:pPr>
            <w:r>
              <w:rPr>
                <w:rFonts w:ascii="Times New Roman" w:hAnsi="Times New Roman"/>
              </w:rPr>
              <w:t>Alle næringer</w:t>
            </w:r>
            <w:r w:rsidR="00A47F02">
              <w:rPr>
                <w:rFonts w:ascii="Times New Roman" w:hAnsi="Times New Roman"/>
              </w:rPr>
              <w:t>/næringsvirksomhet samlet</w:t>
            </w:r>
          </w:p>
        </w:tc>
        <w:tc>
          <w:tcPr>
            <w:tcW w:w="311" w:type="pct"/>
            <w:tcBorders>
              <w:top w:val="single" w:sz="4" w:space="0" w:color="auto"/>
              <w:bottom w:val="single" w:sz="4" w:space="0" w:color="auto"/>
            </w:tcBorders>
            <w:vAlign w:val="bottom"/>
          </w:tcPr>
          <w:p w14:paraId="1989B03C" w14:textId="225F7BD9" w:rsidR="00CF59F9" w:rsidRPr="008A3235" w:rsidRDefault="00BD6674" w:rsidP="00977F76">
            <w:pPr>
              <w:spacing w:after="0"/>
              <w:jc w:val="right"/>
              <w:rPr>
                <w:rFonts w:ascii="Times New Roman" w:hAnsi="Times New Roman"/>
              </w:rPr>
            </w:pPr>
            <w:r>
              <w:rPr>
                <w:rFonts w:ascii="Times New Roman" w:hAnsi="Times New Roman"/>
              </w:rPr>
              <w:t>3,</w:t>
            </w:r>
            <w:r w:rsidR="00977F76">
              <w:rPr>
                <w:rFonts w:ascii="Times New Roman" w:hAnsi="Times New Roman"/>
              </w:rPr>
              <w:t>1</w:t>
            </w:r>
          </w:p>
        </w:tc>
        <w:tc>
          <w:tcPr>
            <w:tcW w:w="309" w:type="pct"/>
            <w:tcBorders>
              <w:top w:val="single" w:sz="4" w:space="0" w:color="auto"/>
              <w:bottom w:val="single" w:sz="4" w:space="0" w:color="auto"/>
            </w:tcBorders>
            <w:vAlign w:val="bottom"/>
          </w:tcPr>
          <w:p w14:paraId="523AAD09" w14:textId="441F092D" w:rsidR="00CF59F9" w:rsidRPr="008A3235" w:rsidRDefault="00CF59F9" w:rsidP="00977F76">
            <w:pPr>
              <w:spacing w:after="0"/>
              <w:jc w:val="right"/>
              <w:rPr>
                <w:rFonts w:ascii="Times New Roman" w:hAnsi="Times New Roman"/>
              </w:rPr>
            </w:pPr>
            <w:r>
              <w:rPr>
                <w:rFonts w:ascii="Times New Roman" w:hAnsi="Times New Roman"/>
              </w:rPr>
              <w:t>0,</w:t>
            </w:r>
            <w:r w:rsidR="00977F76">
              <w:rPr>
                <w:rFonts w:ascii="Times New Roman" w:hAnsi="Times New Roman"/>
              </w:rPr>
              <w:t>4</w:t>
            </w:r>
          </w:p>
        </w:tc>
        <w:tc>
          <w:tcPr>
            <w:tcW w:w="570" w:type="pct"/>
            <w:tcBorders>
              <w:top w:val="single" w:sz="4" w:space="0" w:color="auto"/>
              <w:bottom w:val="single" w:sz="4" w:space="0" w:color="auto"/>
            </w:tcBorders>
            <w:vAlign w:val="bottom"/>
          </w:tcPr>
          <w:p w14:paraId="300D17CC" w14:textId="7621737A" w:rsidR="00CF59F9" w:rsidRPr="008A3235" w:rsidRDefault="00977F76" w:rsidP="00977F76">
            <w:pPr>
              <w:spacing w:after="0"/>
              <w:jc w:val="right"/>
              <w:rPr>
                <w:rFonts w:ascii="Times New Roman" w:hAnsi="Times New Roman"/>
              </w:rPr>
            </w:pPr>
            <w:r>
              <w:rPr>
                <w:rFonts w:ascii="Times New Roman" w:hAnsi="Times New Roman"/>
              </w:rPr>
              <w:t>891 600</w:t>
            </w:r>
          </w:p>
        </w:tc>
        <w:tc>
          <w:tcPr>
            <w:tcW w:w="449" w:type="pct"/>
            <w:tcBorders>
              <w:top w:val="single" w:sz="4" w:space="0" w:color="auto"/>
              <w:bottom w:val="single" w:sz="4" w:space="0" w:color="auto"/>
            </w:tcBorders>
            <w:vAlign w:val="bottom"/>
          </w:tcPr>
          <w:p w14:paraId="0156CBAC" w14:textId="59FF11ED" w:rsidR="00CF59F9" w:rsidRPr="008A3235" w:rsidRDefault="00977F76" w:rsidP="00977F76">
            <w:pPr>
              <w:spacing w:after="0"/>
              <w:jc w:val="right"/>
              <w:rPr>
                <w:rFonts w:ascii="Times New Roman" w:hAnsi="Times New Roman"/>
              </w:rPr>
            </w:pPr>
            <w:r>
              <w:rPr>
                <w:rFonts w:ascii="Times New Roman" w:hAnsi="Times New Roman"/>
              </w:rPr>
              <w:t>12 066</w:t>
            </w:r>
          </w:p>
        </w:tc>
        <w:tc>
          <w:tcPr>
            <w:tcW w:w="64" w:type="pct"/>
            <w:tcBorders>
              <w:top w:val="single" w:sz="4" w:space="0" w:color="auto"/>
              <w:bottom w:val="single" w:sz="4" w:space="0" w:color="auto"/>
            </w:tcBorders>
            <w:vAlign w:val="bottom"/>
          </w:tcPr>
          <w:p w14:paraId="79D041CC" w14:textId="77777777" w:rsidR="00CF59F9" w:rsidRPr="008A3235" w:rsidRDefault="00CF59F9" w:rsidP="00795948">
            <w:pPr>
              <w:spacing w:after="0"/>
              <w:jc w:val="right"/>
              <w:rPr>
                <w:rFonts w:ascii="Times New Roman" w:hAnsi="Times New Roman"/>
              </w:rPr>
            </w:pPr>
          </w:p>
        </w:tc>
        <w:tc>
          <w:tcPr>
            <w:tcW w:w="380" w:type="pct"/>
            <w:tcBorders>
              <w:top w:val="single" w:sz="4" w:space="0" w:color="auto"/>
              <w:bottom w:val="single" w:sz="4" w:space="0" w:color="auto"/>
            </w:tcBorders>
            <w:vAlign w:val="bottom"/>
          </w:tcPr>
          <w:p w14:paraId="457937C8" w14:textId="77777777" w:rsidR="00CF59F9" w:rsidRPr="008A3235" w:rsidRDefault="00CF59F9" w:rsidP="00795948">
            <w:pPr>
              <w:spacing w:after="0"/>
              <w:jc w:val="right"/>
              <w:rPr>
                <w:rFonts w:ascii="Times New Roman" w:hAnsi="Times New Roman"/>
              </w:rPr>
            </w:pPr>
            <w:r>
              <w:rPr>
                <w:rFonts w:ascii="Times New Roman" w:hAnsi="Times New Roman"/>
              </w:rPr>
              <w:t>3,0</w:t>
            </w:r>
          </w:p>
        </w:tc>
        <w:tc>
          <w:tcPr>
            <w:tcW w:w="302" w:type="pct"/>
            <w:tcBorders>
              <w:top w:val="single" w:sz="4" w:space="0" w:color="auto"/>
              <w:bottom w:val="single" w:sz="4" w:space="0" w:color="auto"/>
            </w:tcBorders>
            <w:vAlign w:val="bottom"/>
          </w:tcPr>
          <w:p w14:paraId="565DBEA9" w14:textId="77777777" w:rsidR="00CF59F9" w:rsidRPr="008A3235" w:rsidRDefault="00CF59F9" w:rsidP="00795948">
            <w:pPr>
              <w:spacing w:after="0"/>
              <w:jc w:val="right"/>
              <w:rPr>
                <w:rFonts w:ascii="Times New Roman" w:hAnsi="Times New Roman"/>
              </w:rPr>
            </w:pPr>
            <w:r>
              <w:rPr>
                <w:rFonts w:ascii="Times New Roman" w:hAnsi="Times New Roman"/>
              </w:rPr>
              <w:t>1,7</w:t>
            </w:r>
          </w:p>
        </w:tc>
        <w:tc>
          <w:tcPr>
            <w:tcW w:w="570" w:type="pct"/>
            <w:tcBorders>
              <w:top w:val="single" w:sz="4" w:space="0" w:color="auto"/>
              <w:bottom w:val="single" w:sz="4" w:space="0" w:color="auto"/>
            </w:tcBorders>
            <w:vAlign w:val="bottom"/>
          </w:tcPr>
          <w:p w14:paraId="65682C6A" w14:textId="77777777" w:rsidR="00CF59F9" w:rsidRPr="008A3235" w:rsidRDefault="00A8320D" w:rsidP="00795948">
            <w:pPr>
              <w:spacing w:after="0"/>
              <w:jc w:val="right"/>
              <w:rPr>
                <w:rFonts w:ascii="Times New Roman" w:hAnsi="Times New Roman"/>
              </w:rPr>
            </w:pPr>
            <w:r>
              <w:rPr>
                <w:rFonts w:ascii="Times New Roman" w:hAnsi="Times New Roman"/>
              </w:rPr>
              <w:t>583 200</w:t>
            </w:r>
          </w:p>
        </w:tc>
        <w:tc>
          <w:tcPr>
            <w:tcW w:w="449" w:type="pct"/>
            <w:tcBorders>
              <w:top w:val="single" w:sz="4" w:space="0" w:color="auto"/>
              <w:bottom w:val="single" w:sz="4" w:space="0" w:color="auto"/>
            </w:tcBorders>
            <w:vAlign w:val="bottom"/>
          </w:tcPr>
          <w:p w14:paraId="687CC23C" w14:textId="295F88B1" w:rsidR="00CF59F9" w:rsidRPr="008A3235" w:rsidRDefault="00BD6674" w:rsidP="00977F76">
            <w:pPr>
              <w:spacing w:after="0"/>
              <w:jc w:val="right"/>
              <w:rPr>
                <w:rFonts w:ascii="Times New Roman" w:hAnsi="Times New Roman"/>
              </w:rPr>
            </w:pPr>
            <w:r>
              <w:rPr>
                <w:rFonts w:ascii="Times New Roman" w:hAnsi="Times New Roman"/>
              </w:rPr>
              <w:t xml:space="preserve">11 </w:t>
            </w:r>
            <w:r w:rsidR="00977F76">
              <w:rPr>
                <w:rFonts w:ascii="Times New Roman" w:hAnsi="Times New Roman"/>
              </w:rPr>
              <w:t>821</w:t>
            </w:r>
          </w:p>
        </w:tc>
      </w:tr>
    </w:tbl>
    <w:p w14:paraId="17909953" w14:textId="77777777" w:rsidR="004B1A77" w:rsidRDefault="004B1A77" w:rsidP="004B1A77">
      <w:pPr>
        <w:pStyle w:val="tabell-noter"/>
        <w:numPr>
          <w:ilvl w:val="0"/>
          <w:numId w:val="4"/>
        </w:numPr>
        <w:spacing w:after="0"/>
        <w:ind w:left="567" w:hanging="283"/>
      </w:pPr>
      <w:r w:rsidRPr="00A24982">
        <w:t xml:space="preserve">Månedslønn </w:t>
      </w:r>
      <w:r>
        <w:t>ekskl. overtid*12. Lønnsbegrepet o</w:t>
      </w:r>
      <w:r w:rsidRPr="00B91606">
        <w:t>mfatter avtalt lønn, uregelmessige tillegg</w:t>
      </w:r>
      <w:r>
        <w:t xml:space="preserve"> og bonus.</w:t>
      </w:r>
    </w:p>
    <w:p w14:paraId="2156B81B" w14:textId="77777777" w:rsidR="004B1A77" w:rsidRPr="00E46190" w:rsidRDefault="004B1A77" w:rsidP="004B1A77">
      <w:pPr>
        <w:pStyle w:val="tabell-noter"/>
        <w:numPr>
          <w:ilvl w:val="0"/>
          <w:numId w:val="4"/>
        </w:numPr>
        <w:spacing w:after="0"/>
        <w:ind w:left="567" w:hanging="283"/>
      </w:pPr>
      <w:r w:rsidRPr="00E46190">
        <w:t xml:space="preserve">Administrerende direktører </w:t>
      </w:r>
      <w:r>
        <w:t xml:space="preserve">og andre med lederfunksjoner </w:t>
      </w:r>
      <w:r w:rsidRPr="00E46190">
        <w:t xml:space="preserve">i foretak med 10 eller flere ansatte. </w:t>
      </w:r>
    </w:p>
    <w:p w14:paraId="16E1AB11" w14:textId="77777777" w:rsidR="004B1A77" w:rsidRDefault="004B1A77" w:rsidP="004B1A77">
      <w:pPr>
        <w:pStyle w:val="tabell-noter"/>
        <w:numPr>
          <w:ilvl w:val="0"/>
          <w:numId w:val="4"/>
        </w:numPr>
        <w:tabs>
          <w:tab w:val="num" w:pos="709"/>
        </w:tabs>
        <w:spacing w:after="0"/>
        <w:ind w:left="567" w:hanging="283"/>
      </w:pPr>
      <w:r w:rsidRPr="008F106D">
        <w:t xml:space="preserve">Ledere av små foretak med </w:t>
      </w:r>
      <w:r>
        <w:t xml:space="preserve">færre enn </w:t>
      </w:r>
      <w:r w:rsidRPr="008F106D">
        <w:t>10 ansatte</w:t>
      </w:r>
      <w:r>
        <w:t>.</w:t>
      </w:r>
    </w:p>
    <w:p w14:paraId="6A6C7B0C" w14:textId="77777777" w:rsidR="004B1A77" w:rsidRPr="001A5144" w:rsidRDefault="004B1A77" w:rsidP="004B1A77">
      <w:pPr>
        <w:pStyle w:val="tabell-noter"/>
        <w:numPr>
          <w:ilvl w:val="0"/>
          <w:numId w:val="4"/>
        </w:numPr>
        <w:tabs>
          <w:tab w:val="num" w:pos="709"/>
        </w:tabs>
        <w:spacing w:after="0"/>
        <w:ind w:left="567" w:hanging="283"/>
      </w:pPr>
      <w:r>
        <w:t xml:space="preserve">Gjennomsnittslønnen falt med 4,4 prosent fra 2013 til 2014 i Bank- og forsikringsvirksomhet, mens den økte med 10 prosent i Annen finansiell tjenesteyting. </w:t>
      </w:r>
    </w:p>
    <w:p w14:paraId="5EB96D53" w14:textId="77777777" w:rsidR="004B1A77" w:rsidRPr="00E2543C" w:rsidRDefault="004B1A77" w:rsidP="004B1A77">
      <w:pPr>
        <w:pStyle w:val="Kilde"/>
      </w:pPr>
      <w:r>
        <w:t>Kilde: Statistisk sentralbyrå, lønnsstatistikken.</w:t>
      </w:r>
    </w:p>
    <w:p w14:paraId="0AA3ED8F" w14:textId="77777777" w:rsidR="004B1A77" w:rsidRPr="00BA1C84" w:rsidRDefault="004B1A77" w:rsidP="008A3235">
      <w:pPr>
        <w:pStyle w:val="Overskrift3"/>
      </w:pPr>
      <w:bookmarkStart w:id="153" w:name="_Toc380506133"/>
      <w:bookmarkStart w:id="154" w:name="_Toc422226827"/>
      <w:r w:rsidRPr="00BA1C84">
        <w:t>Lønnsutviklingen for ledere inklusive opsjons- og naturalytelser</w:t>
      </w:r>
      <w:bookmarkEnd w:id="151"/>
      <w:bookmarkEnd w:id="152"/>
      <w:bookmarkEnd w:id="153"/>
      <w:bookmarkEnd w:id="154"/>
      <w:r w:rsidRPr="00BA1C84">
        <w:t xml:space="preserve"> </w:t>
      </w:r>
    </w:p>
    <w:p w14:paraId="4DDD49B6" w14:textId="77777777" w:rsidR="004B1A77" w:rsidRDefault="004B1A77" w:rsidP="008A3235">
      <w:r>
        <w:t>Beregningsutvalget presenterer i dette avsnittet en lønnsstatistikk fra Statistisk sentralbyrå for ledere i foretak utenom offentlig forvaltning og helseforetakene. Statistikken bygger på datamaterialet Statistisk sentralbyrå innhenter til lønnsstatistikken. Videre er det hentet tillegg</w:t>
      </w:r>
      <w:r w:rsidR="008A3235">
        <w:t>s</w:t>
      </w:r>
      <w:r>
        <w:t>informasjon fra LTO-registeret om opsjons- og naturalytelser. Statistikken dekker</w:t>
      </w:r>
      <w:r w:rsidR="008A3235">
        <w:t xml:space="preserve"> </w:t>
      </w:r>
      <w:r>
        <w:t>perioden 2004 til 2013. Denne lederlønnsstatistikken bygger på yrkesklassifiseringen for å definere ledere (jf. boks 1.</w:t>
      </w:r>
      <w:r w:rsidR="00727AA4">
        <w:t>2</w:t>
      </w:r>
      <w:r>
        <w:t xml:space="preserve">). Statistikken kan omfatte flere personer med lederfunksjoner i hvert foretak.  </w:t>
      </w:r>
    </w:p>
    <w:p w14:paraId="3D619EE3" w14:textId="77777777" w:rsidR="004B1A77" w:rsidRDefault="004B1A77" w:rsidP="008A3235">
      <w:r>
        <w:t>Lønnsveksten er regnet som endring fra september/oktober det ene året til samme tidspunktet året etter</w:t>
      </w:r>
      <w:r w:rsidR="006A6146">
        <w:t>,</w:t>
      </w:r>
      <w:r>
        <w:t xml:space="preserve"> og kan i det enkelte år ikke direkte sammenliknes med veksten i gjennomsnittlig årslønn fra det ene året til det andre slik den framkommer i tabell 1.1. Over tid vil det likevel bli stor grad av samsvar mellom disse to måtene å beregne lønnsveksten på. </w:t>
      </w:r>
    </w:p>
    <w:p w14:paraId="65194726" w14:textId="77777777" w:rsidR="004B1A77" w:rsidRDefault="004B1A77" w:rsidP="004B1A77">
      <w:r w:rsidRPr="00382D61">
        <w:t>Tabell 1.</w:t>
      </w:r>
      <w:r>
        <w:t>8</w:t>
      </w:r>
      <w:r w:rsidRPr="00382D61">
        <w:t xml:space="preserve"> viser at gjennomsnitt</w:t>
      </w:r>
      <w:r>
        <w:t>slønnen</w:t>
      </w:r>
      <w:r w:rsidRPr="00382D61">
        <w:t xml:space="preserve"> for administrerende direktører </w:t>
      </w:r>
      <w:r>
        <w:t>økte</w:t>
      </w:r>
      <w:r w:rsidRPr="00382D61">
        <w:t xml:space="preserve"> </w:t>
      </w:r>
      <w:r>
        <w:t xml:space="preserve">med 3,0 prosent fra </w:t>
      </w:r>
      <w:r w:rsidRPr="00382D61">
        <w:t>september/oktober 20</w:t>
      </w:r>
      <w:r>
        <w:t>12</w:t>
      </w:r>
      <w:r w:rsidRPr="00382D61">
        <w:t xml:space="preserve"> til samme tidspunkt i 201</w:t>
      </w:r>
      <w:r>
        <w:t>3</w:t>
      </w:r>
      <w:r w:rsidRPr="00382D61">
        <w:t xml:space="preserve">, mot </w:t>
      </w:r>
      <w:r>
        <w:t>nullvekst</w:t>
      </w:r>
      <w:r w:rsidRPr="00382D61">
        <w:t xml:space="preserve"> </w:t>
      </w:r>
      <w:r>
        <w:t xml:space="preserve">i tilsvarende periode </w:t>
      </w:r>
      <w:r w:rsidRPr="00382D61">
        <w:t xml:space="preserve">året før. Opsjons- og naturalytelser </w:t>
      </w:r>
      <w:r>
        <w:t xml:space="preserve">i kroner økte noe </w:t>
      </w:r>
      <w:r w:rsidRPr="00382D61">
        <w:t xml:space="preserve">for denne ledergruppen </w:t>
      </w:r>
      <w:r>
        <w:t>fra 2012 til</w:t>
      </w:r>
      <w:r w:rsidRPr="00382D61">
        <w:t xml:space="preserve"> 201</w:t>
      </w:r>
      <w:r>
        <w:t>3</w:t>
      </w:r>
      <w:r w:rsidRPr="00382D61">
        <w:t xml:space="preserve">. </w:t>
      </w:r>
      <w:r>
        <w:t xml:space="preserve">Lønnsveksten varierte i 2013 forholdsvis lite med foretaksstørrelse, fra </w:t>
      </w:r>
      <w:r>
        <w:rPr>
          <w:rFonts w:cs="Times"/>
        </w:rPr>
        <w:t>2,9</w:t>
      </w:r>
      <w:r>
        <w:t xml:space="preserve"> prosent for </w:t>
      </w:r>
      <w:r w:rsidRPr="00382D61">
        <w:t>administrerende direktører</w:t>
      </w:r>
      <w:r>
        <w:t xml:space="preserve"> i foretak med over 250 ansatte til </w:t>
      </w:r>
      <w:r w:rsidR="008A3235">
        <w:t xml:space="preserve">4,2 prosent i foretak med under </w:t>
      </w:r>
      <w:r>
        <w:t xml:space="preserve">25 ansatte. </w:t>
      </w:r>
      <w:r w:rsidRPr="00382D61">
        <w:t xml:space="preserve">For ledere i småbedrifter var lønnsveksten </w:t>
      </w:r>
      <w:r>
        <w:t>3,4</w:t>
      </w:r>
      <w:r w:rsidRPr="00382D61">
        <w:t xml:space="preserve"> prosent fra september/oktober 20</w:t>
      </w:r>
      <w:r>
        <w:t>12</w:t>
      </w:r>
      <w:r w:rsidRPr="00382D61">
        <w:t xml:space="preserve"> til september/oktober 201</w:t>
      </w:r>
      <w:r>
        <w:t>3</w:t>
      </w:r>
      <w:r w:rsidRPr="00382D61">
        <w:t xml:space="preserve">, mot </w:t>
      </w:r>
      <w:r>
        <w:t>2,8</w:t>
      </w:r>
      <w:r w:rsidRPr="00382D61">
        <w:t xml:space="preserve"> prosent året før. For alle ledere var veksten </w:t>
      </w:r>
      <w:r>
        <w:t xml:space="preserve">5,2 </w:t>
      </w:r>
      <w:r w:rsidRPr="00382D61">
        <w:t>prosent fra september/oktober 20</w:t>
      </w:r>
      <w:r>
        <w:t>12</w:t>
      </w:r>
      <w:r w:rsidRPr="00382D61">
        <w:t xml:space="preserve"> til september/oktober 201</w:t>
      </w:r>
      <w:r>
        <w:t>3</w:t>
      </w:r>
      <w:r w:rsidRPr="00382D61">
        <w:t xml:space="preserve">, mot </w:t>
      </w:r>
      <w:r>
        <w:t>1,8</w:t>
      </w:r>
      <w:r w:rsidRPr="00382D61">
        <w:t xml:space="preserve"> prosent året før.</w:t>
      </w:r>
      <w:r>
        <w:t xml:space="preserve"> Andelen som ledere i små bedrifter utgjorde av alle ledere, gikk ned fra 2012 til 2013. Dette trakk isolert sett opp samlet lønnsvekst for ledere i alt i 2013.</w:t>
      </w:r>
    </w:p>
    <w:p w14:paraId="15CB7119" w14:textId="77777777" w:rsidR="004B1A77" w:rsidRDefault="004B1A77" w:rsidP="004B1A77">
      <w:pPr>
        <w:pStyle w:val="tabell-tittel"/>
      </w:pPr>
      <w:r w:rsidRPr="00D83A49">
        <w:t>Gjennomsnittslønn</w:t>
      </w:r>
      <w:r w:rsidRPr="00A2054C">
        <w:rPr>
          <w:vertAlign w:val="superscript"/>
        </w:rPr>
        <w:t>1</w:t>
      </w:r>
      <w:r w:rsidRPr="00D83A49">
        <w:t xml:space="preserve"> per september/oktober inklusive opsjons- og naturalytelser for administrerende direktører og ledere av små foretak. Vekst fra året før i prosent. </w:t>
      </w:r>
      <w:r w:rsidR="00727AA4">
        <w:t>2004-2013.</w:t>
      </w:r>
    </w:p>
    <w:tbl>
      <w:tblPr>
        <w:tblStyle w:val="TrykketTabell"/>
        <w:tblW w:w="0" w:type="auto"/>
        <w:tblLook w:val="04A0" w:firstRow="1" w:lastRow="0" w:firstColumn="1" w:lastColumn="0" w:noHBand="0" w:noVBand="1"/>
      </w:tblPr>
      <w:tblGrid>
        <w:gridCol w:w="2260"/>
        <w:gridCol w:w="2071"/>
        <w:gridCol w:w="2550"/>
        <w:gridCol w:w="2189"/>
      </w:tblGrid>
      <w:tr w:rsidR="004B1A77" w:rsidRPr="008718E6" w14:paraId="7C677999" w14:textId="77777777" w:rsidTr="00234819">
        <w:trPr>
          <w:cnfStyle w:val="100000000000" w:firstRow="1" w:lastRow="0" w:firstColumn="0" w:lastColumn="0" w:oddVBand="0" w:evenVBand="0" w:oddHBand="0" w:evenHBand="0" w:firstRowFirstColumn="0" w:firstRowLastColumn="0" w:lastRowFirstColumn="0" w:lastRowLastColumn="0"/>
        </w:trPr>
        <w:tc>
          <w:tcPr>
            <w:tcW w:w="2268" w:type="dxa"/>
            <w:vAlign w:val="bottom"/>
          </w:tcPr>
          <w:p w14:paraId="38BE7BF6" w14:textId="77777777" w:rsidR="004B1A77" w:rsidRPr="008718E6" w:rsidRDefault="004B1A77" w:rsidP="00795948">
            <w:pPr>
              <w:spacing w:after="0"/>
              <w:jc w:val="right"/>
            </w:pPr>
          </w:p>
        </w:tc>
        <w:tc>
          <w:tcPr>
            <w:tcW w:w="2074" w:type="dxa"/>
            <w:vAlign w:val="bottom"/>
          </w:tcPr>
          <w:p w14:paraId="7EA668D3" w14:textId="77777777" w:rsidR="004B1A77" w:rsidRPr="008718E6" w:rsidRDefault="004B1A77" w:rsidP="00795948">
            <w:pPr>
              <w:spacing w:after="0"/>
              <w:jc w:val="right"/>
            </w:pPr>
            <w:r w:rsidRPr="008718E6">
              <w:t>Administrerende direktører</w:t>
            </w:r>
            <w:r w:rsidRPr="008718E6">
              <w:rPr>
                <w:vertAlign w:val="superscript"/>
              </w:rPr>
              <w:t>2</w:t>
            </w:r>
            <w:r w:rsidRPr="008718E6">
              <w:t xml:space="preserve"> </w:t>
            </w:r>
          </w:p>
        </w:tc>
        <w:tc>
          <w:tcPr>
            <w:tcW w:w="2572" w:type="dxa"/>
            <w:vAlign w:val="bottom"/>
          </w:tcPr>
          <w:p w14:paraId="51106C66" w14:textId="77777777" w:rsidR="004B1A77" w:rsidRPr="008718E6" w:rsidRDefault="004B1A77" w:rsidP="00795948">
            <w:pPr>
              <w:spacing w:after="0"/>
              <w:jc w:val="right"/>
            </w:pPr>
            <w:r w:rsidRPr="004A2D75">
              <w:t>Ledere av små foretak</w:t>
            </w:r>
            <w:r>
              <w:rPr>
                <w:vertAlign w:val="superscript"/>
              </w:rPr>
              <w:t>3</w:t>
            </w:r>
          </w:p>
        </w:tc>
        <w:tc>
          <w:tcPr>
            <w:tcW w:w="2209" w:type="dxa"/>
            <w:vAlign w:val="bottom"/>
          </w:tcPr>
          <w:p w14:paraId="7E1B67BB" w14:textId="77777777" w:rsidR="004B1A77" w:rsidRPr="008718E6" w:rsidRDefault="004B1A77" w:rsidP="00795948">
            <w:pPr>
              <w:spacing w:after="0"/>
              <w:jc w:val="right"/>
            </w:pPr>
            <w:r w:rsidRPr="004A2D75">
              <w:t>Alle ledere</w:t>
            </w:r>
          </w:p>
        </w:tc>
      </w:tr>
      <w:tr w:rsidR="004B1A77" w:rsidRPr="008718E6" w14:paraId="416F3F1D" w14:textId="77777777" w:rsidTr="00234819">
        <w:tc>
          <w:tcPr>
            <w:tcW w:w="2268" w:type="dxa"/>
            <w:vAlign w:val="bottom"/>
          </w:tcPr>
          <w:p w14:paraId="28B0EEC6" w14:textId="77777777" w:rsidR="004B1A77" w:rsidRPr="008718E6" w:rsidRDefault="004B1A77" w:rsidP="00795948">
            <w:pPr>
              <w:spacing w:after="0"/>
            </w:pPr>
            <w:r w:rsidRPr="008718E6">
              <w:t>2005</w:t>
            </w:r>
          </w:p>
        </w:tc>
        <w:tc>
          <w:tcPr>
            <w:tcW w:w="2074" w:type="dxa"/>
            <w:vAlign w:val="bottom"/>
          </w:tcPr>
          <w:p w14:paraId="26C4F613" w14:textId="77777777" w:rsidR="004B1A77" w:rsidRPr="008718E6" w:rsidRDefault="004B1A77" w:rsidP="00795948">
            <w:pPr>
              <w:spacing w:after="0"/>
              <w:jc w:val="right"/>
            </w:pPr>
            <w:r w:rsidRPr="008718E6">
              <w:t>5,5</w:t>
            </w:r>
          </w:p>
        </w:tc>
        <w:tc>
          <w:tcPr>
            <w:tcW w:w="2572" w:type="dxa"/>
            <w:vAlign w:val="bottom"/>
          </w:tcPr>
          <w:p w14:paraId="6D211011" w14:textId="77777777" w:rsidR="004B1A77" w:rsidRPr="008718E6" w:rsidRDefault="004B1A77" w:rsidP="00795948">
            <w:pPr>
              <w:spacing w:after="0"/>
              <w:jc w:val="right"/>
            </w:pPr>
            <w:r w:rsidRPr="008718E6">
              <w:t>0,7</w:t>
            </w:r>
          </w:p>
        </w:tc>
        <w:tc>
          <w:tcPr>
            <w:tcW w:w="2209" w:type="dxa"/>
            <w:vAlign w:val="bottom"/>
          </w:tcPr>
          <w:p w14:paraId="28723BDC" w14:textId="77777777" w:rsidR="004B1A77" w:rsidRPr="008718E6" w:rsidRDefault="004B1A77" w:rsidP="00795948">
            <w:pPr>
              <w:spacing w:after="0"/>
              <w:jc w:val="right"/>
            </w:pPr>
            <w:r w:rsidRPr="008718E6">
              <w:t>3,3</w:t>
            </w:r>
          </w:p>
        </w:tc>
      </w:tr>
      <w:tr w:rsidR="004B1A77" w:rsidRPr="008718E6" w14:paraId="73B01D54" w14:textId="77777777" w:rsidTr="00234819">
        <w:tc>
          <w:tcPr>
            <w:tcW w:w="2268" w:type="dxa"/>
            <w:vAlign w:val="bottom"/>
          </w:tcPr>
          <w:p w14:paraId="63D50D5B" w14:textId="77777777" w:rsidR="004B1A77" w:rsidRPr="008718E6" w:rsidRDefault="004B1A77" w:rsidP="00795948">
            <w:pPr>
              <w:spacing w:after="0"/>
            </w:pPr>
            <w:r w:rsidRPr="008718E6">
              <w:t>2006</w:t>
            </w:r>
          </w:p>
        </w:tc>
        <w:tc>
          <w:tcPr>
            <w:tcW w:w="2074" w:type="dxa"/>
            <w:vAlign w:val="bottom"/>
          </w:tcPr>
          <w:p w14:paraId="7F6E4362" w14:textId="77777777" w:rsidR="004B1A77" w:rsidRPr="008718E6" w:rsidRDefault="004B1A77" w:rsidP="00795948">
            <w:pPr>
              <w:spacing w:after="0"/>
              <w:jc w:val="right"/>
            </w:pPr>
            <w:r w:rsidRPr="008718E6">
              <w:t>5,5</w:t>
            </w:r>
          </w:p>
        </w:tc>
        <w:tc>
          <w:tcPr>
            <w:tcW w:w="2572" w:type="dxa"/>
            <w:vAlign w:val="bottom"/>
          </w:tcPr>
          <w:p w14:paraId="441BF2F3" w14:textId="77777777" w:rsidR="004B1A77" w:rsidRPr="008718E6" w:rsidRDefault="004B1A77" w:rsidP="00795948">
            <w:pPr>
              <w:spacing w:after="0"/>
              <w:jc w:val="right"/>
            </w:pPr>
            <w:r w:rsidRPr="008718E6">
              <w:t>3,4</w:t>
            </w:r>
          </w:p>
        </w:tc>
        <w:tc>
          <w:tcPr>
            <w:tcW w:w="2209" w:type="dxa"/>
            <w:vAlign w:val="bottom"/>
          </w:tcPr>
          <w:p w14:paraId="7F4420ED" w14:textId="77777777" w:rsidR="004B1A77" w:rsidRPr="008718E6" w:rsidRDefault="004B1A77" w:rsidP="00795948">
            <w:pPr>
              <w:spacing w:after="0"/>
              <w:jc w:val="right"/>
            </w:pPr>
            <w:r w:rsidRPr="008718E6">
              <w:t>5,6</w:t>
            </w:r>
          </w:p>
        </w:tc>
      </w:tr>
      <w:tr w:rsidR="004B1A77" w:rsidRPr="008718E6" w14:paraId="4ED3CCEE" w14:textId="77777777" w:rsidTr="00234819">
        <w:tc>
          <w:tcPr>
            <w:tcW w:w="2268" w:type="dxa"/>
            <w:vAlign w:val="bottom"/>
          </w:tcPr>
          <w:p w14:paraId="46621BD2" w14:textId="77777777" w:rsidR="004B1A77" w:rsidRPr="008718E6" w:rsidRDefault="004B1A77" w:rsidP="00795948">
            <w:pPr>
              <w:spacing w:after="0"/>
            </w:pPr>
            <w:r w:rsidRPr="008718E6">
              <w:t>2007</w:t>
            </w:r>
          </w:p>
        </w:tc>
        <w:tc>
          <w:tcPr>
            <w:tcW w:w="2074" w:type="dxa"/>
            <w:vAlign w:val="bottom"/>
          </w:tcPr>
          <w:p w14:paraId="3CD22E51" w14:textId="77777777" w:rsidR="004B1A77" w:rsidRPr="008718E6" w:rsidRDefault="004B1A77" w:rsidP="00795948">
            <w:pPr>
              <w:spacing w:after="0"/>
              <w:jc w:val="right"/>
            </w:pPr>
            <w:r w:rsidRPr="008718E6">
              <w:t>2,6</w:t>
            </w:r>
          </w:p>
        </w:tc>
        <w:tc>
          <w:tcPr>
            <w:tcW w:w="2572" w:type="dxa"/>
            <w:vAlign w:val="bottom"/>
          </w:tcPr>
          <w:p w14:paraId="6647A9E6" w14:textId="77777777" w:rsidR="004B1A77" w:rsidRPr="008718E6" w:rsidRDefault="004B1A77" w:rsidP="00795948">
            <w:pPr>
              <w:spacing w:after="0"/>
              <w:jc w:val="right"/>
            </w:pPr>
            <w:r w:rsidRPr="008718E6">
              <w:t>7,8</w:t>
            </w:r>
          </w:p>
        </w:tc>
        <w:tc>
          <w:tcPr>
            <w:tcW w:w="2209" w:type="dxa"/>
            <w:vAlign w:val="bottom"/>
          </w:tcPr>
          <w:p w14:paraId="664DB98A" w14:textId="77777777" w:rsidR="004B1A77" w:rsidRPr="008718E6" w:rsidRDefault="004B1A77" w:rsidP="00795948">
            <w:pPr>
              <w:spacing w:after="0"/>
              <w:jc w:val="right"/>
            </w:pPr>
            <w:r w:rsidRPr="008718E6">
              <w:t>6,3</w:t>
            </w:r>
          </w:p>
        </w:tc>
      </w:tr>
      <w:tr w:rsidR="004B1A77" w:rsidRPr="008718E6" w14:paraId="3D7C6E99" w14:textId="77777777" w:rsidTr="00234819">
        <w:tc>
          <w:tcPr>
            <w:tcW w:w="2268" w:type="dxa"/>
            <w:vAlign w:val="bottom"/>
          </w:tcPr>
          <w:p w14:paraId="2E69B295" w14:textId="77777777" w:rsidR="004B1A77" w:rsidRPr="008718E6" w:rsidRDefault="004B1A77" w:rsidP="00795948">
            <w:pPr>
              <w:spacing w:after="0"/>
            </w:pPr>
            <w:r w:rsidRPr="008718E6">
              <w:t>2008</w:t>
            </w:r>
          </w:p>
        </w:tc>
        <w:tc>
          <w:tcPr>
            <w:tcW w:w="2074" w:type="dxa"/>
            <w:vAlign w:val="bottom"/>
          </w:tcPr>
          <w:p w14:paraId="27F4DC17" w14:textId="77777777" w:rsidR="004B1A77" w:rsidRPr="008718E6" w:rsidRDefault="004B1A77" w:rsidP="00795948">
            <w:pPr>
              <w:spacing w:after="0"/>
              <w:jc w:val="right"/>
            </w:pPr>
            <w:r w:rsidRPr="008718E6">
              <w:t>10,3</w:t>
            </w:r>
          </w:p>
        </w:tc>
        <w:tc>
          <w:tcPr>
            <w:tcW w:w="2572" w:type="dxa"/>
            <w:vAlign w:val="bottom"/>
          </w:tcPr>
          <w:p w14:paraId="77AC2FA6" w14:textId="77777777" w:rsidR="004B1A77" w:rsidRPr="008718E6" w:rsidRDefault="004B1A77" w:rsidP="00795948">
            <w:pPr>
              <w:spacing w:after="0"/>
              <w:jc w:val="right"/>
            </w:pPr>
            <w:r w:rsidRPr="008718E6">
              <w:t>5,1</w:t>
            </w:r>
          </w:p>
        </w:tc>
        <w:tc>
          <w:tcPr>
            <w:tcW w:w="2209" w:type="dxa"/>
            <w:vAlign w:val="bottom"/>
          </w:tcPr>
          <w:p w14:paraId="23ACF695" w14:textId="77777777" w:rsidR="004B1A77" w:rsidRPr="008718E6" w:rsidRDefault="004B1A77" w:rsidP="00795948">
            <w:pPr>
              <w:spacing w:after="0"/>
              <w:jc w:val="right"/>
            </w:pPr>
            <w:r w:rsidRPr="008718E6">
              <w:t>6,2</w:t>
            </w:r>
          </w:p>
        </w:tc>
      </w:tr>
      <w:tr w:rsidR="004B1A77" w:rsidRPr="008718E6" w14:paraId="7E6D3645" w14:textId="77777777" w:rsidTr="00234819">
        <w:tc>
          <w:tcPr>
            <w:tcW w:w="2268" w:type="dxa"/>
            <w:vAlign w:val="bottom"/>
          </w:tcPr>
          <w:p w14:paraId="69ABAD76" w14:textId="77777777" w:rsidR="004B1A77" w:rsidRPr="008718E6" w:rsidRDefault="004B1A77" w:rsidP="00795948">
            <w:pPr>
              <w:spacing w:after="0"/>
            </w:pPr>
            <w:r w:rsidRPr="008718E6">
              <w:t>2009</w:t>
            </w:r>
          </w:p>
        </w:tc>
        <w:tc>
          <w:tcPr>
            <w:tcW w:w="2074" w:type="dxa"/>
            <w:vAlign w:val="bottom"/>
          </w:tcPr>
          <w:p w14:paraId="7A2A6573" w14:textId="77777777" w:rsidR="004B1A77" w:rsidRPr="008718E6" w:rsidRDefault="004B1A77" w:rsidP="00795948">
            <w:pPr>
              <w:spacing w:after="0"/>
              <w:jc w:val="right"/>
            </w:pPr>
            <w:r w:rsidRPr="008718E6">
              <w:t>-1,5</w:t>
            </w:r>
          </w:p>
        </w:tc>
        <w:tc>
          <w:tcPr>
            <w:tcW w:w="2572" w:type="dxa"/>
            <w:vAlign w:val="bottom"/>
          </w:tcPr>
          <w:p w14:paraId="4782E7F6" w14:textId="77777777" w:rsidR="004B1A77" w:rsidRPr="008718E6" w:rsidRDefault="004B1A77" w:rsidP="00795948">
            <w:pPr>
              <w:spacing w:after="0"/>
              <w:jc w:val="right"/>
            </w:pPr>
            <w:r w:rsidRPr="008718E6">
              <w:t>1,9</w:t>
            </w:r>
          </w:p>
        </w:tc>
        <w:tc>
          <w:tcPr>
            <w:tcW w:w="2209" w:type="dxa"/>
            <w:vAlign w:val="bottom"/>
          </w:tcPr>
          <w:p w14:paraId="04099386" w14:textId="77777777" w:rsidR="004B1A77" w:rsidRPr="008718E6" w:rsidRDefault="004B1A77" w:rsidP="00795948">
            <w:pPr>
              <w:spacing w:after="0"/>
              <w:jc w:val="right"/>
            </w:pPr>
            <w:r w:rsidRPr="008718E6">
              <w:t>1,2</w:t>
            </w:r>
          </w:p>
        </w:tc>
      </w:tr>
      <w:tr w:rsidR="004B1A77" w:rsidRPr="008718E6" w14:paraId="2D81215A" w14:textId="77777777" w:rsidTr="00234819">
        <w:tc>
          <w:tcPr>
            <w:tcW w:w="2268" w:type="dxa"/>
            <w:tcBorders>
              <w:bottom w:val="nil"/>
            </w:tcBorders>
            <w:vAlign w:val="bottom"/>
          </w:tcPr>
          <w:p w14:paraId="3EC7F6EB" w14:textId="77777777" w:rsidR="004B1A77" w:rsidRPr="008718E6" w:rsidRDefault="004B1A77" w:rsidP="00795948">
            <w:pPr>
              <w:spacing w:after="0"/>
            </w:pPr>
            <w:r w:rsidRPr="008718E6">
              <w:t>2010</w:t>
            </w:r>
          </w:p>
        </w:tc>
        <w:tc>
          <w:tcPr>
            <w:tcW w:w="2074" w:type="dxa"/>
            <w:tcBorders>
              <w:bottom w:val="nil"/>
            </w:tcBorders>
            <w:vAlign w:val="bottom"/>
          </w:tcPr>
          <w:p w14:paraId="185866F9" w14:textId="77777777" w:rsidR="004B1A77" w:rsidRPr="008718E6" w:rsidRDefault="004B1A77" w:rsidP="00795948">
            <w:pPr>
              <w:spacing w:after="0"/>
              <w:jc w:val="right"/>
            </w:pPr>
            <w:r w:rsidRPr="008718E6">
              <w:t>5,1</w:t>
            </w:r>
          </w:p>
        </w:tc>
        <w:tc>
          <w:tcPr>
            <w:tcW w:w="2572" w:type="dxa"/>
            <w:tcBorders>
              <w:bottom w:val="nil"/>
            </w:tcBorders>
            <w:vAlign w:val="bottom"/>
          </w:tcPr>
          <w:p w14:paraId="12730A85" w14:textId="77777777" w:rsidR="004B1A77" w:rsidRPr="008718E6" w:rsidRDefault="004B1A77" w:rsidP="00795948">
            <w:pPr>
              <w:spacing w:after="0"/>
              <w:jc w:val="right"/>
            </w:pPr>
            <w:r w:rsidRPr="008718E6">
              <w:t>3,3</w:t>
            </w:r>
          </w:p>
        </w:tc>
        <w:tc>
          <w:tcPr>
            <w:tcW w:w="2209" w:type="dxa"/>
            <w:tcBorders>
              <w:bottom w:val="nil"/>
            </w:tcBorders>
            <w:vAlign w:val="bottom"/>
          </w:tcPr>
          <w:p w14:paraId="62673C4C" w14:textId="77777777" w:rsidR="004B1A77" w:rsidRPr="008718E6" w:rsidRDefault="004B1A77" w:rsidP="00795948">
            <w:pPr>
              <w:spacing w:after="0"/>
              <w:jc w:val="right"/>
            </w:pPr>
            <w:r w:rsidRPr="008718E6">
              <w:t>4,2</w:t>
            </w:r>
          </w:p>
        </w:tc>
      </w:tr>
      <w:tr w:rsidR="004B1A77" w:rsidRPr="008718E6" w14:paraId="175987A0" w14:textId="77777777" w:rsidTr="00234819">
        <w:tc>
          <w:tcPr>
            <w:tcW w:w="2268" w:type="dxa"/>
            <w:tcBorders>
              <w:bottom w:val="nil"/>
            </w:tcBorders>
            <w:vAlign w:val="bottom"/>
          </w:tcPr>
          <w:p w14:paraId="4DE94932" w14:textId="77777777" w:rsidR="004B1A77" w:rsidRPr="008718E6" w:rsidRDefault="004B1A77" w:rsidP="00795948">
            <w:pPr>
              <w:spacing w:after="0"/>
            </w:pPr>
            <w:r w:rsidRPr="008718E6">
              <w:t>2011</w:t>
            </w:r>
          </w:p>
        </w:tc>
        <w:tc>
          <w:tcPr>
            <w:tcW w:w="2074" w:type="dxa"/>
            <w:tcBorders>
              <w:bottom w:val="nil"/>
            </w:tcBorders>
            <w:vAlign w:val="bottom"/>
          </w:tcPr>
          <w:p w14:paraId="09A9D24B" w14:textId="77777777" w:rsidR="004B1A77" w:rsidRPr="008718E6" w:rsidRDefault="004B1A77" w:rsidP="00795948">
            <w:pPr>
              <w:spacing w:after="0"/>
              <w:jc w:val="right"/>
            </w:pPr>
            <w:r w:rsidRPr="008718E6">
              <w:t>4,0</w:t>
            </w:r>
          </w:p>
        </w:tc>
        <w:tc>
          <w:tcPr>
            <w:tcW w:w="2572" w:type="dxa"/>
            <w:tcBorders>
              <w:bottom w:val="nil"/>
            </w:tcBorders>
            <w:vAlign w:val="bottom"/>
          </w:tcPr>
          <w:p w14:paraId="52F53387" w14:textId="77777777" w:rsidR="004B1A77" w:rsidRPr="008718E6" w:rsidRDefault="004B1A77" w:rsidP="00795948">
            <w:pPr>
              <w:spacing w:after="0"/>
              <w:jc w:val="right"/>
            </w:pPr>
            <w:r w:rsidRPr="008718E6">
              <w:t>3,9</w:t>
            </w:r>
          </w:p>
        </w:tc>
        <w:tc>
          <w:tcPr>
            <w:tcW w:w="2209" w:type="dxa"/>
            <w:tcBorders>
              <w:bottom w:val="nil"/>
            </w:tcBorders>
            <w:vAlign w:val="bottom"/>
          </w:tcPr>
          <w:p w14:paraId="23C6A94C" w14:textId="77777777" w:rsidR="004B1A77" w:rsidRPr="008718E6" w:rsidRDefault="004B1A77" w:rsidP="00795948">
            <w:pPr>
              <w:spacing w:after="0"/>
              <w:jc w:val="right"/>
            </w:pPr>
            <w:r w:rsidRPr="004A2D75">
              <w:t>5,0</w:t>
            </w:r>
          </w:p>
        </w:tc>
      </w:tr>
      <w:tr w:rsidR="005B1CD2" w:rsidRPr="008718E6" w14:paraId="2CCC3D0A" w14:textId="77777777" w:rsidTr="00234819">
        <w:tc>
          <w:tcPr>
            <w:tcW w:w="2268" w:type="dxa"/>
            <w:tcBorders>
              <w:bottom w:val="nil"/>
            </w:tcBorders>
            <w:vAlign w:val="bottom"/>
          </w:tcPr>
          <w:p w14:paraId="60B4D5BF" w14:textId="77777777" w:rsidR="005B1CD2" w:rsidRPr="008718E6" w:rsidRDefault="005B1CD2" w:rsidP="00795948">
            <w:pPr>
              <w:spacing w:after="0"/>
            </w:pPr>
            <w:r>
              <w:t>2012</w:t>
            </w:r>
          </w:p>
        </w:tc>
        <w:tc>
          <w:tcPr>
            <w:tcW w:w="2074" w:type="dxa"/>
            <w:tcBorders>
              <w:bottom w:val="nil"/>
            </w:tcBorders>
            <w:vAlign w:val="bottom"/>
          </w:tcPr>
          <w:p w14:paraId="1478EB50" w14:textId="77777777" w:rsidR="005B1CD2" w:rsidRPr="008718E6" w:rsidRDefault="005B1CD2" w:rsidP="00795948">
            <w:pPr>
              <w:spacing w:after="0"/>
              <w:jc w:val="right"/>
            </w:pPr>
            <w:r>
              <w:t>0,0</w:t>
            </w:r>
          </w:p>
        </w:tc>
        <w:tc>
          <w:tcPr>
            <w:tcW w:w="2572" w:type="dxa"/>
            <w:tcBorders>
              <w:bottom w:val="nil"/>
            </w:tcBorders>
            <w:vAlign w:val="bottom"/>
          </w:tcPr>
          <w:p w14:paraId="7DE81741" w14:textId="77777777" w:rsidR="005B1CD2" w:rsidRPr="008718E6" w:rsidRDefault="005B1CD2" w:rsidP="00795948">
            <w:pPr>
              <w:spacing w:after="0"/>
              <w:jc w:val="right"/>
            </w:pPr>
            <w:r>
              <w:t>2,8</w:t>
            </w:r>
          </w:p>
        </w:tc>
        <w:tc>
          <w:tcPr>
            <w:tcW w:w="2209" w:type="dxa"/>
            <w:tcBorders>
              <w:bottom w:val="nil"/>
            </w:tcBorders>
            <w:vAlign w:val="bottom"/>
          </w:tcPr>
          <w:p w14:paraId="4BD1057C" w14:textId="77777777" w:rsidR="005B1CD2" w:rsidRPr="004A2D75" w:rsidRDefault="005B1CD2" w:rsidP="00795948">
            <w:pPr>
              <w:spacing w:after="0"/>
              <w:jc w:val="right"/>
            </w:pPr>
            <w:r>
              <w:t>1,8</w:t>
            </w:r>
          </w:p>
        </w:tc>
      </w:tr>
      <w:tr w:rsidR="004B1A77" w:rsidRPr="008718E6" w14:paraId="2579DFB7" w14:textId="77777777" w:rsidTr="00234819">
        <w:tc>
          <w:tcPr>
            <w:tcW w:w="2268" w:type="dxa"/>
            <w:tcBorders>
              <w:top w:val="nil"/>
              <w:bottom w:val="single" w:sz="4" w:space="0" w:color="auto"/>
            </w:tcBorders>
            <w:vAlign w:val="bottom"/>
          </w:tcPr>
          <w:p w14:paraId="324E7E0D" w14:textId="77777777" w:rsidR="004B1A77" w:rsidRPr="008718E6" w:rsidRDefault="004B1A77" w:rsidP="005B1CD2">
            <w:pPr>
              <w:spacing w:after="0"/>
            </w:pPr>
            <w:r>
              <w:t>2013</w:t>
            </w:r>
          </w:p>
        </w:tc>
        <w:tc>
          <w:tcPr>
            <w:tcW w:w="2074" w:type="dxa"/>
            <w:tcBorders>
              <w:top w:val="nil"/>
              <w:bottom w:val="single" w:sz="4" w:space="0" w:color="auto"/>
            </w:tcBorders>
            <w:vAlign w:val="bottom"/>
          </w:tcPr>
          <w:p w14:paraId="08469543" w14:textId="77777777" w:rsidR="004B1A77" w:rsidRPr="008718E6" w:rsidRDefault="004B1A77" w:rsidP="00795948">
            <w:pPr>
              <w:spacing w:after="0"/>
              <w:jc w:val="right"/>
            </w:pPr>
            <w:r>
              <w:t>3,0</w:t>
            </w:r>
          </w:p>
        </w:tc>
        <w:tc>
          <w:tcPr>
            <w:tcW w:w="2572" w:type="dxa"/>
            <w:tcBorders>
              <w:top w:val="nil"/>
              <w:bottom w:val="single" w:sz="4" w:space="0" w:color="auto"/>
            </w:tcBorders>
            <w:vAlign w:val="bottom"/>
          </w:tcPr>
          <w:p w14:paraId="16D8EB55" w14:textId="77777777" w:rsidR="004B1A77" w:rsidRPr="008718E6" w:rsidRDefault="004B1A77" w:rsidP="00795948">
            <w:pPr>
              <w:spacing w:after="0"/>
              <w:jc w:val="right"/>
            </w:pPr>
            <w:r>
              <w:t>3,4</w:t>
            </w:r>
          </w:p>
        </w:tc>
        <w:tc>
          <w:tcPr>
            <w:tcW w:w="2209" w:type="dxa"/>
            <w:tcBorders>
              <w:top w:val="nil"/>
              <w:bottom w:val="single" w:sz="4" w:space="0" w:color="auto"/>
            </w:tcBorders>
            <w:vAlign w:val="bottom"/>
          </w:tcPr>
          <w:p w14:paraId="1AC8D401" w14:textId="77777777" w:rsidR="004B1A77" w:rsidRPr="008718E6" w:rsidRDefault="004B1A77" w:rsidP="00795948">
            <w:pPr>
              <w:spacing w:after="0"/>
              <w:jc w:val="right"/>
            </w:pPr>
            <w:r>
              <w:t>5,2</w:t>
            </w:r>
          </w:p>
        </w:tc>
      </w:tr>
      <w:tr w:rsidR="004B1A77" w:rsidRPr="008718E6" w14:paraId="7F36C1B5" w14:textId="77777777" w:rsidTr="00234819">
        <w:trPr>
          <w:trHeight w:hRule="exact" w:val="284"/>
        </w:trPr>
        <w:tc>
          <w:tcPr>
            <w:tcW w:w="2268" w:type="dxa"/>
            <w:tcBorders>
              <w:top w:val="single" w:sz="4" w:space="0" w:color="auto"/>
              <w:bottom w:val="nil"/>
            </w:tcBorders>
            <w:vAlign w:val="bottom"/>
          </w:tcPr>
          <w:p w14:paraId="4F882F8B" w14:textId="77777777" w:rsidR="004B1A77" w:rsidRPr="008718E6" w:rsidRDefault="004B1A77" w:rsidP="00795948">
            <w:pPr>
              <w:spacing w:after="0"/>
            </w:pPr>
            <w:r w:rsidRPr="008718E6">
              <w:t>2004-1</w:t>
            </w:r>
            <w:r>
              <w:t>3</w:t>
            </w:r>
          </w:p>
        </w:tc>
        <w:tc>
          <w:tcPr>
            <w:tcW w:w="2074" w:type="dxa"/>
            <w:tcBorders>
              <w:top w:val="single" w:sz="4" w:space="0" w:color="auto"/>
              <w:bottom w:val="nil"/>
            </w:tcBorders>
            <w:vAlign w:val="bottom"/>
          </w:tcPr>
          <w:p w14:paraId="3694CCF3" w14:textId="77777777" w:rsidR="004B1A77" w:rsidRPr="000C1680" w:rsidRDefault="004B1A77" w:rsidP="00795948">
            <w:pPr>
              <w:spacing w:after="0"/>
              <w:jc w:val="right"/>
            </w:pPr>
            <w:r w:rsidRPr="000C1680">
              <w:t>39,7</w:t>
            </w:r>
          </w:p>
        </w:tc>
        <w:tc>
          <w:tcPr>
            <w:tcW w:w="2572" w:type="dxa"/>
            <w:tcBorders>
              <w:top w:val="single" w:sz="4" w:space="0" w:color="auto"/>
              <w:bottom w:val="nil"/>
            </w:tcBorders>
            <w:vAlign w:val="bottom"/>
          </w:tcPr>
          <w:p w14:paraId="05875DDF" w14:textId="77777777" w:rsidR="004B1A77" w:rsidRPr="000C1680" w:rsidRDefault="004B1A77" w:rsidP="00795948">
            <w:pPr>
              <w:spacing w:after="0"/>
              <w:jc w:val="right"/>
            </w:pPr>
            <w:r w:rsidRPr="000C1680">
              <w:t>37,1</w:t>
            </w:r>
          </w:p>
        </w:tc>
        <w:tc>
          <w:tcPr>
            <w:tcW w:w="2209" w:type="dxa"/>
            <w:tcBorders>
              <w:top w:val="single" w:sz="4" w:space="0" w:color="auto"/>
              <w:bottom w:val="nil"/>
            </w:tcBorders>
            <w:vAlign w:val="bottom"/>
          </w:tcPr>
          <w:p w14:paraId="3528F473" w14:textId="77777777" w:rsidR="004B1A77" w:rsidRPr="000C1680" w:rsidRDefault="004B1A77" w:rsidP="00795948">
            <w:pPr>
              <w:spacing w:after="0"/>
              <w:jc w:val="right"/>
            </w:pPr>
            <w:r w:rsidRPr="000C1680">
              <w:t>46,0</w:t>
            </w:r>
          </w:p>
        </w:tc>
      </w:tr>
      <w:tr w:rsidR="004B1A77" w:rsidRPr="008718E6" w14:paraId="1ABD1879" w14:textId="77777777" w:rsidTr="00234819">
        <w:trPr>
          <w:trHeight w:hRule="exact" w:val="284"/>
        </w:trPr>
        <w:tc>
          <w:tcPr>
            <w:tcW w:w="2268" w:type="dxa"/>
            <w:tcBorders>
              <w:top w:val="nil"/>
              <w:bottom w:val="single" w:sz="4" w:space="0" w:color="auto"/>
            </w:tcBorders>
            <w:vAlign w:val="bottom"/>
          </w:tcPr>
          <w:p w14:paraId="72B2261A" w14:textId="77777777" w:rsidR="004B1A77" w:rsidRPr="008718E6" w:rsidRDefault="004B1A77" w:rsidP="00795948">
            <w:pPr>
              <w:spacing w:after="0"/>
            </w:pPr>
            <w:r w:rsidRPr="008718E6">
              <w:t>Gj. sn. per år</w:t>
            </w:r>
          </w:p>
        </w:tc>
        <w:tc>
          <w:tcPr>
            <w:tcW w:w="2074" w:type="dxa"/>
            <w:tcBorders>
              <w:top w:val="nil"/>
              <w:bottom w:val="single" w:sz="4" w:space="0" w:color="auto"/>
            </w:tcBorders>
            <w:vAlign w:val="bottom"/>
          </w:tcPr>
          <w:p w14:paraId="376C9C45" w14:textId="77777777" w:rsidR="004B1A77" w:rsidRPr="000C1680" w:rsidRDefault="004B1A77" w:rsidP="00795948">
            <w:pPr>
              <w:spacing w:after="0"/>
              <w:jc w:val="right"/>
            </w:pPr>
            <w:r w:rsidRPr="000C1680">
              <w:t>3,8</w:t>
            </w:r>
          </w:p>
        </w:tc>
        <w:tc>
          <w:tcPr>
            <w:tcW w:w="2572" w:type="dxa"/>
            <w:tcBorders>
              <w:top w:val="nil"/>
              <w:bottom w:val="single" w:sz="4" w:space="0" w:color="auto"/>
            </w:tcBorders>
            <w:vAlign w:val="bottom"/>
          </w:tcPr>
          <w:p w14:paraId="5CB3E166" w14:textId="77777777" w:rsidR="004B1A77" w:rsidRPr="000C1680" w:rsidRDefault="004B1A77" w:rsidP="00795948">
            <w:pPr>
              <w:spacing w:after="0"/>
              <w:jc w:val="right"/>
            </w:pPr>
            <w:r w:rsidRPr="000C1680">
              <w:t>3,6</w:t>
            </w:r>
          </w:p>
        </w:tc>
        <w:tc>
          <w:tcPr>
            <w:tcW w:w="2209" w:type="dxa"/>
            <w:tcBorders>
              <w:top w:val="nil"/>
              <w:bottom w:val="single" w:sz="4" w:space="0" w:color="auto"/>
            </w:tcBorders>
            <w:vAlign w:val="bottom"/>
          </w:tcPr>
          <w:p w14:paraId="7BDAFA31" w14:textId="77777777" w:rsidR="004B1A77" w:rsidRPr="000C1680" w:rsidRDefault="004B1A77" w:rsidP="00795948">
            <w:pPr>
              <w:spacing w:after="0"/>
              <w:jc w:val="right"/>
            </w:pPr>
            <w:r w:rsidRPr="000C1680">
              <w:t>4,3</w:t>
            </w:r>
          </w:p>
        </w:tc>
      </w:tr>
      <w:tr w:rsidR="004B1A77" w:rsidRPr="008718E6" w14:paraId="302A4332" w14:textId="77777777" w:rsidTr="00234819">
        <w:trPr>
          <w:trHeight w:val="227"/>
        </w:trPr>
        <w:tc>
          <w:tcPr>
            <w:tcW w:w="2268" w:type="dxa"/>
            <w:tcBorders>
              <w:top w:val="single" w:sz="4" w:space="0" w:color="auto"/>
              <w:bottom w:val="nil"/>
            </w:tcBorders>
            <w:vAlign w:val="bottom"/>
          </w:tcPr>
          <w:p w14:paraId="6360985F" w14:textId="77777777" w:rsidR="004B1A77" w:rsidRPr="008718E6" w:rsidRDefault="004B1A77" w:rsidP="00795948">
            <w:pPr>
              <w:spacing w:after="0"/>
            </w:pPr>
            <w:r w:rsidRPr="008718E6">
              <w:t>Lønnsnivå 201</w:t>
            </w:r>
            <w:r>
              <w:t>3</w:t>
            </w:r>
          </w:p>
        </w:tc>
        <w:tc>
          <w:tcPr>
            <w:tcW w:w="2074" w:type="dxa"/>
            <w:tcBorders>
              <w:top w:val="single" w:sz="4" w:space="0" w:color="auto"/>
              <w:bottom w:val="nil"/>
            </w:tcBorders>
            <w:vAlign w:val="bottom"/>
          </w:tcPr>
          <w:p w14:paraId="0BC25A1E" w14:textId="77777777" w:rsidR="004B1A77" w:rsidRPr="008718E6" w:rsidRDefault="004B1A77" w:rsidP="00795948">
            <w:pPr>
              <w:spacing w:after="0"/>
              <w:jc w:val="right"/>
            </w:pPr>
            <w:r>
              <w:t>904 800</w:t>
            </w:r>
          </w:p>
        </w:tc>
        <w:tc>
          <w:tcPr>
            <w:tcW w:w="2572" w:type="dxa"/>
            <w:tcBorders>
              <w:top w:val="single" w:sz="4" w:space="0" w:color="auto"/>
              <w:bottom w:val="nil"/>
            </w:tcBorders>
            <w:vAlign w:val="bottom"/>
          </w:tcPr>
          <w:p w14:paraId="3A07F010" w14:textId="77777777" w:rsidR="004B1A77" w:rsidRPr="008718E6" w:rsidRDefault="004B1A77" w:rsidP="00795948">
            <w:pPr>
              <w:spacing w:after="0"/>
              <w:jc w:val="right"/>
            </w:pPr>
            <w:r>
              <w:t>583 200</w:t>
            </w:r>
          </w:p>
        </w:tc>
        <w:tc>
          <w:tcPr>
            <w:tcW w:w="2209" w:type="dxa"/>
            <w:tcBorders>
              <w:top w:val="single" w:sz="4" w:space="0" w:color="auto"/>
              <w:bottom w:val="nil"/>
            </w:tcBorders>
            <w:vAlign w:val="bottom"/>
          </w:tcPr>
          <w:p w14:paraId="5D91745F" w14:textId="77777777" w:rsidR="004B1A77" w:rsidRPr="008718E6" w:rsidRDefault="004B1A77" w:rsidP="00795948">
            <w:pPr>
              <w:spacing w:after="0"/>
              <w:jc w:val="right"/>
            </w:pPr>
            <w:r>
              <w:t>728 400</w:t>
            </w:r>
          </w:p>
        </w:tc>
      </w:tr>
      <w:tr w:rsidR="004B1A77" w:rsidRPr="008718E6" w14:paraId="59A2A906" w14:textId="77777777" w:rsidTr="00F33B0E">
        <w:trPr>
          <w:trHeight w:val="227"/>
        </w:trPr>
        <w:tc>
          <w:tcPr>
            <w:tcW w:w="2268" w:type="dxa"/>
            <w:tcBorders>
              <w:top w:val="nil"/>
              <w:bottom w:val="single" w:sz="4" w:space="0" w:color="auto"/>
            </w:tcBorders>
            <w:vAlign w:val="bottom"/>
          </w:tcPr>
          <w:p w14:paraId="6060911B" w14:textId="77777777" w:rsidR="004B1A77" w:rsidRPr="008718E6" w:rsidRDefault="004B1A77" w:rsidP="00795948">
            <w:pPr>
              <w:spacing w:after="0"/>
              <w:ind w:left="142" w:hanging="142"/>
            </w:pPr>
            <w:r w:rsidRPr="008718E6">
              <w:t xml:space="preserve">- Herav opsjonsytelser og naturalytelser </w:t>
            </w:r>
          </w:p>
        </w:tc>
        <w:tc>
          <w:tcPr>
            <w:tcW w:w="2074" w:type="dxa"/>
            <w:tcBorders>
              <w:top w:val="nil"/>
              <w:bottom w:val="single" w:sz="4" w:space="0" w:color="auto"/>
            </w:tcBorders>
            <w:vAlign w:val="bottom"/>
          </w:tcPr>
          <w:p w14:paraId="73AB9EA2" w14:textId="77777777" w:rsidR="004B1A77" w:rsidRPr="008718E6" w:rsidRDefault="004B1A77" w:rsidP="00795948">
            <w:pPr>
              <w:jc w:val="right"/>
            </w:pPr>
            <w:r>
              <w:t>18 000</w:t>
            </w:r>
          </w:p>
        </w:tc>
        <w:tc>
          <w:tcPr>
            <w:tcW w:w="2572" w:type="dxa"/>
            <w:tcBorders>
              <w:top w:val="nil"/>
              <w:bottom w:val="single" w:sz="4" w:space="0" w:color="auto"/>
            </w:tcBorders>
            <w:vAlign w:val="bottom"/>
          </w:tcPr>
          <w:p w14:paraId="19F1A749" w14:textId="77777777" w:rsidR="004B1A77" w:rsidRPr="008718E6" w:rsidRDefault="004B1A77" w:rsidP="00795948">
            <w:pPr>
              <w:spacing w:after="0"/>
              <w:jc w:val="right"/>
            </w:pPr>
            <w:r>
              <w:t>8 400</w:t>
            </w:r>
          </w:p>
        </w:tc>
        <w:tc>
          <w:tcPr>
            <w:tcW w:w="2209" w:type="dxa"/>
            <w:tcBorders>
              <w:top w:val="nil"/>
              <w:bottom w:val="single" w:sz="4" w:space="0" w:color="auto"/>
            </w:tcBorders>
            <w:vAlign w:val="bottom"/>
          </w:tcPr>
          <w:p w14:paraId="66AB6DDD" w14:textId="77777777" w:rsidR="004B1A77" w:rsidRPr="008718E6" w:rsidRDefault="004B1A77" w:rsidP="00795948">
            <w:pPr>
              <w:spacing w:after="0"/>
              <w:jc w:val="right"/>
            </w:pPr>
            <w:r>
              <w:t>13 200</w:t>
            </w:r>
          </w:p>
        </w:tc>
      </w:tr>
      <w:tr w:rsidR="004B1A77" w:rsidRPr="008718E6" w14:paraId="369D2EC9" w14:textId="77777777" w:rsidTr="00F33B0E">
        <w:trPr>
          <w:trHeight w:val="227"/>
        </w:trPr>
        <w:tc>
          <w:tcPr>
            <w:tcW w:w="2268" w:type="dxa"/>
            <w:tcBorders>
              <w:top w:val="single" w:sz="4" w:space="0" w:color="auto"/>
              <w:bottom w:val="single" w:sz="4" w:space="0" w:color="auto"/>
            </w:tcBorders>
            <w:vAlign w:val="bottom"/>
          </w:tcPr>
          <w:p w14:paraId="503B410B" w14:textId="77777777" w:rsidR="004B1A77" w:rsidRPr="008718E6" w:rsidRDefault="004B1A77" w:rsidP="00795948">
            <w:pPr>
              <w:spacing w:after="0"/>
            </w:pPr>
            <w:r w:rsidRPr="008718E6">
              <w:t>Antall ledere i utvalget i 201</w:t>
            </w:r>
            <w:r>
              <w:t>3</w:t>
            </w:r>
          </w:p>
        </w:tc>
        <w:tc>
          <w:tcPr>
            <w:tcW w:w="2074" w:type="dxa"/>
            <w:tcBorders>
              <w:top w:val="single" w:sz="4" w:space="0" w:color="auto"/>
              <w:bottom w:val="single" w:sz="4" w:space="0" w:color="auto"/>
            </w:tcBorders>
            <w:vAlign w:val="bottom"/>
          </w:tcPr>
          <w:p w14:paraId="0C3B1220" w14:textId="77777777" w:rsidR="004B1A77" w:rsidRPr="008718E6" w:rsidRDefault="004B1A77" w:rsidP="00795948">
            <w:pPr>
              <w:jc w:val="right"/>
            </w:pPr>
            <w:r>
              <w:t>10 836</w:t>
            </w:r>
          </w:p>
        </w:tc>
        <w:tc>
          <w:tcPr>
            <w:tcW w:w="2572" w:type="dxa"/>
            <w:tcBorders>
              <w:top w:val="single" w:sz="4" w:space="0" w:color="auto"/>
              <w:bottom w:val="single" w:sz="4" w:space="0" w:color="auto"/>
            </w:tcBorders>
            <w:vAlign w:val="bottom"/>
          </w:tcPr>
          <w:p w14:paraId="513301E8" w14:textId="77777777" w:rsidR="004B1A77" w:rsidRPr="008718E6" w:rsidRDefault="004B1A77" w:rsidP="00795948">
            <w:pPr>
              <w:spacing w:after="0"/>
              <w:jc w:val="right"/>
            </w:pPr>
            <w:r>
              <w:t>11 579</w:t>
            </w:r>
          </w:p>
        </w:tc>
        <w:tc>
          <w:tcPr>
            <w:tcW w:w="2209" w:type="dxa"/>
            <w:tcBorders>
              <w:top w:val="single" w:sz="4" w:space="0" w:color="auto"/>
              <w:bottom w:val="single" w:sz="4" w:space="0" w:color="auto"/>
            </w:tcBorders>
            <w:vAlign w:val="bottom"/>
          </w:tcPr>
          <w:p w14:paraId="2CDD0889" w14:textId="77777777" w:rsidR="004B1A77" w:rsidRPr="008718E6" w:rsidRDefault="004B1A77" w:rsidP="00795948">
            <w:pPr>
              <w:spacing w:after="0"/>
              <w:jc w:val="right"/>
            </w:pPr>
            <w:r>
              <w:t>22 415</w:t>
            </w:r>
          </w:p>
        </w:tc>
      </w:tr>
    </w:tbl>
    <w:p w14:paraId="4718A5A4" w14:textId="77777777" w:rsidR="004B1A77" w:rsidRPr="00005D2C" w:rsidRDefault="004B1A77" w:rsidP="00EB23A2">
      <w:pPr>
        <w:pStyle w:val="tabell-noter"/>
        <w:numPr>
          <w:ilvl w:val="0"/>
          <w:numId w:val="21"/>
        </w:numPr>
        <w:spacing w:after="0"/>
      </w:pPr>
      <w:r w:rsidRPr="00005D2C">
        <w:t xml:space="preserve">Månedslønn inkl. overtid *12 med tillegg av opsjons- og naturalytelser fra LTO-registeret. </w:t>
      </w:r>
      <w:r>
        <w:t>Lønnsbegrepet o</w:t>
      </w:r>
      <w:r w:rsidRPr="00005D2C">
        <w:t>mfatter avtalt lønn, uregelmessige tillegg, bonus, overtid samt opsjons- og naturalytelser.</w:t>
      </w:r>
    </w:p>
    <w:p w14:paraId="17976F81" w14:textId="77777777" w:rsidR="004B1A77" w:rsidRPr="00005D2C" w:rsidRDefault="004B1A77" w:rsidP="00EB23A2">
      <w:pPr>
        <w:pStyle w:val="tabell-noter"/>
        <w:numPr>
          <w:ilvl w:val="0"/>
          <w:numId w:val="21"/>
        </w:numPr>
        <w:spacing w:after="0"/>
      </w:pPr>
      <w:r w:rsidRPr="00005D2C">
        <w:t xml:space="preserve">Administrerende direktører </w:t>
      </w:r>
      <w:r>
        <w:t xml:space="preserve">og andre med lederfunksjoner </w:t>
      </w:r>
      <w:r w:rsidRPr="00005D2C">
        <w:t xml:space="preserve">i foretak med 10 eller flere ansatte </w:t>
      </w:r>
    </w:p>
    <w:p w14:paraId="279D630F" w14:textId="77777777" w:rsidR="004B1A77" w:rsidRPr="00323712" w:rsidRDefault="004B1A77" w:rsidP="00EB23A2">
      <w:pPr>
        <w:pStyle w:val="tabell-noter"/>
        <w:numPr>
          <w:ilvl w:val="0"/>
          <w:numId w:val="21"/>
        </w:numPr>
        <w:spacing w:after="0"/>
      </w:pPr>
      <w:r w:rsidRPr="00005D2C">
        <w:t xml:space="preserve">Ledere av små foretak med </w:t>
      </w:r>
      <w:r>
        <w:t>færre enn</w:t>
      </w:r>
      <w:r w:rsidRPr="00005D2C">
        <w:t xml:space="preserve"> 10 ansatte</w:t>
      </w:r>
    </w:p>
    <w:p w14:paraId="5BEDFCF5" w14:textId="77777777" w:rsidR="004B1A77" w:rsidRDefault="004B1A77" w:rsidP="004B1A77">
      <w:pPr>
        <w:spacing w:after="0"/>
      </w:pPr>
      <w:r>
        <w:t>Kilde: Statistisk sentralbyrå, lønnsstatistikken og LTO-registeret.</w:t>
      </w:r>
    </w:p>
    <w:p w14:paraId="540E19EB" w14:textId="77777777" w:rsidR="004B1A77" w:rsidRDefault="004B1A77" w:rsidP="004B1A77">
      <w:pPr>
        <w:spacing w:after="0"/>
      </w:pPr>
    </w:p>
    <w:p w14:paraId="3C05412F" w14:textId="77777777" w:rsidR="004B1A77" w:rsidRDefault="004B1A77" w:rsidP="004B1A77">
      <w:r>
        <w:t xml:space="preserve">Ledere i foretak med 10 eller flere ansatte blir kodet som administrerende direktører i lønnsstatistikken. Dette er en forholdsvis lav grense, slik at en del ledere trolig får denne koden uten å utføre oppgaver eller ha det ansvaret en vanligvis forbinder med en administrerende direktør. </w:t>
      </w:r>
    </w:p>
    <w:p w14:paraId="30A288BC" w14:textId="77777777" w:rsidR="00A07954" w:rsidRDefault="004B1A77" w:rsidP="00092B5F">
      <w:pPr>
        <w:spacing w:after="0"/>
      </w:pPr>
      <w:r w:rsidRPr="00B66F41">
        <w:t>I tabell 1.</w:t>
      </w:r>
      <w:r>
        <w:t>9</w:t>
      </w:r>
      <w:r w:rsidRPr="00B66F41">
        <w:t xml:space="preserve"> er administrerende direktører rangert etter stigende lønnsnivå og inndelt i desiler. Det </w:t>
      </w:r>
      <w:r>
        <w:t>var</w:t>
      </w:r>
      <w:r w:rsidRPr="00B66F41">
        <w:t xml:space="preserve"> om lag 1 0</w:t>
      </w:r>
      <w:r>
        <w:t>8</w:t>
      </w:r>
      <w:r w:rsidRPr="00B66F41">
        <w:t>0 direktører i hvert desil</w:t>
      </w:r>
      <w:r>
        <w:t xml:space="preserve"> i 2013</w:t>
      </w:r>
      <w:r w:rsidRPr="00B66F41">
        <w:t>. Tabellen viser at lederne i 10. desil har en gjennomsnittslønn på om lag 2,1 millioner kroner per september/oktober 201</w:t>
      </w:r>
      <w:r>
        <w:t>3</w:t>
      </w:r>
      <w:r w:rsidRPr="00B66F41">
        <w:t xml:space="preserve">. Opsjons- og naturalytelser for denne gruppen var </w:t>
      </w:r>
      <w:r>
        <w:t>100 800</w:t>
      </w:r>
      <w:r w:rsidRPr="00B66F41">
        <w:t xml:space="preserve"> kroner i 201</w:t>
      </w:r>
      <w:r>
        <w:t>3</w:t>
      </w:r>
      <w:r w:rsidRPr="00B66F41">
        <w:t>. Lønnsveksten i 201</w:t>
      </w:r>
      <w:r>
        <w:t>3</w:t>
      </w:r>
      <w:r w:rsidRPr="00B66F41">
        <w:t xml:space="preserve"> var høyere i desilene 1-5 enn i </w:t>
      </w:r>
      <w:r>
        <w:t xml:space="preserve">desilene 6 til 10. </w:t>
      </w:r>
    </w:p>
    <w:p w14:paraId="666453E9" w14:textId="77777777" w:rsidR="00A07954" w:rsidRDefault="00A07954">
      <w:pPr>
        <w:spacing w:after="0"/>
      </w:pPr>
      <w:r>
        <w:br w:type="page"/>
      </w:r>
    </w:p>
    <w:p w14:paraId="31F3F3A7" w14:textId="77777777" w:rsidR="004B1A77" w:rsidRDefault="004B1A77" w:rsidP="004B1A77">
      <w:pPr>
        <w:pStyle w:val="tabell-tittel"/>
      </w:pPr>
      <w:r>
        <w:t>Gjennomsnittslønn</w:t>
      </w:r>
      <w:r w:rsidRPr="00B318EA">
        <w:rPr>
          <w:vertAlign w:val="superscript"/>
        </w:rPr>
        <w:t>1</w:t>
      </w:r>
      <w:r w:rsidRPr="001A7EC9">
        <w:t xml:space="preserve"> </w:t>
      </w:r>
      <w:r>
        <w:t xml:space="preserve">etter desiler per september/oktober 2013 </w:t>
      </w:r>
      <w:r w:rsidRPr="001A7EC9">
        <w:t>for administrerende direktører</w:t>
      </w:r>
      <w:r w:rsidRPr="001A7EC9">
        <w:rPr>
          <w:vertAlign w:val="superscript"/>
        </w:rPr>
        <w:t>2</w:t>
      </w:r>
      <w:r w:rsidRPr="00B318EA">
        <w:t>.</w:t>
      </w:r>
      <w:r w:rsidRPr="001A7EC9">
        <w:t xml:space="preserve"> Inklusive opsjon</w:t>
      </w:r>
      <w:r>
        <w:t>s-</w:t>
      </w:r>
      <w:r w:rsidRPr="001A7EC9">
        <w:t xml:space="preserve"> og naturalytelser.</w:t>
      </w:r>
      <w:r>
        <w:t xml:space="preserve"> Vekst i prosent fra året før.</w:t>
      </w:r>
    </w:p>
    <w:tbl>
      <w:tblPr>
        <w:tblW w:w="8519" w:type="dxa"/>
        <w:tblInd w:w="56" w:type="dxa"/>
        <w:tblLayout w:type="fixed"/>
        <w:tblCellMar>
          <w:left w:w="70" w:type="dxa"/>
          <w:right w:w="70" w:type="dxa"/>
        </w:tblCellMar>
        <w:tblLook w:val="04A0" w:firstRow="1" w:lastRow="0" w:firstColumn="1" w:lastColumn="0" w:noHBand="0" w:noVBand="1"/>
      </w:tblPr>
      <w:tblGrid>
        <w:gridCol w:w="1200"/>
        <w:gridCol w:w="2439"/>
        <w:gridCol w:w="2440"/>
        <w:gridCol w:w="2440"/>
      </w:tblGrid>
      <w:tr w:rsidR="004B1A77" w:rsidRPr="00092B5F" w14:paraId="558C11EF" w14:textId="77777777" w:rsidTr="00092B5F">
        <w:trPr>
          <w:trHeight w:val="195"/>
        </w:trPr>
        <w:tc>
          <w:tcPr>
            <w:tcW w:w="1200" w:type="dxa"/>
            <w:tcBorders>
              <w:top w:val="single" w:sz="4" w:space="0" w:color="auto"/>
              <w:left w:val="nil"/>
              <w:bottom w:val="single" w:sz="8" w:space="0" w:color="auto"/>
              <w:right w:val="nil"/>
            </w:tcBorders>
            <w:shd w:val="clear" w:color="auto" w:fill="auto"/>
            <w:noWrap/>
            <w:vAlign w:val="bottom"/>
            <w:hideMark/>
          </w:tcPr>
          <w:p w14:paraId="76D7179F" w14:textId="77777777" w:rsidR="004B1A77" w:rsidRPr="00092B5F" w:rsidRDefault="004B1A77" w:rsidP="00092B5F">
            <w:pPr>
              <w:spacing w:after="0"/>
              <w:rPr>
                <w:rFonts w:ascii="Times New Roman" w:eastAsia="Times New Roman" w:hAnsi="Times New Roman"/>
                <w:b/>
                <w:bCs/>
                <w:szCs w:val="24"/>
              </w:rPr>
            </w:pPr>
            <w:r w:rsidRPr="00092B5F">
              <w:rPr>
                <w:rFonts w:ascii="Times New Roman" w:eastAsia="Times New Roman" w:hAnsi="Times New Roman"/>
                <w:szCs w:val="24"/>
              </w:rPr>
              <w:t>Desiler</w:t>
            </w:r>
          </w:p>
        </w:tc>
        <w:tc>
          <w:tcPr>
            <w:tcW w:w="2439" w:type="dxa"/>
            <w:tcBorders>
              <w:top w:val="single" w:sz="4" w:space="0" w:color="auto"/>
              <w:left w:val="nil"/>
              <w:bottom w:val="single" w:sz="8" w:space="0" w:color="auto"/>
              <w:right w:val="nil"/>
            </w:tcBorders>
            <w:shd w:val="clear" w:color="auto" w:fill="auto"/>
            <w:vAlign w:val="bottom"/>
            <w:hideMark/>
          </w:tcPr>
          <w:p w14:paraId="34B21351"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Samlet årslønn 2013</w:t>
            </w:r>
          </w:p>
        </w:tc>
        <w:tc>
          <w:tcPr>
            <w:tcW w:w="2440" w:type="dxa"/>
            <w:tcBorders>
              <w:top w:val="single" w:sz="4" w:space="0" w:color="auto"/>
              <w:left w:val="nil"/>
              <w:bottom w:val="single" w:sz="8" w:space="0" w:color="auto"/>
              <w:right w:val="nil"/>
            </w:tcBorders>
            <w:shd w:val="clear" w:color="auto" w:fill="auto"/>
            <w:vAlign w:val="bottom"/>
            <w:hideMark/>
          </w:tcPr>
          <w:p w14:paraId="2E9BDB46" w14:textId="77777777" w:rsidR="00092B5F" w:rsidRDefault="005B1CD2" w:rsidP="00795948">
            <w:pPr>
              <w:spacing w:after="0"/>
              <w:jc w:val="right"/>
              <w:rPr>
                <w:rFonts w:ascii="Times New Roman" w:eastAsia="Times New Roman" w:hAnsi="Times New Roman"/>
                <w:szCs w:val="24"/>
              </w:rPr>
            </w:pPr>
            <w:r>
              <w:rPr>
                <w:rFonts w:ascii="Times New Roman" w:eastAsia="Times New Roman" w:hAnsi="Times New Roman"/>
                <w:szCs w:val="24"/>
              </w:rPr>
              <w:t>Lønnsvekst</w:t>
            </w:r>
            <w:r w:rsidRPr="00092B5F">
              <w:rPr>
                <w:rFonts w:ascii="Times New Roman" w:eastAsia="Times New Roman" w:hAnsi="Times New Roman"/>
                <w:szCs w:val="24"/>
              </w:rPr>
              <w:t xml:space="preserve"> </w:t>
            </w:r>
            <w:r w:rsidR="004B1A77" w:rsidRPr="00092B5F">
              <w:rPr>
                <w:rFonts w:ascii="Times New Roman" w:eastAsia="Times New Roman" w:hAnsi="Times New Roman"/>
                <w:szCs w:val="24"/>
              </w:rPr>
              <w:t xml:space="preserve">fra </w:t>
            </w:r>
          </w:p>
          <w:p w14:paraId="2C37E5E5"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året før</w:t>
            </w:r>
          </w:p>
        </w:tc>
        <w:tc>
          <w:tcPr>
            <w:tcW w:w="2440" w:type="dxa"/>
            <w:tcBorders>
              <w:top w:val="single" w:sz="4" w:space="0" w:color="auto"/>
              <w:left w:val="nil"/>
              <w:bottom w:val="single" w:sz="8" w:space="0" w:color="auto"/>
              <w:right w:val="nil"/>
            </w:tcBorders>
            <w:shd w:val="clear" w:color="auto" w:fill="auto"/>
            <w:vAlign w:val="bottom"/>
            <w:hideMark/>
          </w:tcPr>
          <w:p w14:paraId="777B5762" w14:textId="77777777" w:rsid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Opsjons- og </w:t>
            </w:r>
          </w:p>
          <w:p w14:paraId="51D43898"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naturalytelser 2013</w:t>
            </w:r>
          </w:p>
        </w:tc>
      </w:tr>
      <w:tr w:rsidR="004B1A77" w:rsidRPr="00092B5F" w14:paraId="44F29A97" w14:textId="77777777" w:rsidTr="00092B5F">
        <w:trPr>
          <w:trHeight w:val="300"/>
        </w:trPr>
        <w:tc>
          <w:tcPr>
            <w:tcW w:w="1200" w:type="dxa"/>
            <w:tcBorders>
              <w:top w:val="nil"/>
              <w:left w:val="nil"/>
              <w:bottom w:val="nil"/>
              <w:right w:val="nil"/>
            </w:tcBorders>
            <w:shd w:val="clear" w:color="auto" w:fill="auto"/>
            <w:noWrap/>
            <w:vAlign w:val="bottom"/>
            <w:hideMark/>
          </w:tcPr>
          <w:p w14:paraId="7998DB2F"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1</w:t>
            </w:r>
          </w:p>
        </w:tc>
        <w:tc>
          <w:tcPr>
            <w:tcW w:w="2439" w:type="dxa"/>
            <w:tcBorders>
              <w:top w:val="nil"/>
              <w:left w:val="nil"/>
              <w:bottom w:val="nil"/>
              <w:right w:val="nil"/>
            </w:tcBorders>
            <w:shd w:val="clear" w:color="auto" w:fill="auto"/>
            <w:noWrap/>
            <w:vAlign w:val="bottom"/>
            <w:hideMark/>
          </w:tcPr>
          <w:p w14:paraId="781D8059"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381 600</w:t>
            </w:r>
          </w:p>
        </w:tc>
        <w:tc>
          <w:tcPr>
            <w:tcW w:w="2440" w:type="dxa"/>
            <w:tcBorders>
              <w:top w:val="nil"/>
              <w:left w:val="nil"/>
              <w:bottom w:val="nil"/>
              <w:right w:val="nil"/>
            </w:tcBorders>
            <w:shd w:val="clear" w:color="auto" w:fill="auto"/>
            <w:noWrap/>
            <w:vAlign w:val="bottom"/>
            <w:hideMark/>
          </w:tcPr>
          <w:p w14:paraId="1ED1D44A"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5,3 </w:t>
            </w:r>
          </w:p>
        </w:tc>
        <w:tc>
          <w:tcPr>
            <w:tcW w:w="2440" w:type="dxa"/>
            <w:tcBorders>
              <w:top w:val="nil"/>
              <w:left w:val="nil"/>
              <w:bottom w:val="nil"/>
              <w:right w:val="nil"/>
            </w:tcBorders>
            <w:shd w:val="clear" w:color="auto" w:fill="auto"/>
            <w:noWrap/>
            <w:vAlign w:val="bottom"/>
            <w:hideMark/>
          </w:tcPr>
          <w:p w14:paraId="72C9DB65" w14:textId="77777777" w:rsidR="004B1A77" w:rsidRPr="00092B5F" w:rsidRDefault="00F90FD5" w:rsidP="00F90FD5">
            <w:pPr>
              <w:spacing w:after="0"/>
              <w:jc w:val="right"/>
              <w:rPr>
                <w:rFonts w:ascii="Times New Roman" w:eastAsia="Times New Roman" w:hAnsi="Times New Roman"/>
                <w:szCs w:val="24"/>
              </w:rPr>
            </w:pPr>
            <w:r>
              <w:rPr>
                <w:rFonts w:ascii="Times New Roman" w:eastAsia="Times New Roman" w:hAnsi="Times New Roman"/>
                <w:szCs w:val="24"/>
              </w:rPr>
              <w:t>-</w:t>
            </w:r>
          </w:p>
        </w:tc>
      </w:tr>
      <w:tr w:rsidR="004B1A77" w:rsidRPr="00092B5F" w14:paraId="07198A1C" w14:textId="77777777" w:rsidTr="00092B5F">
        <w:trPr>
          <w:trHeight w:val="300"/>
        </w:trPr>
        <w:tc>
          <w:tcPr>
            <w:tcW w:w="1200" w:type="dxa"/>
            <w:tcBorders>
              <w:top w:val="nil"/>
              <w:left w:val="nil"/>
              <w:bottom w:val="nil"/>
              <w:right w:val="nil"/>
            </w:tcBorders>
            <w:shd w:val="clear" w:color="auto" w:fill="auto"/>
            <w:noWrap/>
            <w:vAlign w:val="bottom"/>
            <w:hideMark/>
          </w:tcPr>
          <w:p w14:paraId="2A217816"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2</w:t>
            </w:r>
          </w:p>
        </w:tc>
        <w:tc>
          <w:tcPr>
            <w:tcW w:w="2439" w:type="dxa"/>
            <w:tcBorders>
              <w:top w:val="nil"/>
              <w:left w:val="nil"/>
              <w:bottom w:val="nil"/>
              <w:right w:val="nil"/>
            </w:tcBorders>
            <w:shd w:val="clear" w:color="auto" w:fill="auto"/>
            <w:noWrap/>
            <w:vAlign w:val="bottom"/>
            <w:hideMark/>
          </w:tcPr>
          <w:p w14:paraId="6108A6AD"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477 600</w:t>
            </w:r>
          </w:p>
        </w:tc>
        <w:tc>
          <w:tcPr>
            <w:tcW w:w="2440" w:type="dxa"/>
            <w:tcBorders>
              <w:top w:val="nil"/>
              <w:left w:val="nil"/>
              <w:bottom w:val="nil"/>
              <w:right w:val="nil"/>
            </w:tcBorders>
            <w:shd w:val="clear" w:color="auto" w:fill="auto"/>
            <w:noWrap/>
            <w:vAlign w:val="bottom"/>
            <w:hideMark/>
          </w:tcPr>
          <w:p w14:paraId="23EF2E04"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6,1 </w:t>
            </w:r>
          </w:p>
        </w:tc>
        <w:tc>
          <w:tcPr>
            <w:tcW w:w="2440" w:type="dxa"/>
            <w:tcBorders>
              <w:top w:val="nil"/>
              <w:left w:val="nil"/>
              <w:bottom w:val="nil"/>
              <w:right w:val="nil"/>
            </w:tcBorders>
            <w:shd w:val="clear" w:color="auto" w:fill="auto"/>
            <w:noWrap/>
            <w:vAlign w:val="bottom"/>
            <w:hideMark/>
          </w:tcPr>
          <w:p w14:paraId="29C509E6" w14:textId="77777777" w:rsidR="004B1A77" w:rsidRPr="00092B5F" w:rsidRDefault="00F90FD5" w:rsidP="00F90FD5">
            <w:pPr>
              <w:spacing w:after="0"/>
              <w:jc w:val="right"/>
              <w:rPr>
                <w:rFonts w:ascii="Times New Roman" w:eastAsia="Times New Roman" w:hAnsi="Times New Roman"/>
                <w:szCs w:val="24"/>
              </w:rPr>
            </w:pPr>
            <w:r>
              <w:rPr>
                <w:rFonts w:ascii="Times New Roman" w:eastAsia="Times New Roman" w:hAnsi="Times New Roman"/>
                <w:szCs w:val="24"/>
              </w:rPr>
              <w:t>-</w:t>
            </w:r>
          </w:p>
        </w:tc>
      </w:tr>
      <w:tr w:rsidR="004B1A77" w:rsidRPr="00092B5F" w14:paraId="24E7E9BF" w14:textId="77777777" w:rsidTr="00092B5F">
        <w:trPr>
          <w:trHeight w:val="300"/>
        </w:trPr>
        <w:tc>
          <w:tcPr>
            <w:tcW w:w="1200" w:type="dxa"/>
            <w:tcBorders>
              <w:top w:val="nil"/>
              <w:left w:val="nil"/>
              <w:bottom w:val="nil"/>
              <w:right w:val="nil"/>
            </w:tcBorders>
            <w:shd w:val="clear" w:color="auto" w:fill="auto"/>
            <w:noWrap/>
            <w:vAlign w:val="bottom"/>
            <w:hideMark/>
          </w:tcPr>
          <w:p w14:paraId="79D40792"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3</w:t>
            </w:r>
          </w:p>
        </w:tc>
        <w:tc>
          <w:tcPr>
            <w:tcW w:w="2439" w:type="dxa"/>
            <w:tcBorders>
              <w:top w:val="nil"/>
              <w:left w:val="nil"/>
              <w:bottom w:val="nil"/>
              <w:right w:val="nil"/>
            </w:tcBorders>
            <w:shd w:val="clear" w:color="auto" w:fill="auto"/>
            <w:noWrap/>
            <w:vAlign w:val="bottom"/>
            <w:hideMark/>
          </w:tcPr>
          <w:p w14:paraId="56335D1B"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540 000</w:t>
            </w:r>
          </w:p>
        </w:tc>
        <w:tc>
          <w:tcPr>
            <w:tcW w:w="2440" w:type="dxa"/>
            <w:tcBorders>
              <w:top w:val="nil"/>
              <w:left w:val="nil"/>
              <w:bottom w:val="nil"/>
              <w:right w:val="nil"/>
            </w:tcBorders>
            <w:shd w:val="clear" w:color="auto" w:fill="auto"/>
            <w:noWrap/>
            <w:vAlign w:val="bottom"/>
            <w:hideMark/>
          </w:tcPr>
          <w:p w14:paraId="0B87B266"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6,6 </w:t>
            </w:r>
          </w:p>
        </w:tc>
        <w:tc>
          <w:tcPr>
            <w:tcW w:w="2440" w:type="dxa"/>
            <w:tcBorders>
              <w:top w:val="nil"/>
              <w:left w:val="nil"/>
              <w:bottom w:val="nil"/>
              <w:right w:val="nil"/>
            </w:tcBorders>
            <w:shd w:val="clear" w:color="auto" w:fill="auto"/>
            <w:noWrap/>
            <w:vAlign w:val="bottom"/>
            <w:hideMark/>
          </w:tcPr>
          <w:p w14:paraId="6FD3A182"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0</w:t>
            </w:r>
          </w:p>
        </w:tc>
      </w:tr>
      <w:tr w:rsidR="004B1A77" w:rsidRPr="00092B5F" w14:paraId="20342C55" w14:textId="77777777" w:rsidTr="00092B5F">
        <w:trPr>
          <w:trHeight w:val="300"/>
        </w:trPr>
        <w:tc>
          <w:tcPr>
            <w:tcW w:w="1200" w:type="dxa"/>
            <w:tcBorders>
              <w:top w:val="nil"/>
              <w:left w:val="nil"/>
              <w:bottom w:val="nil"/>
              <w:right w:val="nil"/>
            </w:tcBorders>
            <w:shd w:val="clear" w:color="auto" w:fill="auto"/>
            <w:noWrap/>
            <w:vAlign w:val="bottom"/>
            <w:hideMark/>
          </w:tcPr>
          <w:p w14:paraId="6FFEFF0E"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4</w:t>
            </w:r>
          </w:p>
        </w:tc>
        <w:tc>
          <w:tcPr>
            <w:tcW w:w="2439" w:type="dxa"/>
            <w:tcBorders>
              <w:top w:val="nil"/>
              <w:left w:val="nil"/>
              <w:bottom w:val="nil"/>
              <w:right w:val="nil"/>
            </w:tcBorders>
            <w:shd w:val="clear" w:color="auto" w:fill="auto"/>
            <w:noWrap/>
            <w:vAlign w:val="bottom"/>
            <w:hideMark/>
          </w:tcPr>
          <w:p w14:paraId="248B9E8B"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608 400</w:t>
            </w:r>
          </w:p>
        </w:tc>
        <w:tc>
          <w:tcPr>
            <w:tcW w:w="2440" w:type="dxa"/>
            <w:tcBorders>
              <w:top w:val="nil"/>
              <w:left w:val="nil"/>
              <w:bottom w:val="nil"/>
              <w:right w:val="nil"/>
            </w:tcBorders>
            <w:shd w:val="clear" w:color="auto" w:fill="auto"/>
            <w:noWrap/>
            <w:vAlign w:val="bottom"/>
            <w:hideMark/>
          </w:tcPr>
          <w:p w14:paraId="1B4E080D"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5,8 </w:t>
            </w:r>
          </w:p>
        </w:tc>
        <w:tc>
          <w:tcPr>
            <w:tcW w:w="2440" w:type="dxa"/>
            <w:tcBorders>
              <w:top w:val="nil"/>
              <w:left w:val="nil"/>
              <w:bottom w:val="nil"/>
              <w:right w:val="nil"/>
            </w:tcBorders>
            <w:shd w:val="clear" w:color="auto" w:fill="auto"/>
            <w:noWrap/>
            <w:vAlign w:val="bottom"/>
            <w:hideMark/>
          </w:tcPr>
          <w:p w14:paraId="1B978E20"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1 200</w:t>
            </w:r>
          </w:p>
        </w:tc>
      </w:tr>
      <w:tr w:rsidR="004B1A77" w:rsidRPr="00092B5F" w14:paraId="0A939B13" w14:textId="77777777" w:rsidTr="00092B5F">
        <w:trPr>
          <w:trHeight w:val="300"/>
        </w:trPr>
        <w:tc>
          <w:tcPr>
            <w:tcW w:w="1200" w:type="dxa"/>
            <w:tcBorders>
              <w:top w:val="nil"/>
              <w:left w:val="nil"/>
              <w:bottom w:val="nil"/>
              <w:right w:val="nil"/>
            </w:tcBorders>
            <w:shd w:val="clear" w:color="auto" w:fill="auto"/>
            <w:noWrap/>
            <w:vAlign w:val="bottom"/>
            <w:hideMark/>
          </w:tcPr>
          <w:p w14:paraId="0C957008"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5</w:t>
            </w:r>
          </w:p>
        </w:tc>
        <w:tc>
          <w:tcPr>
            <w:tcW w:w="2439" w:type="dxa"/>
            <w:tcBorders>
              <w:top w:val="nil"/>
              <w:left w:val="nil"/>
              <w:bottom w:val="nil"/>
              <w:right w:val="nil"/>
            </w:tcBorders>
            <w:shd w:val="clear" w:color="auto" w:fill="auto"/>
            <w:noWrap/>
            <w:vAlign w:val="bottom"/>
            <w:hideMark/>
          </w:tcPr>
          <w:p w14:paraId="5BF78A64"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688 800</w:t>
            </w:r>
          </w:p>
        </w:tc>
        <w:tc>
          <w:tcPr>
            <w:tcW w:w="2440" w:type="dxa"/>
            <w:tcBorders>
              <w:top w:val="nil"/>
              <w:left w:val="nil"/>
              <w:bottom w:val="nil"/>
              <w:right w:val="nil"/>
            </w:tcBorders>
            <w:shd w:val="clear" w:color="auto" w:fill="auto"/>
            <w:noWrap/>
            <w:vAlign w:val="bottom"/>
            <w:hideMark/>
          </w:tcPr>
          <w:p w14:paraId="428513F7"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5,9 </w:t>
            </w:r>
          </w:p>
        </w:tc>
        <w:tc>
          <w:tcPr>
            <w:tcW w:w="2440" w:type="dxa"/>
            <w:tcBorders>
              <w:top w:val="nil"/>
              <w:left w:val="nil"/>
              <w:bottom w:val="nil"/>
              <w:right w:val="nil"/>
            </w:tcBorders>
            <w:shd w:val="clear" w:color="auto" w:fill="auto"/>
            <w:noWrap/>
            <w:vAlign w:val="bottom"/>
            <w:hideMark/>
          </w:tcPr>
          <w:p w14:paraId="065BCB51"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2 400</w:t>
            </w:r>
          </w:p>
        </w:tc>
      </w:tr>
      <w:tr w:rsidR="004B1A77" w:rsidRPr="00092B5F" w14:paraId="17A56868" w14:textId="77777777" w:rsidTr="00092B5F">
        <w:trPr>
          <w:trHeight w:val="300"/>
        </w:trPr>
        <w:tc>
          <w:tcPr>
            <w:tcW w:w="1200" w:type="dxa"/>
            <w:tcBorders>
              <w:top w:val="nil"/>
              <w:left w:val="nil"/>
              <w:bottom w:val="nil"/>
              <w:right w:val="nil"/>
            </w:tcBorders>
            <w:shd w:val="clear" w:color="auto" w:fill="auto"/>
            <w:noWrap/>
            <w:vAlign w:val="bottom"/>
            <w:hideMark/>
          </w:tcPr>
          <w:p w14:paraId="5BB0E7AA"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6</w:t>
            </w:r>
          </w:p>
        </w:tc>
        <w:tc>
          <w:tcPr>
            <w:tcW w:w="2439" w:type="dxa"/>
            <w:tcBorders>
              <w:top w:val="nil"/>
              <w:left w:val="nil"/>
              <w:bottom w:val="nil"/>
              <w:right w:val="nil"/>
            </w:tcBorders>
            <w:shd w:val="clear" w:color="auto" w:fill="auto"/>
            <w:noWrap/>
            <w:vAlign w:val="bottom"/>
            <w:hideMark/>
          </w:tcPr>
          <w:p w14:paraId="2CB454B4"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793 200</w:t>
            </w:r>
          </w:p>
        </w:tc>
        <w:tc>
          <w:tcPr>
            <w:tcW w:w="2440" w:type="dxa"/>
            <w:tcBorders>
              <w:top w:val="nil"/>
              <w:left w:val="nil"/>
              <w:bottom w:val="nil"/>
              <w:right w:val="nil"/>
            </w:tcBorders>
            <w:shd w:val="clear" w:color="auto" w:fill="auto"/>
            <w:noWrap/>
            <w:vAlign w:val="bottom"/>
            <w:hideMark/>
          </w:tcPr>
          <w:p w14:paraId="1D223F1B"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4,4 </w:t>
            </w:r>
          </w:p>
        </w:tc>
        <w:tc>
          <w:tcPr>
            <w:tcW w:w="2440" w:type="dxa"/>
            <w:tcBorders>
              <w:top w:val="nil"/>
              <w:left w:val="nil"/>
              <w:bottom w:val="nil"/>
              <w:right w:val="nil"/>
            </w:tcBorders>
            <w:shd w:val="clear" w:color="auto" w:fill="auto"/>
            <w:noWrap/>
            <w:vAlign w:val="bottom"/>
            <w:hideMark/>
          </w:tcPr>
          <w:p w14:paraId="45DBADC0"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4 800</w:t>
            </w:r>
          </w:p>
        </w:tc>
      </w:tr>
      <w:tr w:rsidR="004B1A77" w:rsidRPr="00092B5F" w14:paraId="7D750901" w14:textId="77777777" w:rsidTr="00092B5F">
        <w:trPr>
          <w:trHeight w:val="300"/>
        </w:trPr>
        <w:tc>
          <w:tcPr>
            <w:tcW w:w="1200" w:type="dxa"/>
            <w:tcBorders>
              <w:top w:val="nil"/>
              <w:left w:val="nil"/>
              <w:bottom w:val="nil"/>
              <w:right w:val="nil"/>
            </w:tcBorders>
            <w:shd w:val="clear" w:color="auto" w:fill="auto"/>
            <w:noWrap/>
            <w:vAlign w:val="bottom"/>
            <w:hideMark/>
          </w:tcPr>
          <w:p w14:paraId="3FA32676"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7</w:t>
            </w:r>
          </w:p>
        </w:tc>
        <w:tc>
          <w:tcPr>
            <w:tcW w:w="2439" w:type="dxa"/>
            <w:tcBorders>
              <w:top w:val="nil"/>
              <w:left w:val="nil"/>
              <w:bottom w:val="nil"/>
              <w:right w:val="nil"/>
            </w:tcBorders>
            <w:shd w:val="clear" w:color="auto" w:fill="auto"/>
            <w:noWrap/>
            <w:vAlign w:val="bottom"/>
            <w:hideMark/>
          </w:tcPr>
          <w:p w14:paraId="71075E0C"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932 400</w:t>
            </w:r>
          </w:p>
        </w:tc>
        <w:tc>
          <w:tcPr>
            <w:tcW w:w="2440" w:type="dxa"/>
            <w:tcBorders>
              <w:top w:val="nil"/>
              <w:left w:val="nil"/>
              <w:bottom w:val="nil"/>
              <w:right w:val="nil"/>
            </w:tcBorders>
            <w:shd w:val="clear" w:color="auto" w:fill="auto"/>
            <w:noWrap/>
            <w:vAlign w:val="bottom"/>
            <w:hideMark/>
          </w:tcPr>
          <w:p w14:paraId="42AFE2C1"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4,4 </w:t>
            </w:r>
          </w:p>
        </w:tc>
        <w:tc>
          <w:tcPr>
            <w:tcW w:w="2440" w:type="dxa"/>
            <w:tcBorders>
              <w:top w:val="nil"/>
              <w:left w:val="nil"/>
              <w:bottom w:val="nil"/>
              <w:right w:val="nil"/>
            </w:tcBorders>
            <w:shd w:val="clear" w:color="auto" w:fill="auto"/>
            <w:noWrap/>
            <w:vAlign w:val="bottom"/>
            <w:hideMark/>
          </w:tcPr>
          <w:p w14:paraId="709ACB45"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6 000</w:t>
            </w:r>
          </w:p>
        </w:tc>
      </w:tr>
      <w:tr w:rsidR="004B1A77" w:rsidRPr="00092B5F" w14:paraId="28DC093F" w14:textId="77777777" w:rsidTr="00092B5F">
        <w:trPr>
          <w:trHeight w:val="300"/>
        </w:trPr>
        <w:tc>
          <w:tcPr>
            <w:tcW w:w="1200" w:type="dxa"/>
            <w:tcBorders>
              <w:top w:val="nil"/>
              <w:left w:val="nil"/>
              <w:bottom w:val="nil"/>
              <w:right w:val="nil"/>
            </w:tcBorders>
            <w:shd w:val="clear" w:color="auto" w:fill="auto"/>
            <w:noWrap/>
            <w:vAlign w:val="bottom"/>
            <w:hideMark/>
          </w:tcPr>
          <w:p w14:paraId="0DE75DC8"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8</w:t>
            </w:r>
          </w:p>
        </w:tc>
        <w:tc>
          <w:tcPr>
            <w:tcW w:w="2439" w:type="dxa"/>
            <w:tcBorders>
              <w:top w:val="nil"/>
              <w:left w:val="nil"/>
              <w:bottom w:val="nil"/>
              <w:right w:val="nil"/>
            </w:tcBorders>
            <w:shd w:val="clear" w:color="auto" w:fill="auto"/>
            <w:noWrap/>
            <w:vAlign w:val="bottom"/>
            <w:hideMark/>
          </w:tcPr>
          <w:p w14:paraId="00058339"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1 105 200</w:t>
            </w:r>
          </w:p>
        </w:tc>
        <w:tc>
          <w:tcPr>
            <w:tcW w:w="2440" w:type="dxa"/>
            <w:tcBorders>
              <w:top w:val="nil"/>
              <w:left w:val="nil"/>
              <w:bottom w:val="nil"/>
              <w:right w:val="nil"/>
            </w:tcBorders>
            <w:shd w:val="clear" w:color="auto" w:fill="auto"/>
            <w:noWrap/>
            <w:vAlign w:val="bottom"/>
            <w:hideMark/>
          </w:tcPr>
          <w:p w14:paraId="6E87D2B5"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4,4 </w:t>
            </w:r>
          </w:p>
        </w:tc>
        <w:tc>
          <w:tcPr>
            <w:tcW w:w="2440" w:type="dxa"/>
            <w:tcBorders>
              <w:top w:val="nil"/>
              <w:left w:val="nil"/>
              <w:bottom w:val="nil"/>
              <w:right w:val="nil"/>
            </w:tcBorders>
            <w:shd w:val="clear" w:color="auto" w:fill="auto"/>
            <w:noWrap/>
            <w:vAlign w:val="bottom"/>
            <w:hideMark/>
          </w:tcPr>
          <w:p w14:paraId="6BAB6203"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9 600</w:t>
            </w:r>
          </w:p>
        </w:tc>
      </w:tr>
      <w:tr w:rsidR="004B1A77" w:rsidRPr="00092B5F" w14:paraId="1FE2F1BB" w14:textId="77777777" w:rsidTr="00092B5F">
        <w:trPr>
          <w:trHeight w:val="300"/>
        </w:trPr>
        <w:tc>
          <w:tcPr>
            <w:tcW w:w="1200" w:type="dxa"/>
            <w:tcBorders>
              <w:top w:val="nil"/>
              <w:left w:val="nil"/>
              <w:bottom w:val="nil"/>
              <w:right w:val="nil"/>
            </w:tcBorders>
            <w:shd w:val="clear" w:color="auto" w:fill="auto"/>
            <w:noWrap/>
            <w:vAlign w:val="bottom"/>
            <w:hideMark/>
          </w:tcPr>
          <w:p w14:paraId="1C5B8EFB"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9</w:t>
            </w:r>
          </w:p>
        </w:tc>
        <w:tc>
          <w:tcPr>
            <w:tcW w:w="2439" w:type="dxa"/>
            <w:tcBorders>
              <w:top w:val="nil"/>
              <w:left w:val="nil"/>
              <w:bottom w:val="nil"/>
              <w:right w:val="nil"/>
            </w:tcBorders>
            <w:shd w:val="clear" w:color="auto" w:fill="auto"/>
            <w:noWrap/>
            <w:vAlign w:val="bottom"/>
            <w:hideMark/>
          </w:tcPr>
          <w:p w14:paraId="7F88E588"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1 377 600</w:t>
            </w:r>
          </w:p>
        </w:tc>
        <w:tc>
          <w:tcPr>
            <w:tcW w:w="2440" w:type="dxa"/>
            <w:tcBorders>
              <w:top w:val="nil"/>
              <w:left w:val="nil"/>
              <w:bottom w:val="nil"/>
              <w:right w:val="nil"/>
            </w:tcBorders>
            <w:shd w:val="clear" w:color="auto" w:fill="auto"/>
            <w:noWrap/>
            <w:vAlign w:val="bottom"/>
            <w:hideMark/>
          </w:tcPr>
          <w:p w14:paraId="41DA9502"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4,2 </w:t>
            </w:r>
          </w:p>
        </w:tc>
        <w:tc>
          <w:tcPr>
            <w:tcW w:w="2440" w:type="dxa"/>
            <w:tcBorders>
              <w:top w:val="nil"/>
              <w:left w:val="nil"/>
              <w:bottom w:val="nil"/>
              <w:right w:val="nil"/>
            </w:tcBorders>
            <w:shd w:val="clear" w:color="auto" w:fill="auto"/>
            <w:noWrap/>
            <w:vAlign w:val="bottom"/>
            <w:hideMark/>
          </w:tcPr>
          <w:p w14:paraId="79933847"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16 800</w:t>
            </w:r>
          </w:p>
        </w:tc>
      </w:tr>
      <w:tr w:rsidR="004B1A77" w:rsidRPr="00092B5F" w14:paraId="686B4481" w14:textId="77777777" w:rsidTr="00092B5F">
        <w:trPr>
          <w:trHeight w:val="300"/>
        </w:trPr>
        <w:tc>
          <w:tcPr>
            <w:tcW w:w="1200" w:type="dxa"/>
            <w:tcBorders>
              <w:top w:val="nil"/>
              <w:left w:val="nil"/>
              <w:bottom w:val="single" w:sz="4" w:space="0" w:color="auto"/>
              <w:right w:val="nil"/>
            </w:tcBorders>
            <w:shd w:val="clear" w:color="auto" w:fill="auto"/>
            <w:noWrap/>
            <w:vAlign w:val="bottom"/>
            <w:hideMark/>
          </w:tcPr>
          <w:p w14:paraId="6060692D"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10</w:t>
            </w:r>
          </w:p>
        </w:tc>
        <w:tc>
          <w:tcPr>
            <w:tcW w:w="2439" w:type="dxa"/>
            <w:tcBorders>
              <w:top w:val="nil"/>
              <w:left w:val="nil"/>
              <w:bottom w:val="single" w:sz="4" w:space="0" w:color="auto"/>
              <w:right w:val="nil"/>
            </w:tcBorders>
            <w:shd w:val="clear" w:color="auto" w:fill="auto"/>
            <w:noWrap/>
            <w:vAlign w:val="bottom"/>
            <w:hideMark/>
          </w:tcPr>
          <w:p w14:paraId="6DAFBFCF"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2 138 400</w:t>
            </w:r>
          </w:p>
        </w:tc>
        <w:tc>
          <w:tcPr>
            <w:tcW w:w="2440" w:type="dxa"/>
            <w:tcBorders>
              <w:top w:val="nil"/>
              <w:left w:val="nil"/>
              <w:bottom w:val="single" w:sz="4" w:space="0" w:color="auto"/>
              <w:right w:val="nil"/>
            </w:tcBorders>
            <w:shd w:val="clear" w:color="auto" w:fill="auto"/>
            <w:noWrap/>
            <w:vAlign w:val="bottom"/>
            <w:hideMark/>
          </w:tcPr>
          <w:p w14:paraId="0A5E4796"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-2,5 </w:t>
            </w:r>
          </w:p>
        </w:tc>
        <w:tc>
          <w:tcPr>
            <w:tcW w:w="2440" w:type="dxa"/>
            <w:tcBorders>
              <w:top w:val="nil"/>
              <w:left w:val="nil"/>
              <w:bottom w:val="single" w:sz="4" w:space="0" w:color="auto"/>
              <w:right w:val="nil"/>
            </w:tcBorders>
            <w:shd w:val="clear" w:color="auto" w:fill="auto"/>
            <w:noWrap/>
            <w:vAlign w:val="bottom"/>
            <w:hideMark/>
          </w:tcPr>
          <w:p w14:paraId="5DED01CF"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100 800</w:t>
            </w:r>
          </w:p>
        </w:tc>
      </w:tr>
      <w:tr w:rsidR="004B1A77" w:rsidRPr="00092B5F" w14:paraId="73363E78" w14:textId="77777777" w:rsidTr="00092B5F">
        <w:trPr>
          <w:trHeight w:val="300"/>
        </w:trPr>
        <w:tc>
          <w:tcPr>
            <w:tcW w:w="1200" w:type="dxa"/>
            <w:tcBorders>
              <w:top w:val="single" w:sz="4" w:space="0" w:color="auto"/>
              <w:left w:val="nil"/>
              <w:bottom w:val="single" w:sz="4" w:space="0" w:color="auto"/>
              <w:right w:val="nil"/>
            </w:tcBorders>
            <w:shd w:val="clear" w:color="auto" w:fill="auto"/>
            <w:noWrap/>
            <w:vAlign w:val="bottom"/>
            <w:hideMark/>
          </w:tcPr>
          <w:p w14:paraId="762FEEB0" w14:textId="77777777" w:rsidR="004B1A77" w:rsidRPr="00092B5F" w:rsidRDefault="004B1A77" w:rsidP="00092B5F">
            <w:pPr>
              <w:spacing w:after="0"/>
              <w:rPr>
                <w:rFonts w:ascii="Times New Roman" w:eastAsia="Times New Roman" w:hAnsi="Times New Roman"/>
                <w:szCs w:val="24"/>
              </w:rPr>
            </w:pPr>
            <w:r w:rsidRPr="00092B5F">
              <w:rPr>
                <w:rFonts w:ascii="Times New Roman" w:eastAsia="Times New Roman" w:hAnsi="Times New Roman"/>
                <w:szCs w:val="24"/>
              </w:rPr>
              <w:t>I alt</w:t>
            </w:r>
          </w:p>
        </w:tc>
        <w:tc>
          <w:tcPr>
            <w:tcW w:w="2439" w:type="dxa"/>
            <w:tcBorders>
              <w:top w:val="single" w:sz="4" w:space="0" w:color="auto"/>
              <w:left w:val="nil"/>
              <w:bottom w:val="single" w:sz="4" w:space="0" w:color="auto"/>
              <w:right w:val="nil"/>
            </w:tcBorders>
            <w:shd w:val="clear" w:color="auto" w:fill="auto"/>
            <w:noWrap/>
            <w:vAlign w:val="bottom"/>
            <w:hideMark/>
          </w:tcPr>
          <w:p w14:paraId="27E4D05F"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904 800</w:t>
            </w:r>
          </w:p>
        </w:tc>
        <w:tc>
          <w:tcPr>
            <w:tcW w:w="2440" w:type="dxa"/>
            <w:tcBorders>
              <w:top w:val="single" w:sz="4" w:space="0" w:color="auto"/>
              <w:left w:val="nil"/>
              <w:bottom w:val="single" w:sz="4" w:space="0" w:color="auto"/>
              <w:right w:val="nil"/>
            </w:tcBorders>
            <w:shd w:val="clear" w:color="auto" w:fill="auto"/>
            <w:noWrap/>
            <w:vAlign w:val="bottom"/>
            <w:hideMark/>
          </w:tcPr>
          <w:p w14:paraId="101A9EDC"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 xml:space="preserve">3,0 </w:t>
            </w:r>
          </w:p>
        </w:tc>
        <w:tc>
          <w:tcPr>
            <w:tcW w:w="2440" w:type="dxa"/>
            <w:tcBorders>
              <w:top w:val="single" w:sz="4" w:space="0" w:color="auto"/>
              <w:left w:val="nil"/>
              <w:bottom w:val="single" w:sz="4" w:space="0" w:color="auto"/>
              <w:right w:val="nil"/>
            </w:tcBorders>
            <w:shd w:val="clear" w:color="auto" w:fill="auto"/>
            <w:noWrap/>
            <w:vAlign w:val="bottom"/>
            <w:hideMark/>
          </w:tcPr>
          <w:p w14:paraId="684D294C" w14:textId="77777777" w:rsidR="004B1A77" w:rsidRPr="00092B5F" w:rsidRDefault="004B1A77" w:rsidP="00795948">
            <w:pPr>
              <w:spacing w:after="0"/>
              <w:jc w:val="right"/>
              <w:rPr>
                <w:rFonts w:ascii="Times New Roman" w:eastAsia="Times New Roman" w:hAnsi="Times New Roman"/>
                <w:szCs w:val="24"/>
              </w:rPr>
            </w:pPr>
            <w:r w:rsidRPr="00092B5F">
              <w:rPr>
                <w:rFonts w:ascii="Times New Roman" w:eastAsia="Times New Roman" w:hAnsi="Times New Roman"/>
                <w:szCs w:val="24"/>
              </w:rPr>
              <w:t>18 000</w:t>
            </w:r>
          </w:p>
        </w:tc>
      </w:tr>
    </w:tbl>
    <w:p w14:paraId="03077716" w14:textId="77777777" w:rsidR="004B1A77" w:rsidRDefault="004B1A77" w:rsidP="006E305B">
      <w:pPr>
        <w:pStyle w:val="tabell-noter"/>
        <w:numPr>
          <w:ilvl w:val="0"/>
          <w:numId w:val="37"/>
        </w:numPr>
        <w:spacing w:after="0"/>
      </w:pPr>
      <w:r w:rsidRPr="00B91606">
        <w:t xml:space="preserve">Månedslønn </w:t>
      </w:r>
      <w:r>
        <w:t xml:space="preserve">inkl. overtid </w:t>
      </w:r>
      <w:r w:rsidRPr="00B91606">
        <w:t>*12 med tillegg av opsjons</w:t>
      </w:r>
      <w:r>
        <w:t>- og</w:t>
      </w:r>
      <w:r w:rsidRPr="00B91606">
        <w:t xml:space="preserve"> naturalytelse</w:t>
      </w:r>
      <w:r>
        <w:t>r</w:t>
      </w:r>
      <w:r w:rsidRPr="00B91606">
        <w:t xml:space="preserve"> fra LTO-registeret. </w:t>
      </w:r>
      <w:r w:rsidR="00092B5F">
        <w:t xml:space="preserve">Lønnsbegrepet </w:t>
      </w:r>
      <w:r>
        <w:t>o</w:t>
      </w:r>
      <w:r w:rsidRPr="00B91606">
        <w:t>mfatter avtalt lønn, uregelmessige tillegg</w:t>
      </w:r>
      <w:r>
        <w:t>,</w:t>
      </w:r>
      <w:r w:rsidRPr="00B91606">
        <w:t xml:space="preserve"> bonus,</w:t>
      </w:r>
      <w:r>
        <w:t xml:space="preserve"> overtid samt </w:t>
      </w:r>
      <w:r w:rsidRPr="00B91606">
        <w:t>opsjons</w:t>
      </w:r>
      <w:r>
        <w:t>- og</w:t>
      </w:r>
      <w:r w:rsidRPr="00B91606">
        <w:t xml:space="preserve"> naturalytelser</w:t>
      </w:r>
      <w:r>
        <w:t>.</w:t>
      </w:r>
      <w:r w:rsidRPr="00B91606" w:rsidDel="00E74D05">
        <w:t xml:space="preserve"> </w:t>
      </w:r>
    </w:p>
    <w:p w14:paraId="50703346" w14:textId="77777777" w:rsidR="004B1A77" w:rsidRDefault="004B1A77" w:rsidP="006E305B">
      <w:pPr>
        <w:pStyle w:val="tabell-noter"/>
        <w:numPr>
          <w:ilvl w:val="0"/>
          <w:numId w:val="37"/>
        </w:numPr>
        <w:spacing w:after="0"/>
      </w:pPr>
      <w:r w:rsidRPr="00B91606">
        <w:t xml:space="preserve">Administrerende direktører </w:t>
      </w:r>
      <w:r>
        <w:t>og andre med lederfunksjoner</w:t>
      </w:r>
      <w:r w:rsidRPr="00B91606">
        <w:t xml:space="preserve"> i </w:t>
      </w:r>
      <w:r>
        <w:t>foretak</w:t>
      </w:r>
      <w:r w:rsidRPr="00B91606">
        <w:t xml:space="preserve"> med 10 eller flere ansatte</w:t>
      </w:r>
      <w:r>
        <w:t>.</w:t>
      </w:r>
    </w:p>
    <w:p w14:paraId="7B6BEBAE" w14:textId="77777777" w:rsidR="004B1A77" w:rsidRDefault="004B1A77" w:rsidP="004B1A77">
      <w:pPr>
        <w:pStyle w:val="Kilde"/>
      </w:pPr>
      <w:r>
        <w:t>Kilde: Statistisk sentralbyrå, lønnsstatistikken og LTO-registeret.</w:t>
      </w:r>
    </w:p>
    <w:p w14:paraId="763D6E97" w14:textId="77777777" w:rsidR="004B1A77" w:rsidRDefault="00C67156" w:rsidP="004B1A77">
      <w:pPr>
        <w:spacing w:after="0"/>
      </w:pPr>
      <w:r>
        <w:rPr>
          <w:noProof/>
        </w:rPr>
        <mc:AlternateContent>
          <mc:Choice Requires="wps">
            <w:drawing>
              <wp:inline distT="0" distB="0" distL="0" distR="0" wp14:anchorId="4D9C1FA8" wp14:editId="79774D64">
                <wp:extent cx="5768975" cy="3108960"/>
                <wp:effectExtent l="5080" t="13970" r="7620" b="10795"/>
                <wp:docPr id="872"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3108960"/>
                        </a:xfrm>
                        <a:prstGeom prst="rect">
                          <a:avLst/>
                        </a:prstGeom>
                        <a:solidFill>
                          <a:srgbClr val="FFFFFF"/>
                        </a:solidFill>
                        <a:ln w="9525">
                          <a:solidFill>
                            <a:srgbClr val="000000"/>
                          </a:solidFill>
                          <a:miter lim="800000"/>
                          <a:headEnd/>
                          <a:tailEnd/>
                        </a:ln>
                      </wps:spPr>
                      <wps:txbx>
                        <w:txbxContent>
                          <w:p w14:paraId="4AD37971" w14:textId="77777777" w:rsidR="009C4B1A" w:rsidRDefault="009C4B1A" w:rsidP="004B1A77">
                            <w:pPr>
                              <w:pStyle w:val="tittel-ramme"/>
                              <w:numPr>
                                <w:ilvl w:val="0"/>
                                <w:numId w:val="0"/>
                              </w:numPr>
                              <w:jc w:val="left"/>
                            </w:pPr>
                            <w:r w:rsidRPr="00B46A41">
                              <w:t>Boks 1.</w:t>
                            </w:r>
                            <w:r>
                              <w:t>2</w:t>
                            </w:r>
                            <w:r w:rsidRPr="00B46A41">
                              <w:t xml:space="preserve"> </w:t>
                            </w:r>
                            <w:r>
                              <w:t>L</w:t>
                            </w:r>
                            <w:r w:rsidRPr="00B46A41">
                              <w:t>ønn for ledere basert på Statistisk sentralbyrå</w:t>
                            </w:r>
                            <w:r>
                              <w:t>s lederlønnsstatistikk</w:t>
                            </w:r>
                          </w:p>
                          <w:p w14:paraId="2DE6D15F" w14:textId="52CFD363" w:rsidR="009C4B1A" w:rsidRDefault="009C4B1A" w:rsidP="004B1A77">
                            <w:r w:rsidRPr="005E696E">
                              <w:rPr>
                                <w:i/>
                              </w:rPr>
                              <w:t>Lederlønn</w:t>
                            </w:r>
                            <w:r w:rsidRPr="00143D2A">
                              <w:t xml:space="preserve"> basert på Statistisk sentralbyrås lønnsstatistikk o</w:t>
                            </w:r>
                            <w:r>
                              <w:t xml:space="preserve">mfatter heltidsansatte ledere i foretak utenom offentlig forvaltning og helseforetakene. Lederne er hentet fra yrkeskode 1210, administrerende direktør, i foretak med flere enn 10 ansatte og yrkeskode 1300, ledere i små foretak, med færre enn 10 ansatte. Statistikken kan omfatte flere personer med lederfunksjoner i hvert foretak. Lønnsstatistikken bygger på et </w:t>
                            </w:r>
                            <w:r w:rsidRPr="00B46A41">
                              <w:t>representativt</w:t>
                            </w:r>
                            <w:r w:rsidRPr="00143D2A">
                              <w:rPr>
                                <w:b/>
                              </w:rPr>
                              <w:t xml:space="preserve"> </w:t>
                            </w:r>
                            <w:r w:rsidRPr="00FD2617">
                              <w:t>utvalg</w:t>
                            </w:r>
                            <w:r w:rsidRPr="00143D2A">
                              <w:rPr>
                                <w:b/>
                              </w:rPr>
                              <w:t xml:space="preserve"> </w:t>
                            </w:r>
                            <w:r>
                              <w:t xml:space="preserve">av virksomheter med fulltelling blant de største foretakene i hver næring, og et utvalg blant små foretak. Lønnsstatistikken er en strukturstatistikk, som skal ta inn over seg alle strukturelle endringer i arbeidsmarkedet fra år til år, som f. eks. jobbskifter, sysselsettingsendringer, omstrukturering og sammenslåinger/oppsplitting av foretak. Det vil dermed skje en viss utskifting av ledere som er med i lederlønnsstatistikken fra det ene året til det neste. </w:t>
                            </w:r>
                          </w:p>
                          <w:p w14:paraId="0AFB03E1" w14:textId="77777777" w:rsidR="009C4B1A" w:rsidRPr="00B64725" w:rsidRDefault="009C4B1A" w:rsidP="004B1A77">
                            <w:r w:rsidRPr="005E696E">
                              <w:rPr>
                                <w:i/>
                              </w:rPr>
                              <w:t>Lønnsbegrepet</w:t>
                            </w:r>
                            <w:r w:rsidRPr="003C73EE">
                              <w:t xml:space="preserve"> </w:t>
                            </w:r>
                            <w:r>
                              <w:t xml:space="preserve">omfatter avtalt lønn, uregelmessige tillegg, bonus, overtid samt opsjons- og naturalytelser. </w:t>
                            </w:r>
                          </w:p>
                        </w:txbxContent>
                      </wps:txbx>
                      <wps:bodyPr rot="0" vert="horz" wrap="none" lIns="91440" tIns="45720" rIns="91440" bIns="45720" anchor="t" anchorCtr="0" upright="1">
                        <a:noAutofit/>
                      </wps:bodyPr>
                    </wps:wsp>
                  </a:graphicData>
                </a:graphic>
              </wp:inline>
            </w:drawing>
          </mc:Choice>
          <mc:Fallback>
            <w:pict>
              <v:shape w14:anchorId="4D9C1FA8" id="Text Box 580" o:spid="_x0000_s1027" type="#_x0000_t202" style="width:454.25pt;height:244.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">
                <v:textbox>
                  <w:txbxContent>
                    <w:p w14:paraId="4AD37971" w14:textId="77777777" w:rsidR="009C4B1A" w:rsidRDefault="009C4B1A" w:rsidP="004B1A77">
                      <w:pPr>
                        <w:pStyle w:val="tittel-ramme"/>
                        <w:numPr>
                          <w:ilvl w:val="0"/>
                          <w:numId w:val="0"/>
                        </w:numPr>
                        <w:jc w:val="left"/>
                      </w:pPr>
                      <w:r w:rsidRPr="00B46A41">
                        <w:t>Boks 1.</w:t>
                      </w:r>
                      <w:r>
                        <w:t>2</w:t>
                      </w:r>
                      <w:r w:rsidRPr="00B46A41">
                        <w:t xml:space="preserve"> </w:t>
                      </w:r>
                      <w:r>
                        <w:t>L</w:t>
                      </w:r>
                      <w:r w:rsidRPr="00B46A41">
                        <w:t>ønn for ledere basert på Statistisk sentralbyrå</w:t>
                      </w:r>
                      <w:r>
                        <w:t>s lederlønnsstatistikk</w:t>
                      </w:r>
                    </w:p>
                    <w:p w14:paraId="2DE6D15F" w14:textId="52CFD363" w:rsidR="009C4B1A" w:rsidRDefault="009C4B1A" w:rsidP="004B1A77">
                      <w:r w:rsidRPr="005E696E">
                        <w:rPr>
                          <w:i/>
                        </w:rPr>
                        <w:t>Lederlønn</w:t>
                      </w:r>
                      <w:r w:rsidRPr="00143D2A">
                        <w:t xml:space="preserve"> basert på Statistisk sentralbyrås lønnsstatistikk o</w:t>
                      </w:r>
                      <w:r>
                        <w:t xml:space="preserve">mfatter heltidsansatte ledere i foretak utenom offentlig forvaltning og helseforetakene. Lederne er hentet fra yrkeskode 1210, administrerende direktør, i foretak med flere enn 10 ansatte og yrkeskode 1300, ledere i små foretak, med færre enn 10 ansatte. Statistikken kan omfatte flere personer med lederfunksjoner i hvert foretak. Lønnsstatistikken bygger på et </w:t>
                      </w:r>
                      <w:r w:rsidRPr="00B46A41">
                        <w:t>representativt</w:t>
                      </w:r>
                      <w:r w:rsidRPr="00143D2A">
                        <w:rPr>
                          <w:b/>
                        </w:rPr>
                        <w:t xml:space="preserve"> </w:t>
                      </w:r>
                      <w:r w:rsidRPr="00FD2617">
                        <w:t>utvalg</w:t>
                      </w:r>
                      <w:r w:rsidRPr="00143D2A">
                        <w:rPr>
                          <w:b/>
                        </w:rPr>
                        <w:t xml:space="preserve"> </w:t>
                      </w:r>
                      <w:r>
                        <w:t xml:space="preserve">av virksomheter med fulltelling blant de største foretakene i hver næring, og et utvalg blant små foretak. Lønnsstatistikken er en strukturstatistikk, som skal ta inn over seg alle strukturelle endringer i arbeidsmarkedet fra år til år, som f. eks. jobbskifter, sysselsettingsendringer, omstrukturering og sammenslåinger/oppsplitting av foretak. Det vil dermed skje en viss utskifting av ledere som er med i lederlønnsstatistikken fra det ene året til det neste. </w:t>
                      </w:r>
                    </w:p>
                    <w:p w14:paraId="0AFB03E1" w14:textId="77777777" w:rsidR="009C4B1A" w:rsidRPr="00B64725" w:rsidRDefault="009C4B1A" w:rsidP="004B1A77">
                      <w:r w:rsidRPr="005E696E">
                        <w:rPr>
                          <w:i/>
                        </w:rPr>
                        <w:t>Lønnsbegrepet</w:t>
                      </w:r>
                      <w:r w:rsidRPr="003C73EE">
                        <w:t xml:space="preserve"> </w:t>
                      </w:r>
                      <w:r>
                        <w:t xml:space="preserve">omfatter avtalt lønn, uregelmessige tillegg, bonus, overtid samt opsjons- og naturalytelser. </w:t>
                      </w:r>
                    </w:p>
                  </w:txbxContent>
                </v:textbox>
                <w10:anchorlock/>
              </v:shape>
            </w:pict>
          </mc:Fallback>
        </mc:AlternateContent>
      </w:r>
    </w:p>
    <w:p w14:paraId="2DC884C7" w14:textId="77777777" w:rsidR="004B1A77" w:rsidRDefault="004B1A77" w:rsidP="004B1A77">
      <w:pPr>
        <w:spacing w:after="0"/>
      </w:pPr>
    </w:p>
    <w:p w14:paraId="009A8BC1" w14:textId="77777777" w:rsidR="004B1A77" w:rsidRPr="00C575A8" w:rsidRDefault="004B1A77" w:rsidP="004B1A77">
      <w:r w:rsidRPr="00C575A8">
        <w:t>Tabell 1.1</w:t>
      </w:r>
      <w:r>
        <w:t>0 v</w:t>
      </w:r>
      <w:r w:rsidRPr="00C575A8">
        <w:t>iser lønnsutviklingen og lønnsnivå for kvinnelige og mannlige ledere.</w:t>
      </w:r>
      <w:r>
        <w:t xml:space="preserve"> For kvinnelige administrerende direktører </w:t>
      </w:r>
      <w:r w:rsidR="00F83D85">
        <w:t>økte gjennomsnittslønnen</w:t>
      </w:r>
      <w:r>
        <w:t xml:space="preserve"> f</w:t>
      </w:r>
      <w:r w:rsidRPr="003E5E35">
        <w:t>ra september/oktober 20</w:t>
      </w:r>
      <w:r>
        <w:t>12</w:t>
      </w:r>
      <w:r w:rsidRPr="003E5E35">
        <w:t xml:space="preserve"> til samme tidspunkt i </w:t>
      </w:r>
      <w:r>
        <w:t>2013 med 5,4 prosent, mens økning</w:t>
      </w:r>
      <w:r w:rsidR="003031B8">
        <w:t>en</w:t>
      </w:r>
      <w:r>
        <w:t xml:space="preserve"> for menn var 2,7 prosent. </w:t>
      </w:r>
      <w:r w:rsidRPr="00C575A8">
        <w:t xml:space="preserve">Gjennomsnittlig lønnsnivå for kvinnelige </w:t>
      </w:r>
      <w:r>
        <w:t>administrerende direktører</w:t>
      </w:r>
      <w:r w:rsidRPr="00C575A8">
        <w:t xml:space="preserve"> var </w:t>
      </w:r>
      <w:r>
        <w:t xml:space="preserve">per </w:t>
      </w:r>
      <w:r w:rsidRPr="003E5E35">
        <w:t xml:space="preserve">september/oktober </w:t>
      </w:r>
      <w:r w:rsidRPr="00C575A8">
        <w:t>20</w:t>
      </w:r>
      <w:r>
        <w:t>13</w:t>
      </w:r>
      <w:r w:rsidRPr="00C575A8">
        <w:t xml:space="preserve"> om lag </w:t>
      </w:r>
      <w:r>
        <w:t>73</w:t>
      </w:r>
      <w:r w:rsidRPr="00C575A8">
        <w:t xml:space="preserve"> prosent av lønnsnivået for mannlige </w:t>
      </w:r>
      <w:r>
        <w:t>administrerende direktører.</w:t>
      </w:r>
      <w:r w:rsidRPr="00C575A8">
        <w:t xml:space="preserve"> </w:t>
      </w:r>
    </w:p>
    <w:p w14:paraId="43F02D33" w14:textId="77777777" w:rsidR="004B1A77" w:rsidRDefault="004B1A77" w:rsidP="004B1A77">
      <w:pPr>
        <w:pStyle w:val="tabell-tittel"/>
      </w:pPr>
      <w:r>
        <w:t>Gjennomsnittslønn</w:t>
      </w:r>
      <w:r w:rsidRPr="006F4573">
        <w:rPr>
          <w:vertAlign w:val="superscript"/>
        </w:rPr>
        <w:t>1</w:t>
      </w:r>
      <w:r w:rsidRPr="006F4573">
        <w:t xml:space="preserve"> </w:t>
      </w:r>
      <w:r>
        <w:t xml:space="preserve">per september/oktober 2013 </w:t>
      </w:r>
      <w:r w:rsidRPr="006F4573">
        <w:t>inklusive opsjons- og naturalytelser for administrerende direktører</w:t>
      </w:r>
      <w:r w:rsidRPr="006F4573">
        <w:rPr>
          <w:vertAlign w:val="superscript"/>
        </w:rPr>
        <w:t>2</w:t>
      </w:r>
      <w:r w:rsidRPr="006F4573">
        <w:t xml:space="preserve">. Menn og kvinner. Vekst fra </w:t>
      </w:r>
      <w:r>
        <w:t>året før i prosent.</w:t>
      </w:r>
    </w:p>
    <w:tbl>
      <w:tblPr>
        <w:tblStyle w:val="TrykketTabell"/>
        <w:tblW w:w="5000" w:type="pct"/>
        <w:tblLook w:val="04A0" w:firstRow="1" w:lastRow="0" w:firstColumn="1" w:lastColumn="0" w:noHBand="0" w:noVBand="1"/>
      </w:tblPr>
      <w:tblGrid>
        <w:gridCol w:w="2354"/>
        <w:gridCol w:w="983"/>
        <w:gridCol w:w="1230"/>
        <w:gridCol w:w="1589"/>
        <w:gridCol w:w="1545"/>
        <w:gridCol w:w="1369"/>
      </w:tblGrid>
      <w:tr w:rsidR="004B1A77" w:rsidRPr="005F160D" w14:paraId="59CF1AD8" w14:textId="77777777" w:rsidTr="00795948">
        <w:trPr>
          <w:cnfStyle w:val="100000000000" w:firstRow="1" w:lastRow="0" w:firstColumn="0" w:lastColumn="0" w:oddVBand="0" w:evenVBand="0" w:oddHBand="0" w:evenHBand="0" w:firstRowFirstColumn="0" w:firstRowLastColumn="0" w:lastRowFirstColumn="0" w:lastRowLastColumn="0"/>
        </w:trPr>
        <w:tc>
          <w:tcPr>
            <w:tcW w:w="1299" w:type="pct"/>
            <w:vAlign w:val="bottom"/>
          </w:tcPr>
          <w:p w14:paraId="7002DF4F" w14:textId="77777777" w:rsidR="004B1A77" w:rsidRPr="005F160D" w:rsidRDefault="004B1A77" w:rsidP="00795948">
            <w:pPr>
              <w:jc w:val="center"/>
              <w:rPr>
                <w:rFonts w:ascii="Times New Roman" w:hAnsi="Times New Roman"/>
              </w:rPr>
            </w:pPr>
          </w:p>
        </w:tc>
        <w:tc>
          <w:tcPr>
            <w:tcW w:w="543" w:type="pct"/>
            <w:vAlign w:val="bottom"/>
          </w:tcPr>
          <w:p w14:paraId="393DC094" w14:textId="77777777" w:rsidR="004B1A77" w:rsidRPr="005F160D" w:rsidRDefault="004B1A77" w:rsidP="00795948">
            <w:pPr>
              <w:jc w:val="center"/>
              <w:rPr>
                <w:rFonts w:ascii="Times New Roman" w:hAnsi="Times New Roman"/>
              </w:rPr>
            </w:pPr>
            <w:r w:rsidRPr="005F160D">
              <w:rPr>
                <w:rFonts w:ascii="Times New Roman" w:hAnsi="Times New Roman"/>
              </w:rPr>
              <w:t>Antall</w:t>
            </w:r>
          </w:p>
        </w:tc>
        <w:tc>
          <w:tcPr>
            <w:tcW w:w="672" w:type="pct"/>
            <w:vAlign w:val="bottom"/>
          </w:tcPr>
          <w:p w14:paraId="1111B061" w14:textId="77777777" w:rsidR="004B1A77" w:rsidRPr="005F160D" w:rsidRDefault="004B1A77" w:rsidP="00795948">
            <w:pPr>
              <w:jc w:val="center"/>
              <w:rPr>
                <w:rFonts w:ascii="Times New Roman" w:hAnsi="Times New Roman"/>
              </w:rPr>
            </w:pPr>
            <w:r w:rsidRPr="005F160D">
              <w:rPr>
                <w:rFonts w:ascii="Times New Roman" w:hAnsi="Times New Roman"/>
              </w:rPr>
              <w:t>Samlet lønnsnivå</w:t>
            </w:r>
            <w:r w:rsidRPr="005F160D">
              <w:rPr>
                <w:rFonts w:ascii="Times New Roman" w:hAnsi="Times New Roman"/>
                <w:vertAlign w:val="superscript"/>
              </w:rPr>
              <w:t>1</w:t>
            </w:r>
          </w:p>
        </w:tc>
        <w:tc>
          <w:tcPr>
            <w:tcW w:w="877" w:type="pct"/>
            <w:vAlign w:val="bottom"/>
          </w:tcPr>
          <w:p w14:paraId="6EA83F12" w14:textId="77777777" w:rsidR="004B1A77" w:rsidRPr="005F160D" w:rsidRDefault="004B1A77" w:rsidP="00795948">
            <w:pPr>
              <w:jc w:val="center"/>
              <w:rPr>
                <w:rFonts w:ascii="Times New Roman" w:hAnsi="Times New Roman"/>
              </w:rPr>
            </w:pPr>
            <w:r w:rsidRPr="005F160D">
              <w:rPr>
                <w:rFonts w:ascii="Times New Roman" w:hAnsi="Times New Roman"/>
              </w:rPr>
              <w:t>Lønnsvekst fra året før</w:t>
            </w:r>
          </w:p>
        </w:tc>
        <w:tc>
          <w:tcPr>
            <w:tcW w:w="1609" w:type="pct"/>
            <w:gridSpan w:val="2"/>
            <w:vAlign w:val="bottom"/>
          </w:tcPr>
          <w:p w14:paraId="47887A78" w14:textId="77777777" w:rsidR="004B1A77" w:rsidRPr="005F160D" w:rsidRDefault="004B1A77" w:rsidP="00795948">
            <w:pPr>
              <w:jc w:val="center"/>
              <w:rPr>
                <w:rFonts w:ascii="Times New Roman" w:hAnsi="Times New Roman"/>
              </w:rPr>
            </w:pPr>
            <w:r w:rsidRPr="005F160D">
              <w:rPr>
                <w:rFonts w:ascii="Times New Roman" w:hAnsi="Times New Roman"/>
              </w:rPr>
              <w:t>Opsjons- og naturalytelser</w:t>
            </w:r>
          </w:p>
        </w:tc>
      </w:tr>
      <w:tr w:rsidR="004B1A77" w:rsidRPr="005F160D" w14:paraId="14AB4CFF" w14:textId="77777777" w:rsidTr="00795948">
        <w:tc>
          <w:tcPr>
            <w:tcW w:w="1299" w:type="pct"/>
            <w:tcBorders>
              <w:top w:val="single" w:sz="4" w:space="0" w:color="auto"/>
              <w:bottom w:val="single" w:sz="4" w:space="0" w:color="auto"/>
            </w:tcBorders>
          </w:tcPr>
          <w:p w14:paraId="7945B4B8" w14:textId="77777777" w:rsidR="004B1A77" w:rsidRPr="005F160D" w:rsidRDefault="004B1A77" w:rsidP="00795948">
            <w:pPr>
              <w:rPr>
                <w:rFonts w:ascii="Times New Roman" w:hAnsi="Times New Roman"/>
              </w:rPr>
            </w:pPr>
          </w:p>
        </w:tc>
        <w:tc>
          <w:tcPr>
            <w:tcW w:w="543" w:type="pct"/>
            <w:tcBorders>
              <w:top w:val="single" w:sz="4" w:space="0" w:color="auto"/>
              <w:bottom w:val="single" w:sz="4" w:space="0" w:color="auto"/>
            </w:tcBorders>
          </w:tcPr>
          <w:p w14:paraId="0232F866" w14:textId="77777777" w:rsidR="004B1A77" w:rsidRPr="005F160D" w:rsidRDefault="004B1A77" w:rsidP="00795948">
            <w:pPr>
              <w:jc w:val="right"/>
              <w:rPr>
                <w:rFonts w:ascii="Times New Roman" w:hAnsi="Times New Roman"/>
              </w:rPr>
            </w:pPr>
            <w:r w:rsidRPr="005F160D">
              <w:rPr>
                <w:rFonts w:ascii="Times New Roman" w:hAnsi="Times New Roman"/>
              </w:rPr>
              <w:t>201</w:t>
            </w:r>
            <w:r>
              <w:rPr>
                <w:rFonts w:ascii="Times New Roman" w:hAnsi="Times New Roman"/>
              </w:rPr>
              <w:t>3</w:t>
            </w:r>
          </w:p>
        </w:tc>
        <w:tc>
          <w:tcPr>
            <w:tcW w:w="672" w:type="pct"/>
            <w:tcBorders>
              <w:top w:val="single" w:sz="4" w:space="0" w:color="auto"/>
              <w:bottom w:val="single" w:sz="4" w:space="0" w:color="auto"/>
            </w:tcBorders>
          </w:tcPr>
          <w:p w14:paraId="787016C6" w14:textId="77777777" w:rsidR="004B1A77" w:rsidRPr="005F160D" w:rsidRDefault="004B1A77" w:rsidP="00795948">
            <w:pPr>
              <w:jc w:val="right"/>
              <w:rPr>
                <w:rFonts w:ascii="Times New Roman" w:hAnsi="Times New Roman"/>
              </w:rPr>
            </w:pPr>
            <w:r w:rsidRPr="005F160D">
              <w:rPr>
                <w:rFonts w:ascii="Times New Roman" w:hAnsi="Times New Roman"/>
              </w:rPr>
              <w:t>201</w:t>
            </w:r>
            <w:r>
              <w:rPr>
                <w:rFonts w:ascii="Times New Roman" w:hAnsi="Times New Roman"/>
              </w:rPr>
              <w:t>3</w:t>
            </w:r>
          </w:p>
        </w:tc>
        <w:tc>
          <w:tcPr>
            <w:tcW w:w="877" w:type="pct"/>
            <w:tcBorders>
              <w:top w:val="single" w:sz="4" w:space="0" w:color="auto"/>
              <w:bottom w:val="single" w:sz="4" w:space="0" w:color="auto"/>
            </w:tcBorders>
          </w:tcPr>
          <w:p w14:paraId="7F26B332" w14:textId="77777777" w:rsidR="004B1A77" w:rsidRPr="005F160D" w:rsidRDefault="004B1A77" w:rsidP="00795948">
            <w:pPr>
              <w:jc w:val="right"/>
              <w:rPr>
                <w:rFonts w:ascii="Times New Roman" w:hAnsi="Times New Roman"/>
              </w:rPr>
            </w:pPr>
            <w:r w:rsidRPr="005F160D">
              <w:rPr>
                <w:rFonts w:ascii="Times New Roman" w:hAnsi="Times New Roman"/>
              </w:rPr>
              <w:t>201</w:t>
            </w:r>
            <w:r>
              <w:rPr>
                <w:rFonts w:ascii="Times New Roman" w:hAnsi="Times New Roman"/>
              </w:rPr>
              <w:t>3</w:t>
            </w:r>
          </w:p>
        </w:tc>
        <w:tc>
          <w:tcPr>
            <w:tcW w:w="853" w:type="pct"/>
            <w:tcBorders>
              <w:top w:val="single" w:sz="4" w:space="0" w:color="auto"/>
              <w:bottom w:val="single" w:sz="4" w:space="0" w:color="auto"/>
            </w:tcBorders>
          </w:tcPr>
          <w:p w14:paraId="0AB59375" w14:textId="77777777" w:rsidR="004B1A77" w:rsidRPr="005F160D" w:rsidRDefault="004B1A77" w:rsidP="00795948">
            <w:pPr>
              <w:jc w:val="right"/>
              <w:rPr>
                <w:rFonts w:ascii="Times New Roman" w:hAnsi="Times New Roman"/>
              </w:rPr>
            </w:pPr>
            <w:r w:rsidRPr="005F160D">
              <w:rPr>
                <w:rFonts w:ascii="Times New Roman" w:hAnsi="Times New Roman"/>
              </w:rPr>
              <w:t>2012</w:t>
            </w:r>
          </w:p>
        </w:tc>
        <w:tc>
          <w:tcPr>
            <w:tcW w:w="756" w:type="pct"/>
            <w:tcBorders>
              <w:top w:val="single" w:sz="4" w:space="0" w:color="auto"/>
              <w:bottom w:val="single" w:sz="4" w:space="0" w:color="auto"/>
            </w:tcBorders>
          </w:tcPr>
          <w:p w14:paraId="72E6A094" w14:textId="77777777" w:rsidR="004B1A77" w:rsidRPr="005F160D" w:rsidRDefault="004B1A77" w:rsidP="00795948">
            <w:pPr>
              <w:jc w:val="right"/>
              <w:rPr>
                <w:rFonts w:ascii="Times New Roman" w:hAnsi="Times New Roman"/>
              </w:rPr>
            </w:pPr>
            <w:r w:rsidRPr="005F160D">
              <w:rPr>
                <w:rFonts w:ascii="Times New Roman" w:hAnsi="Times New Roman"/>
              </w:rPr>
              <w:t>201</w:t>
            </w:r>
            <w:r>
              <w:rPr>
                <w:rFonts w:ascii="Times New Roman" w:hAnsi="Times New Roman"/>
              </w:rPr>
              <w:t>3</w:t>
            </w:r>
          </w:p>
        </w:tc>
      </w:tr>
      <w:tr w:rsidR="004B1A77" w:rsidRPr="005F160D" w14:paraId="46B72343" w14:textId="77777777" w:rsidTr="00795948">
        <w:tc>
          <w:tcPr>
            <w:tcW w:w="1299" w:type="pct"/>
            <w:tcBorders>
              <w:top w:val="single" w:sz="4" w:space="0" w:color="auto"/>
            </w:tcBorders>
          </w:tcPr>
          <w:p w14:paraId="0AB5969A" w14:textId="77777777" w:rsidR="004B1A77" w:rsidRPr="005F160D" w:rsidRDefault="004B1A77" w:rsidP="00795948">
            <w:pPr>
              <w:rPr>
                <w:rFonts w:ascii="Times New Roman" w:hAnsi="Times New Roman"/>
              </w:rPr>
            </w:pPr>
            <w:r w:rsidRPr="005F160D">
              <w:rPr>
                <w:rFonts w:ascii="Times New Roman" w:hAnsi="Times New Roman"/>
              </w:rPr>
              <w:t xml:space="preserve">Alle </w:t>
            </w:r>
            <w:r w:rsidRPr="005F160D">
              <w:rPr>
                <w:rFonts w:ascii="Times New Roman" w:hAnsi="Times New Roman"/>
                <w:color w:val="000000"/>
              </w:rPr>
              <w:t>adm. direktører</w:t>
            </w:r>
            <w:r w:rsidRPr="005F160D">
              <w:rPr>
                <w:rFonts w:ascii="Times New Roman" w:hAnsi="Times New Roman"/>
                <w:vertAlign w:val="superscript"/>
              </w:rPr>
              <w:t>2</w:t>
            </w:r>
          </w:p>
        </w:tc>
        <w:tc>
          <w:tcPr>
            <w:tcW w:w="543" w:type="pct"/>
            <w:tcBorders>
              <w:top w:val="single" w:sz="4" w:space="0" w:color="auto"/>
            </w:tcBorders>
          </w:tcPr>
          <w:p w14:paraId="735F3BC1" w14:textId="77777777" w:rsidR="004B1A77" w:rsidRPr="005F160D" w:rsidRDefault="004B1A77" w:rsidP="00795948">
            <w:pPr>
              <w:jc w:val="right"/>
              <w:rPr>
                <w:rFonts w:ascii="Times New Roman" w:hAnsi="Times New Roman"/>
              </w:rPr>
            </w:pPr>
            <w:r w:rsidRPr="005F160D">
              <w:rPr>
                <w:rFonts w:ascii="Times New Roman" w:hAnsi="Times New Roman"/>
              </w:rPr>
              <w:t xml:space="preserve">10 </w:t>
            </w:r>
            <w:r>
              <w:rPr>
                <w:rFonts w:ascii="Times New Roman" w:hAnsi="Times New Roman"/>
              </w:rPr>
              <w:t>836</w:t>
            </w:r>
          </w:p>
        </w:tc>
        <w:tc>
          <w:tcPr>
            <w:tcW w:w="672" w:type="pct"/>
            <w:tcBorders>
              <w:top w:val="single" w:sz="4" w:space="0" w:color="auto"/>
            </w:tcBorders>
          </w:tcPr>
          <w:p w14:paraId="27844297" w14:textId="77777777" w:rsidR="004B1A77" w:rsidRPr="005F160D" w:rsidRDefault="004B1A77" w:rsidP="00795948">
            <w:pPr>
              <w:jc w:val="right"/>
              <w:rPr>
                <w:rFonts w:ascii="Times New Roman" w:hAnsi="Times New Roman"/>
              </w:rPr>
            </w:pPr>
            <w:r>
              <w:rPr>
                <w:rFonts w:ascii="Times New Roman" w:hAnsi="Times New Roman"/>
              </w:rPr>
              <w:t>904 800</w:t>
            </w:r>
          </w:p>
        </w:tc>
        <w:tc>
          <w:tcPr>
            <w:tcW w:w="877" w:type="pct"/>
            <w:tcBorders>
              <w:top w:val="single" w:sz="4" w:space="0" w:color="auto"/>
            </w:tcBorders>
          </w:tcPr>
          <w:p w14:paraId="17FB6EDA" w14:textId="77777777" w:rsidR="004B1A77" w:rsidRPr="005F160D" w:rsidRDefault="004B1A77" w:rsidP="00795948">
            <w:pPr>
              <w:jc w:val="right"/>
              <w:rPr>
                <w:rFonts w:ascii="Times New Roman" w:hAnsi="Times New Roman"/>
              </w:rPr>
            </w:pPr>
            <w:r>
              <w:rPr>
                <w:rFonts w:ascii="Times New Roman" w:hAnsi="Times New Roman"/>
              </w:rPr>
              <w:t>3,0</w:t>
            </w:r>
          </w:p>
        </w:tc>
        <w:tc>
          <w:tcPr>
            <w:tcW w:w="853" w:type="pct"/>
            <w:tcBorders>
              <w:top w:val="single" w:sz="4" w:space="0" w:color="auto"/>
            </w:tcBorders>
          </w:tcPr>
          <w:p w14:paraId="23D86C6D" w14:textId="77777777" w:rsidR="004B1A77" w:rsidRPr="005F160D" w:rsidRDefault="004B1A77" w:rsidP="00795948">
            <w:pPr>
              <w:jc w:val="right"/>
              <w:rPr>
                <w:rFonts w:ascii="Times New Roman" w:hAnsi="Times New Roman"/>
              </w:rPr>
            </w:pPr>
            <w:r w:rsidRPr="005F160D">
              <w:rPr>
                <w:rFonts w:ascii="Times New Roman" w:hAnsi="Times New Roman"/>
              </w:rPr>
              <w:t>16 800</w:t>
            </w:r>
          </w:p>
        </w:tc>
        <w:tc>
          <w:tcPr>
            <w:tcW w:w="756" w:type="pct"/>
            <w:tcBorders>
              <w:top w:val="single" w:sz="4" w:space="0" w:color="auto"/>
            </w:tcBorders>
          </w:tcPr>
          <w:p w14:paraId="40C45329" w14:textId="77777777" w:rsidR="004B1A77" w:rsidRPr="005F160D" w:rsidRDefault="004B1A77" w:rsidP="00795948">
            <w:pPr>
              <w:jc w:val="right"/>
              <w:rPr>
                <w:rFonts w:ascii="Times New Roman" w:hAnsi="Times New Roman"/>
              </w:rPr>
            </w:pPr>
            <w:r>
              <w:rPr>
                <w:rFonts w:ascii="Times New Roman" w:hAnsi="Times New Roman"/>
              </w:rPr>
              <w:t>18 000</w:t>
            </w:r>
          </w:p>
        </w:tc>
      </w:tr>
      <w:tr w:rsidR="004B1A77" w:rsidRPr="005F160D" w14:paraId="7895FF5D" w14:textId="77777777" w:rsidTr="00795948">
        <w:tc>
          <w:tcPr>
            <w:tcW w:w="1299" w:type="pct"/>
          </w:tcPr>
          <w:p w14:paraId="7AD0933C" w14:textId="77777777" w:rsidR="004B1A77" w:rsidRPr="005F160D" w:rsidRDefault="004B1A77" w:rsidP="00EB23A2">
            <w:pPr>
              <w:pStyle w:val="Listeavsnitt"/>
              <w:numPr>
                <w:ilvl w:val="0"/>
                <w:numId w:val="22"/>
              </w:numPr>
              <w:spacing w:before="0" w:after="120" w:line="240" w:lineRule="auto"/>
              <w:contextualSpacing/>
              <w:rPr>
                <w:rFonts w:cs="Times New Roman"/>
              </w:rPr>
            </w:pPr>
            <w:r w:rsidRPr="005F160D">
              <w:rPr>
                <w:rFonts w:cs="Times New Roman"/>
              </w:rPr>
              <w:t>menn</w:t>
            </w:r>
          </w:p>
        </w:tc>
        <w:tc>
          <w:tcPr>
            <w:tcW w:w="543" w:type="pct"/>
          </w:tcPr>
          <w:p w14:paraId="2EAD5318" w14:textId="77777777" w:rsidR="004B1A77" w:rsidRPr="005F160D" w:rsidRDefault="004B1A77" w:rsidP="00795948">
            <w:pPr>
              <w:jc w:val="right"/>
              <w:rPr>
                <w:rFonts w:ascii="Times New Roman" w:hAnsi="Times New Roman"/>
              </w:rPr>
            </w:pPr>
            <w:r>
              <w:rPr>
                <w:rFonts w:ascii="Times New Roman" w:hAnsi="Times New Roman"/>
              </w:rPr>
              <w:t>7 886</w:t>
            </w:r>
          </w:p>
        </w:tc>
        <w:tc>
          <w:tcPr>
            <w:tcW w:w="672" w:type="pct"/>
          </w:tcPr>
          <w:p w14:paraId="4A598195" w14:textId="77777777" w:rsidR="004B1A77" w:rsidRPr="005F160D" w:rsidRDefault="004B1A77" w:rsidP="00795948">
            <w:pPr>
              <w:jc w:val="right"/>
              <w:rPr>
                <w:rFonts w:ascii="Times New Roman" w:hAnsi="Times New Roman"/>
              </w:rPr>
            </w:pPr>
            <w:r>
              <w:rPr>
                <w:rFonts w:ascii="Times New Roman" w:hAnsi="Times New Roman"/>
              </w:rPr>
              <w:t>963 600</w:t>
            </w:r>
          </w:p>
        </w:tc>
        <w:tc>
          <w:tcPr>
            <w:tcW w:w="877" w:type="pct"/>
          </w:tcPr>
          <w:p w14:paraId="66CCFE01" w14:textId="77777777" w:rsidR="004B1A77" w:rsidRPr="005F160D" w:rsidRDefault="004B1A77" w:rsidP="00795948">
            <w:pPr>
              <w:jc w:val="right"/>
              <w:rPr>
                <w:rFonts w:ascii="Times New Roman" w:hAnsi="Times New Roman"/>
              </w:rPr>
            </w:pPr>
            <w:r>
              <w:rPr>
                <w:rFonts w:ascii="Times New Roman" w:hAnsi="Times New Roman"/>
              </w:rPr>
              <w:t>2,7</w:t>
            </w:r>
          </w:p>
        </w:tc>
        <w:tc>
          <w:tcPr>
            <w:tcW w:w="853" w:type="pct"/>
          </w:tcPr>
          <w:p w14:paraId="61395423" w14:textId="77777777" w:rsidR="004B1A77" w:rsidRPr="005F160D" w:rsidRDefault="004B1A77" w:rsidP="00795948">
            <w:pPr>
              <w:jc w:val="right"/>
              <w:rPr>
                <w:rFonts w:ascii="Times New Roman" w:hAnsi="Times New Roman"/>
              </w:rPr>
            </w:pPr>
            <w:r w:rsidRPr="005F160D">
              <w:rPr>
                <w:rFonts w:ascii="Times New Roman" w:hAnsi="Times New Roman"/>
              </w:rPr>
              <w:t>19 200</w:t>
            </w:r>
          </w:p>
        </w:tc>
        <w:tc>
          <w:tcPr>
            <w:tcW w:w="756" w:type="pct"/>
          </w:tcPr>
          <w:p w14:paraId="6F5DB281" w14:textId="77777777" w:rsidR="004B1A77" w:rsidRPr="005F160D" w:rsidRDefault="004B1A77" w:rsidP="00795948">
            <w:pPr>
              <w:jc w:val="right"/>
              <w:rPr>
                <w:rFonts w:ascii="Times New Roman" w:hAnsi="Times New Roman"/>
              </w:rPr>
            </w:pPr>
            <w:r>
              <w:rPr>
                <w:rFonts w:ascii="Times New Roman" w:hAnsi="Times New Roman"/>
              </w:rPr>
              <w:t>20 400</w:t>
            </w:r>
          </w:p>
        </w:tc>
      </w:tr>
      <w:tr w:rsidR="004B1A77" w:rsidRPr="005F160D" w14:paraId="392E0F8E" w14:textId="77777777" w:rsidTr="00795948">
        <w:tc>
          <w:tcPr>
            <w:tcW w:w="1299" w:type="pct"/>
          </w:tcPr>
          <w:p w14:paraId="2D728068" w14:textId="77777777" w:rsidR="004B1A77" w:rsidRPr="005F160D" w:rsidRDefault="004B1A77" w:rsidP="00EB23A2">
            <w:pPr>
              <w:pStyle w:val="Listeavsnitt"/>
              <w:numPr>
                <w:ilvl w:val="0"/>
                <w:numId w:val="22"/>
              </w:numPr>
              <w:spacing w:before="0" w:after="120" w:line="240" w:lineRule="auto"/>
              <w:contextualSpacing/>
              <w:rPr>
                <w:rFonts w:cs="Times New Roman"/>
              </w:rPr>
            </w:pPr>
            <w:r w:rsidRPr="005F160D">
              <w:rPr>
                <w:rFonts w:cs="Times New Roman"/>
              </w:rPr>
              <w:t>kvinner</w:t>
            </w:r>
          </w:p>
        </w:tc>
        <w:tc>
          <w:tcPr>
            <w:tcW w:w="543" w:type="pct"/>
          </w:tcPr>
          <w:p w14:paraId="1CB4E5BB" w14:textId="77777777" w:rsidR="004B1A77" w:rsidRPr="005F160D" w:rsidRDefault="004B1A77" w:rsidP="00795948">
            <w:pPr>
              <w:jc w:val="right"/>
              <w:rPr>
                <w:rFonts w:ascii="Times New Roman" w:hAnsi="Times New Roman"/>
              </w:rPr>
            </w:pPr>
            <w:r>
              <w:rPr>
                <w:rFonts w:ascii="Times New Roman" w:hAnsi="Times New Roman"/>
              </w:rPr>
              <w:t>2 950</w:t>
            </w:r>
          </w:p>
        </w:tc>
        <w:tc>
          <w:tcPr>
            <w:tcW w:w="672" w:type="pct"/>
          </w:tcPr>
          <w:p w14:paraId="62DE0981" w14:textId="77777777" w:rsidR="004B1A77" w:rsidRPr="005F160D" w:rsidRDefault="004B1A77" w:rsidP="00795948">
            <w:pPr>
              <w:jc w:val="right"/>
              <w:rPr>
                <w:rFonts w:ascii="Times New Roman" w:hAnsi="Times New Roman"/>
              </w:rPr>
            </w:pPr>
            <w:r>
              <w:rPr>
                <w:rFonts w:ascii="Times New Roman" w:hAnsi="Times New Roman"/>
              </w:rPr>
              <w:t>705 600</w:t>
            </w:r>
          </w:p>
        </w:tc>
        <w:tc>
          <w:tcPr>
            <w:tcW w:w="877" w:type="pct"/>
          </w:tcPr>
          <w:p w14:paraId="7B1F7A25" w14:textId="77777777" w:rsidR="004B1A77" w:rsidRPr="005F160D" w:rsidRDefault="004B1A77" w:rsidP="00795948">
            <w:pPr>
              <w:jc w:val="right"/>
              <w:rPr>
                <w:rFonts w:ascii="Times New Roman" w:hAnsi="Times New Roman"/>
              </w:rPr>
            </w:pPr>
            <w:r>
              <w:rPr>
                <w:rFonts w:ascii="Times New Roman" w:hAnsi="Times New Roman"/>
              </w:rPr>
              <w:t>5,4</w:t>
            </w:r>
          </w:p>
        </w:tc>
        <w:tc>
          <w:tcPr>
            <w:tcW w:w="853" w:type="pct"/>
          </w:tcPr>
          <w:p w14:paraId="019DC6F2" w14:textId="77777777" w:rsidR="004B1A77" w:rsidRPr="005F160D" w:rsidRDefault="004B1A77" w:rsidP="00795948">
            <w:pPr>
              <w:jc w:val="right"/>
              <w:rPr>
                <w:rFonts w:ascii="Times New Roman" w:hAnsi="Times New Roman"/>
              </w:rPr>
            </w:pPr>
            <w:r w:rsidRPr="005F160D">
              <w:rPr>
                <w:rFonts w:ascii="Times New Roman" w:hAnsi="Times New Roman"/>
              </w:rPr>
              <w:t>7 200</w:t>
            </w:r>
          </w:p>
        </w:tc>
        <w:tc>
          <w:tcPr>
            <w:tcW w:w="756" w:type="pct"/>
          </w:tcPr>
          <w:p w14:paraId="1CE5DBCD" w14:textId="77777777" w:rsidR="004B1A77" w:rsidRPr="005F160D" w:rsidRDefault="004B1A77" w:rsidP="00795948">
            <w:pPr>
              <w:jc w:val="right"/>
              <w:rPr>
                <w:rFonts w:ascii="Times New Roman" w:hAnsi="Times New Roman"/>
              </w:rPr>
            </w:pPr>
            <w:r>
              <w:rPr>
                <w:rFonts w:ascii="Times New Roman" w:hAnsi="Times New Roman"/>
              </w:rPr>
              <w:t>9 600</w:t>
            </w:r>
          </w:p>
        </w:tc>
      </w:tr>
    </w:tbl>
    <w:p w14:paraId="371795E3" w14:textId="77777777" w:rsidR="004B1A77" w:rsidRDefault="004B1A77" w:rsidP="00EB23A2">
      <w:pPr>
        <w:pStyle w:val="tabell-noter"/>
        <w:numPr>
          <w:ilvl w:val="0"/>
          <w:numId w:val="20"/>
        </w:numPr>
        <w:spacing w:after="0"/>
      </w:pPr>
      <w:r w:rsidRPr="00B91606">
        <w:t xml:space="preserve">Månedslønn </w:t>
      </w:r>
      <w:r>
        <w:t xml:space="preserve">inkl. overtid </w:t>
      </w:r>
      <w:r w:rsidRPr="00B91606">
        <w:t>*12 med tillegg av opsjons</w:t>
      </w:r>
      <w:r>
        <w:t>- og</w:t>
      </w:r>
      <w:r w:rsidRPr="00B91606">
        <w:t xml:space="preserve"> naturalytelse</w:t>
      </w:r>
      <w:r>
        <w:t>r</w:t>
      </w:r>
      <w:r w:rsidRPr="00B91606">
        <w:t xml:space="preserve"> fra LTO-registeret.</w:t>
      </w:r>
      <w:r>
        <w:t xml:space="preserve"> Lønnsbegrepet o</w:t>
      </w:r>
      <w:r w:rsidRPr="00B91606">
        <w:t>mfatter avtalt lønn, uregelmessige tillegg</w:t>
      </w:r>
      <w:r>
        <w:t>,</w:t>
      </w:r>
      <w:r w:rsidRPr="00B91606">
        <w:t xml:space="preserve"> bonus,</w:t>
      </w:r>
      <w:r>
        <w:t xml:space="preserve"> overtid samt </w:t>
      </w:r>
      <w:r w:rsidRPr="00B91606">
        <w:t>opsjons</w:t>
      </w:r>
      <w:r>
        <w:t>- og n</w:t>
      </w:r>
      <w:r w:rsidRPr="00B91606">
        <w:t xml:space="preserve">aturalytelser. </w:t>
      </w:r>
    </w:p>
    <w:p w14:paraId="1EDDF8CA" w14:textId="77777777" w:rsidR="004B1A77" w:rsidRPr="00B91606" w:rsidRDefault="004B1A77" w:rsidP="00EB23A2">
      <w:pPr>
        <w:pStyle w:val="tabell-noter"/>
        <w:numPr>
          <w:ilvl w:val="0"/>
          <w:numId w:val="20"/>
        </w:numPr>
        <w:spacing w:after="0"/>
      </w:pPr>
      <w:r w:rsidRPr="00B91606">
        <w:t xml:space="preserve">Administrerende direktører </w:t>
      </w:r>
      <w:r>
        <w:t>og andre med lederfunksjoner</w:t>
      </w:r>
      <w:r w:rsidRPr="00B91606">
        <w:t xml:space="preserve"> i </w:t>
      </w:r>
      <w:r>
        <w:t>foretak</w:t>
      </w:r>
      <w:r w:rsidRPr="00B91606">
        <w:t xml:space="preserve"> med 10 eller flere ansatte</w:t>
      </w:r>
      <w:r w:rsidR="003031B8">
        <w:t>.</w:t>
      </w:r>
      <w:r w:rsidRPr="00B91606">
        <w:t xml:space="preserve"> </w:t>
      </w:r>
    </w:p>
    <w:p w14:paraId="449E1042" w14:textId="77777777" w:rsidR="004B1A77" w:rsidRDefault="004B1A77" w:rsidP="004B1A77">
      <w:pPr>
        <w:pStyle w:val="Kilde"/>
      </w:pPr>
      <w:r>
        <w:t>Kilde: Statistisk sentralbyrå, lønnsstatistikken og LTO-registeret.</w:t>
      </w:r>
    </w:p>
    <w:p w14:paraId="7EE29AA0" w14:textId="77777777" w:rsidR="004B1A77" w:rsidRDefault="004B1A77" w:rsidP="004B1A77">
      <w:r>
        <w:t xml:space="preserve">Tabell 1.11 viser gjennomsnittlig lønnsnivå og lønnsutvikling for administrerende direktører etter foretaksstørrelse. Det er ikke en entydig sammenheng mellom foretaksstørrelse og lønnsnivå. I 2013 var lønnsnivået </w:t>
      </w:r>
      <w:r w:rsidR="003031B8">
        <w:t xml:space="preserve">i gjennomsnitt </w:t>
      </w:r>
      <w:r>
        <w:t xml:space="preserve">høyest for administrerende direktører i foretak med 100 til 249 ansatte.  Noe av forklaring på dette kan være at statistikken omfatter flere personer med lederfunksjoner i hvert foretak, slik at sammensetningen av ledergruppen som inngår kan variere mellom foretaksstørrelser. Det kan også skyldes næringsvise forskjeller i foretaksstørrelser.  </w:t>
      </w:r>
    </w:p>
    <w:p w14:paraId="4560EE5A" w14:textId="77777777" w:rsidR="004B1A77" w:rsidRDefault="004B1A77" w:rsidP="004B1A77">
      <w:pPr>
        <w:pStyle w:val="tabell-tittel"/>
      </w:pPr>
      <w:r>
        <w:t>Gjennomsnittslønn</w:t>
      </w:r>
      <w:r w:rsidRPr="006F4573">
        <w:rPr>
          <w:vertAlign w:val="superscript"/>
        </w:rPr>
        <w:t>1</w:t>
      </w:r>
      <w:r w:rsidRPr="006F4573">
        <w:t xml:space="preserve"> </w:t>
      </w:r>
      <w:r>
        <w:t xml:space="preserve">per september/oktober 2013 </w:t>
      </w:r>
      <w:r w:rsidRPr="006F4573">
        <w:t>inklusive opsjons- og naturalytelser for administrerende direktører</w:t>
      </w:r>
      <w:r w:rsidRPr="006F4573">
        <w:rPr>
          <w:vertAlign w:val="superscript"/>
        </w:rPr>
        <w:t>2</w:t>
      </w:r>
      <w:r>
        <w:rPr>
          <w:vertAlign w:val="superscript"/>
        </w:rPr>
        <w:t xml:space="preserve"> </w:t>
      </w:r>
      <w:r>
        <w:t>etter foretaksstørrelse</w:t>
      </w:r>
      <w:r w:rsidRPr="006F4573">
        <w:t xml:space="preserve">. Vekst fra </w:t>
      </w:r>
      <w:r>
        <w:t>året før i prosent.</w:t>
      </w:r>
    </w:p>
    <w:tbl>
      <w:tblPr>
        <w:tblStyle w:val="TrykketTabell"/>
        <w:tblW w:w="0" w:type="auto"/>
        <w:tblLook w:val="04A0" w:firstRow="1" w:lastRow="0" w:firstColumn="1" w:lastColumn="0" w:noHBand="0" w:noVBand="1"/>
      </w:tblPr>
      <w:tblGrid>
        <w:gridCol w:w="2089"/>
        <w:gridCol w:w="2180"/>
        <w:gridCol w:w="1403"/>
        <w:gridCol w:w="1582"/>
        <w:gridCol w:w="1816"/>
      </w:tblGrid>
      <w:tr w:rsidR="004B1A77" w:rsidRPr="005F160D" w14:paraId="1C86603C" w14:textId="77777777" w:rsidTr="00795948">
        <w:trPr>
          <w:cnfStyle w:val="100000000000" w:firstRow="1" w:lastRow="0" w:firstColumn="0" w:lastColumn="0" w:oddVBand="0" w:evenVBand="0" w:oddHBand="0" w:evenHBand="0" w:firstRowFirstColumn="0" w:firstRowLastColumn="0" w:lastRowFirstColumn="0" w:lastRowLastColumn="0"/>
        </w:trPr>
        <w:tc>
          <w:tcPr>
            <w:tcW w:w="0" w:type="auto"/>
          </w:tcPr>
          <w:p w14:paraId="32A4BB3A" w14:textId="77777777" w:rsidR="004B1A77" w:rsidRPr="005F160D" w:rsidRDefault="004B1A77" w:rsidP="00795948">
            <w:pPr>
              <w:rPr>
                <w:rFonts w:ascii="Times New Roman" w:hAnsi="Times New Roman"/>
              </w:rPr>
            </w:pPr>
            <w:r w:rsidRPr="005F160D">
              <w:rPr>
                <w:rFonts w:ascii="Times New Roman" w:hAnsi="Times New Roman"/>
              </w:rPr>
              <w:t>Foretaksstørrelse, ansatte</w:t>
            </w:r>
          </w:p>
        </w:tc>
        <w:tc>
          <w:tcPr>
            <w:tcW w:w="0" w:type="auto"/>
          </w:tcPr>
          <w:p w14:paraId="74AF7350" w14:textId="77777777" w:rsidR="004B1A77" w:rsidRPr="005F160D" w:rsidRDefault="004B1A77" w:rsidP="00795948">
            <w:pPr>
              <w:jc w:val="right"/>
              <w:rPr>
                <w:rFonts w:ascii="Times New Roman" w:hAnsi="Times New Roman"/>
              </w:rPr>
            </w:pPr>
            <w:r w:rsidRPr="005F160D">
              <w:rPr>
                <w:rFonts w:ascii="Times New Roman" w:hAnsi="Times New Roman"/>
              </w:rPr>
              <w:t>Antall administrerende direktører</w:t>
            </w:r>
            <w:r w:rsidRPr="005F160D">
              <w:rPr>
                <w:rFonts w:ascii="Times New Roman" w:hAnsi="Times New Roman"/>
                <w:vertAlign w:val="superscript"/>
              </w:rPr>
              <w:t>2</w:t>
            </w:r>
          </w:p>
        </w:tc>
        <w:tc>
          <w:tcPr>
            <w:tcW w:w="0" w:type="auto"/>
          </w:tcPr>
          <w:p w14:paraId="09E7BCB3" w14:textId="77777777" w:rsidR="004B1A77" w:rsidRPr="005F160D" w:rsidRDefault="004B1A77" w:rsidP="00795948">
            <w:pPr>
              <w:jc w:val="right"/>
              <w:rPr>
                <w:rFonts w:ascii="Times New Roman" w:hAnsi="Times New Roman"/>
              </w:rPr>
            </w:pPr>
            <w:r w:rsidRPr="005F160D">
              <w:rPr>
                <w:rFonts w:ascii="Times New Roman" w:hAnsi="Times New Roman"/>
              </w:rPr>
              <w:t>Samlet lønnsnivå</w:t>
            </w:r>
            <w:r w:rsidRPr="005F160D">
              <w:rPr>
                <w:rFonts w:ascii="Times New Roman" w:hAnsi="Times New Roman"/>
                <w:vertAlign w:val="superscript"/>
              </w:rPr>
              <w:t>1</w:t>
            </w:r>
          </w:p>
        </w:tc>
        <w:tc>
          <w:tcPr>
            <w:tcW w:w="0" w:type="auto"/>
          </w:tcPr>
          <w:p w14:paraId="1A3EE397" w14:textId="77777777" w:rsidR="004B1A77" w:rsidRPr="005F160D" w:rsidRDefault="004B1A77" w:rsidP="00795948">
            <w:pPr>
              <w:jc w:val="right"/>
              <w:rPr>
                <w:rFonts w:ascii="Times New Roman" w:hAnsi="Times New Roman"/>
              </w:rPr>
            </w:pPr>
            <w:r w:rsidRPr="005F160D">
              <w:rPr>
                <w:rFonts w:ascii="Times New Roman" w:hAnsi="Times New Roman"/>
              </w:rPr>
              <w:t>Lønnsvekst fra året før</w:t>
            </w:r>
          </w:p>
        </w:tc>
        <w:tc>
          <w:tcPr>
            <w:tcW w:w="0" w:type="auto"/>
          </w:tcPr>
          <w:p w14:paraId="79ADD30C" w14:textId="77777777" w:rsidR="004B1A77" w:rsidRPr="005F160D" w:rsidRDefault="004B1A77" w:rsidP="00795948">
            <w:pPr>
              <w:jc w:val="right"/>
              <w:rPr>
                <w:rFonts w:ascii="Times New Roman" w:hAnsi="Times New Roman"/>
              </w:rPr>
            </w:pPr>
            <w:r w:rsidRPr="005F160D">
              <w:rPr>
                <w:rFonts w:ascii="Times New Roman" w:hAnsi="Times New Roman"/>
              </w:rPr>
              <w:t>Opsjons- og naturalytelser</w:t>
            </w:r>
          </w:p>
        </w:tc>
      </w:tr>
      <w:tr w:rsidR="004B1A77" w:rsidRPr="005F160D" w14:paraId="3A25EC5E" w14:textId="77777777" w:rsidTr="00795948">
        <w:tc>
          <w:tcPr>
            <w:tcW w:w="0" w:type="auto"/>
            <w:tcBorders>
              <w:top w:val="single" w:sz="4" w:space="0" w:color="auto"/>
              <w:bottom w:val="single" w:sz="4" w:space="0" w:color="auto"/>
            </w:tcBorders>
          </w:tcPr>
          <w:p w14:paraId="6A268E6C" w14:textId="77777777" w:rsidR="004B1A77" w:rsidRPr="005F160D" w:rsidRDefault="004B1A77" w:rsidP="00795948">
            <w:pPr>
              <w:rPr>
                <w:rFonts w:ascii="Times New Roman" w:hAnsi="Times New Roman"/>
              </w:rPr>
            </w:pPr>
          </w:p>
        </w:tc>
        <w:tc>
          <w:tcPr>
            <w:tcW w:w="0" w:type="auto"/>
            <w:tcBorders>
              <w:top w:val="single" w:sz="4" w:space="0" w:color="auto"/>
              <w:bottom w:val="single" w:sz="4" w:space="0" w:color="auto"/>
            </w:tcBorders>
          </w:tcPr>
          <w:p w14:paraId="6432C104" w14:textId="77777777" w:rsidR="004B1A77" w:rsidRPr="005F160D" w:rsidRDefault="004B1A77" w:rsidP="00795948">
            <w:pPr>
              <w:jc w:val="right"/>
              <w:rPr>
                <w:rFonts w:ascii="Times New Roman" w:hAnsi="Times New Roman"/>
              </w:rPr>
            </w:pPr>
            <w:r w:rsidRPr="005F160D">
              <w:rPr>
                <w:rFonts w:ascii="Times New Roman" w:hAnsi="Times New Roman"/>
              </w:rPr>
              <w:t>201</w:t>
            </w:r>
            <w:r>
              <w:rPr>
                <w:rFonts w:ascii="Times New Roman" w:hAnsi="Times New Roman"/>
              </w:rPr>
              <w:t>3</w:t>
            </w:r>
          </w:p>
        </w:tc>
        <w:tc>
          <w:tcPr>
            <w:tcW w:w="0" w:type="auto"/>
            <w:tcBorders>
              <w:top w:val="single" w:sz="4" w:space="0" w:color="auto"/>
              <w:bottom w:val="single" w:sz="4" w:space="0" w:color="auto"/>
            </w:tcBorders>
          </w:tcPr>
          <w:p w14:paraId="0A2392FE" w14:textId="77777777" w:rsidR="004B1A77" w:rsidRPr="005F160D" w:rsidRDefault="004B1A77" w:rsidP="00795948">
            <w:pPr>
              <w:jc w:val="right"/>
              <w:rPr>
                <w:rFonts w:ascii="Times New Roman" w:hAnsi="Times New Roman"/>
              </w:rPr>
            </w:pPr>
            <w:r w:rsidRPr="005F160D">
              <w:rPr>
                <w:rFonts w:ascii="Times New Roman" w:hAnsi="Times New Roman"/>
              </w:rPr>
              <w:t>201</w:t>
            </w:r>
            <w:r>
              <w:rPr>
                <w:rFonts w:ascii="Times New Roman" w:hAnsi="Times New Roman"/>
              </w:rPr>
              <w:t>3</w:t>
            </w:r>
          </w:p>
        </w:tc>
        <w:tc>
          <w:tcPr>
            <w:tcW w:w="0" w:type="auto"/>
            <w:tcBorders>
              <w:top w:val="single" w:sz="4" w:space="0" w:color="auto"/>
              <w:bottom w:val="single" w:sz="4" w:space="0" w:color="auto"/>
            </w:tcBorders>
          </w:tcPr>
          <w:p w14:paraId="11CADA44" w14:textId="77777777" w:rsidR="004B1A77" w:rsidRPr="005F160D" w:rsidRDefault="004B1A77" w:rsidP="00795948">
            <w:pPr>
              <w:jc w:val="right"/>
              <w:rPr>
                <w:rFonts w:ascii="Times New Roman" w:hAnsi="Times New Roman"/>
              </w:rPr>
            </w:pPr>
            <w:r w:rsidRPr="005F160D">
              <w:rPr>
                <w:rFonts w:ascii="Times New Roman" w:hAnsi="Times New Roman"/>
              </w:rPr>
              <w:t>201</w:t>
            </w:r>
            <w:r>
              <w:rPr>
                <w:rFonts w:ascii="Times New Roman" w:hAnsi="Times New Roman"/>
              </w:rPr>
              <w:t>3</w:t>
            </w:r>
          </w:p>
        </w:tc>
        <w:tc>
          <w:tcPr>
            <w:tcW w:w="0" w:type="auto"/>
            <w:tcBorders>
              <w:top w:val="single" w:sz="4" w:space="0" w:color="auto"/>
              <w:bottom w:val="single" w:sz="4" w:space="0" w:color="auto"/>
            </w:tcBorders>
          </w:tcPr>
          <w:p w14:paraId="2E241AD3" w14:textId="77777777" w:rsidR="004B1A77" w:rsidRPr="005F160D" w:rsidRDefault="004B1A77" w:rsidP="00795948">
            <w:pPr>
              <w:jc w:val="right"/>
              <w:rPr>
                <w:rFonts w:ascii="Times New Roman" w:hAnsi="Times New Roman"/>
              </w:rPr>
            </w:pPr>
            <w:r w:rsidRPr="005F160D">
              <w:rPr>
                <w:rFonts w:ascii="Times New Roman" w:hAnsi="Times New Roman"/>
              </w:rPr>
              <w:t>201</w:t>
            </w:r>
            <w:r>
              <w:rPr>
                <w:rFonts w:ascii="Times New Roman" w:hAnsi="Times New Roman"/>
              </w:rPr>
              <w:t>3</w:t>
            </w:r>
          </w:p>
        </w:tc>
      </w:tr>
      <w:tr w:rsidR="004B1A77" w:rsidRPr="005F160D" w14:paraId="688A1269" w14:textId="77777777" w:rsidTr="00795948">
        <w:tc>
          <w:tcPr>
            <w:tcW w:w="0" w:type="auto"/>
            <w:tcBorders>
              <w:top w:val="single" w:sz="4" w:space="0" w:color="auto"/>
            </w:tcBorders>
          </w:tcPr>
          <w:p w14:paraId="5BE99236" w14:textId="77777777" w:rsidR="004B1A77" w:rsidRPr="005F160D" w:rsidRDefault="004B1A77" w:rsidP="00795948">
            <w:pPr>
              <w:rPr>
                <w:rFonts w:ascii="Times New Roman" w:hAnsi="Times New Roman"/>
              </w:rPr>
            </w:pPr>
            <w:r w:rsidRPr="005F160D">
              <w:rPr>
                <w:rFonts w:ascii="Times New Roman" w:hAnsi="Times New Roman"/>
              </w:rPr>
              <w:t>0-24</w:t>
            </w:r>
          </w:p>
        </w:tc>
        <w:tc>
          <w:tcPr>
            <w:tcW w:w="0" w:type="auto"/>
            <w:tcBorders>
              <w:top w:val="single" w:sz="4" w:space="0" w:color="auto"/>
            </w:tcBorders>
            <w:vAlign w:val="bottom"/>
          </w:tcPr>
          <w:p w14:paraId="2A9B0712" w14:textId="77777777" w:rsidR="004B1A77" w:rsidRPr="005F160D" w:rsidRDefault="004B1A77" w:rsidP="00795948">
            <w:pPr>
              <w:jc w:val="right"/>
              <w:rPr>
                <w:rFonts w:ascii="Times New Roman" w:hAnsi="Times New Roman"/>
              </w:rPr>
            </w:pPr>
            <w:r>
              <w:rPr>
                <w:rFonts w:ascii="Arial" w:hAnsi="Arial" w:cs="Arial"/>
                <w:sz w:val="20"/>
                <w:szCs w:val="20"/>
              </w:rPr>
              <w:t xml:space="preserve">         3 174 </w:t>
            </w:r>
          </w:p>
        </w:tc>
        <w:tc>
          <w:tcPr>
            <w:tcW w:w="0" w:type="auto"/>
            <w:tcBorders>
              <w:top w:val="single" w:sz="4" w:space="0" w:color="auto"/>
            </w:tcBorders>
            <w:vAlign w:val="bottom"/>
          </w:tcPr>
          <w:p w14:paraId="186B1522" w14:textId="77777777" w:rsidR="004B1A77" w:rsidRPr="005F160D" w:rsidRDefault="004B1A77" w:rsidP="00795948">
            <w:pPr>
              <w:jc w:val="right"/>
              <w:rPr>
                <w:rFonts w:ascii="Times New Roman" w:hAnsi="Times New Roman"/>
              </w:rPr>
            </w:pPr>
            <w:r>
              <w:rPr>
                <w:rFonts w:ascii="Arial" w:hAnsi="Arial" w:cs="Arial"/>
                <w:sz w:val="20"/>
                <w:szCs w:val="20"/>
              </w:rPr>
              <w:t xml:space="preserve">      770 400 </w:t>
            </w:r>
          </w:p>
        </w:tc>
        <w:tc>
          <w:tcPr>
            <w:tcW w:w="0" w:type="auto"/>
            <w:tcBorders>
              <w:top w:val="single" w:sz="4" w:space="0" w:color="auto"/>
            </w:tcBorders>
            <w:vAlign w:val="bottom"/>
          </w:tcPr>
          <w:p w14:paraId="5F1679CA" w14:textId="77777777" w:rsidR="004B1A77" w:rsidRPr="005F160D" w:rsidRDefault="004B1A77" w:rsidP="00795948">
            <w:pPr>
              <w:jc w:val="right"/>
              <w:rPr>
                <w:rFonts w:ascii="Times New Roman" w:hAnsi="Times New Roman"/>
              </w:rPr>
            </w:pPr>
            <w:r>
              <w:rPr>
                <w:rFonts w:ascii="Arial" w:hAnsi="Arial" w:cs="Arial"/>
                <w:sz w:val="20"/>
                <w:szCs w:val="20"/>
              </w:rPr>
              <w:t xml:space="preserve">4,2 </w:t>
            </w:r>
          </w:p>
        </w:tc>
        <w:tc>
          <w:tcPr>
            <w:tcW w:w="0" w:type="auto"/>
            <w:tcBorders>
              <w:top w:val="single" w:sz="4" w:space="0" w:color="auto"/>
            </w:tcBorders>
            <w:vAlign w:val="bottom"/>
          </w:tcPr>
          <w:p w14:paraId="7C4B1C50" w14:textId="77777777" w:rsidR="004B1A77" w:rsidRPr="005F160D" w:rsidRDefault="004B1A77" w:rsidP="00795948">
            <w:pPr>
              <w:jc w:val="right"/>
              <w:rPr>
                <w:rFonts w:ascii="Times New Roman" w:hAnsi="Times New Roman"/>
              </w:rPr>
            </w:pPr>
            <w:r>
              <w:rPr>
                <w:rFonts w:ascii="Arial" w:hAnsi="Arial" w:cs="Arial"/>
                <w:sz w:val="20"/>
                <w:szCs w:val="20"/>
              </w:rPr>
              <w:t xml:space="preserve">        12 000 </w:t>
            </w:r>
          </w:p>
        </w:tc>
      </w:tr>
      <w:tr w:rsidR="004B1A77" w:rsidRPr="005F160D" w14:paraId="303FE697" w14:textId="77777777" w:rsidTr="00795948">
        <w:tc>
          <w:tcPr>
            <w:tcW w:w="0" w:type="auto"/>
          </w:tcPr>
          <w:p w14:paraId="13F12EF9" w14:textId="77777777" w:rsidR="004B1A77" w:rsidRPr="005F160D" w:rsidRDefault="004B1A77" w:rsidP="00795948">
            <w:pPr>
              <w:rPr>
                <w:rFonts w:ascii="Times New Roman" w:hAnsi="Times New Roman"/>
              </w:rPr>
            </w:pPr>
            <w:r w:rsidRPr="005F160D">
              <w:rPr>
                <w:rFonts w:ascii="Times New Roman" w:hAnsi="Times New Roman"/>
              </w:rPr>
              <w:t>24-99</w:t>
            </w:r>
          </w:p>
        </w:tc>
        <w:tc>
          <w:tcPr>
            <w:tcW w:w="0" w:type="auto"/>
            <w:vAlign w:val="bottom"/>
          </w:tcPr>
          <w:p w14:paraId="26A3BE5B" w14:textId="77777777" w:rsidR="004B1A77" w:rsidRPr="005F160D" w:rsidRDefault="004B1A77" w:rsidP="00795948">
            <w:pPr>
              <w:jc w:val="right"/>
              <w:rPr>
                <w:rFonts w:ascii="Times New Roman" w:hAnsi="Times New Roman"/>
              </w:rPr>
            </w:pPr>
            <w:r>
              <w:rPr>
                <w:rFonts w:ascii="Arial" w:hAnsi="Arial" w:cs="Arial"/>
                <w:sz w:val="20"/>
                <w:szCs w:val="20"/>
              </w:rPr>
              <w:t xml:space="preserve">         2 730 </w:t>
            </w:r>
          </w:p>
        </w:tc>
        <w:tc>
          <w:tcPr>
            <w:tcW w:w="0" w:type="auto"/>
            <w:vAlign w:val="bottom"/>
          </w:tcPr>
          <w:p w14:paraId="72CA6FDD" w14:textId="77777777" w:rsidR="004B1A77" w:rsidRPr="005F160D" w:rsidRDefault="004B1A77" w:rsidP="00795948">
            <w:pPr>
              <w:jc w:val="right"/>
              <w:rPr>
                <w:rFonts w:ascii="Times New Roman" w:hAnsi="Times New Roman"/>
              </w:rPr>
            </w:pPr>
            <w:r>
              <w:rPr>
                <w:rFonts w:ascii="Arial" w:hAnsi="Arial" w:cs="Arial"/>
                <w:sz w:val="20"/>
                <w:szCs w:val="20"/>
              </w:rPr>
              <w:t xml:space="preserve">      970 800 </w:t>
            </w:r>
          </w:p>
        </w:tc>
        <w:tc>
          <w:tcPr>
            <w:tcW w:w="0" w:type="auto"/>
            <w:vAlign w:val="bottom"/>
          </w:tcPr>
          <w:p w14:paraId="5B326413" w14:textId="77777777" w:rsidR="004B1A77" w:rsidRPr="005F160D" w:rsidRDefault="004B1A77" w:rsidP="00795948">
            <w:pPr>
              <w:jc w:val="right"/>
              <w:rPr>
                <w:rFonts w:ascii="Times New Roman" w:hAnsi="Times New Roman"/>
              </w:rPr>
            </w:pPr>
            <w:r>
              <w:rPr>
                <w:rFonts w:ascii="Arial" w:hAnsi="Arial" w:cs="Arial"/>
                <w:sz w:val="20"/>
                <w:szCs w:val="20"/>
              </w:rPr>
              <w:t xml:space="preserve">3,9 </w:t>
            </w:r>
          </w:p>
        </w:tc>
        <w:tc>
          <w:tcPr>
            <w:tcW w:w="0" w:type="auto"/>
            <w:vAlign w:val="bottom"/>
          </w:tcPr>
          <w:p w14:paraId="3736113B" w14:textId="77777777" w:rsidR="004B1A77" w:rsidRPr="005F160D" w:rsidRDefault="004B1A77" w:rsidP="00795948">
            <w:pPr>
              <w:jc w:val="right"/>
              <w:rPr>
                <w:rFonts w:ascii="Times New Roman" w:hAnsi="Times New Roman"/>
              </w:rPr>
            </w:pPr>
            <w:r>
              <w:rPr>
                <w:rFonts w:ascii="Arial" w:hAnsi="Arial" w:cs="Arial"/>
                <w:sz w:val="20"/>
                <w:szCs w:val="20"/>
              </w:rPr>
              <w:t xml:space="preserve">        19 200 </w:t>
            </w:r>
          </w:p>
        </w:tc>
      </w:tr>
      <w:tr w:rsidR="004B1A77" w:rsidRPr="005F160D" w14:paraId="6705EE39" w14:textId="77777777" w:rsidTr="00795948">
        <w:tc>
          <w:tcPr>
            <w:tcW w:w="0" w:type="auto"/>
          </w:tcPr>
          <w:p w14:paraId="1E7E06C0" w14:textId="77777777" w:rsidR="004B1A77" w:rsidRPr="005F160D" w:rsidRDefault="004B1A77" w:rsidP="00795948">
            <w:pPr>
              <w:rPr>
                <w:rFonts w:ascii="Times New Roman" w:hAnsi="Times New Roman"/>
              </w:rPr>
            </w:pPr>
            <w:r w:rsidRPr="005F160D">
              <w:rPr>
                <w:rFonts w:ascii="Times New Roman" w:hAnsi="Times New Roman"/>
              </w:rPr>
              <w:t>100-249</w:t>
            </w:r>
          </w:p>
        </w:tc>
        <w:tc>
          <w:tcPr>
            <w:tcW w:w="0" w:type="auto"/>
            <w:vAlign w:val="bottom"/>
          </w:tcPr>
          <w:p w14:paraId="63D5A9B2" w14:textId="77777777" w:rsidR="004B1A77" w:rsidRPr="005F160D" w:rsidRDefault="004B1A77" w:rsidP="00795948">
            <w:pPr>
              <w:jc w:val="right"/>
              <w:rPr>
                <w:rFonts w:ascii="Times New Roman" w:hAnsi="Times New Roman"/>
              </w:rPr>
            </w:pPr>
            <w:r>
              <w:rPr>
                <w:rFonts w:ascii="Arial" w:hAnsi="Arial" w:cs="Arial"/>
                <w:sz w:val="20"/>
                <w:szCs w:val="20"/>
              </w:rPr>
              <w:t xml:space="preserve">         1 285 </w:t>
            </w:r>
          </w:p>
        </w:tc>
        <w:tc>
          <w:tcPr>
            <w:tcW w:w="0" w:type="auto"/>
            <w:vAlign w:val="bottom"/>
          </w:tcPr>
          <w:p w14:paraId="16DC097A" w14:textId="77777777" w:rsidR="004B1A77" w:rsidRPr="005F160D" w:rsidRDefault="004B1A77" w:rsidP="00795948">
            <w:pPr>
              <w:jc w:val="right"/>
              <w:rPr>
                <w:rFonts w:ascii="Times New Roman" w:hAnsi="Times New Roman"/>
              </w:rPr>
            </w:pPr>
            <w:r>
              <w:rPr>
                <w:rFonts w:ascii="Arial" w:hAnsi="Arial" w:cs="Arial"/>
                <w:sz w:val="20"/>
                <w:szCs w:val="20"/>
              </w:rPr>
              <w:t xml:space="preserve">   1 234 800 </w:t>
            </w:r>
          </w:p>
        </w:tc>
        <w:tc>
          <w:tcPr>
            <w:tcW w:w="0" w:type="auto"/>
            <w:vAlign w:val="bottom"/>
          </w:tcPr>
          <w:p w14:paraId="126451CF" w14:textId="77777777" w:rsidR="004B1A77" w:rsidRPr="005F160D" w:rsidRDefault="004B1A77" w:rsidP="00795948">
            <w:pPr>
              <w:jc w:val="right"/>
              <w:rPr>
                <w:rFonts w:ascii="Times New Roman" w:hAnsi="Times New Roman"/>
              </w:rPr>
            </w:pPr>
            <w:r>
              <w:rPr>
                <w:rFonts w:ascii="Arial" w:hAnsi="Arial" w:cs="Arial"/>
                <w:sz w:val="20"/>
                <w:szCs w:val="20"/>
              </w:rPr>
              <w:t xml:space="preserve">3,3 </w:t>
            </w:r>
          </w:p>
        </w:tc>
        <w:tc>
          <w:tcPr>
            <w:tcW w:w="0" w:type="auto"/>
            <w:vAlign w:val="bottom"/>
          </w:tcPr>
          <w:p w14:paraId="2DA3266D" w14:textId="77777777" w:rsidR="004B1A77" w:rsidRPr="005F160D" w:rsidRDefault="004B1A77" w:rsidP="00795948">
            <w:pPr>
              <w:jc w:val="right"/>
              <w:rPr>
                <w:rFonts w:ascii="Times New Roman" w:hAnsi="Times New Roman"/>
              </w:rPr>
            </w:pPr>
            <w:r>
              <w:rPr>
                <w:rFonts w:ascii="Arial" w:hAnsi="Arial" w:cs="Arial"/>
                <w:sz w:val="20"/>
                <w:szCs w:val="20"/>
              </w:rPr>
              <w:t xml:space="preserve">        28 800 </w:t>
            </w:r>
          </w:p>
        </w:tc>
      </w:tr>
      <w:tr w:rsidR="004B1A77" w:rsidRPr="005F160D" w14:paraId="5955D2B8" w14:textId="77777777" w:rsidTr="00795948">
        <w:tc>
          <w:tcPr>
            <w:tcW w:w="0" w:type="auto"/>
            <w:tcBorders>
              <w:bottom w:val="single" w:sz="4" w:space="0" w:color="auto"/>
            </w:tcBorders>
          </w:tcPr>
          <w:p w14:paraId="6990FD9C" w14:textId="77777777" w:rsidR="004B1A77" w:rsidRPr="005F160D" w:rsidRDefault="004B1A77" w:rsidP="00795948">
            <w:pPr>
              <w:rPr>
                <w:rFonts w:ascii="Times New Roman" w:hAnsi="Times New Roman"/>
              </w:rPr>
            </w:pPr>
            <w:r w:rsidRPr="005F160D">
              <w:rPr>
                <w:rFonts w:ascii="Times New Roman" w:hAnsi="Times New Roman"/>
              </w:rPr>
              <w:t>250 og over</w:t>
            </w:r>
          </w:p>
        </w:tc>
        <w:tc>
          <w:tcPr>
            <w:tcW w:w="0" w:type="auto"/>
            <w:tcBorders>
              <w:bottom w:val="single" w:sz="4" w:space="0" w:color="auto"/>
            </w:tcBorders>
            <w:vAlign w:val="bottom"/>
          </w:tcPr>
          <w:p w14:paraId="7A5E4201" w14:textId="77777777" w:rsidR="004B1A77" w:rsidRPr="005F160D" w:rsidRDefault="004B1A77" w:rsidP="00795948">
            <w:pPr>
              <w:jc w:val="right"/>
              <w:rPr>
                <w:rFonts w:ascii="Times New Roman" w:hAnsi="Times New Roman"/>
              </w:rPr>
            </w:pPr>
            <w:r>
              <w:rPr>
                <w:rFonts w:ascii="Arial" w:hAnsi="Arial" w:cs="Arial"/>
                <w:sz w:val="20"/>
                <w:szCs w:val="20"/>
              </w:rPr>
              <w:t xml:space="preserve">         3 647 </w:t>
            </w:r>
          </w:p>
        </w:tc>
        <w:tc>
          <w:tcPr>
            <w:tcW w:w="0" w:type="auto"/>
            <w:tcBorders>
              <w:bottom w:val="single" w:sz="4" w:space="0" w:color="auto"/>
            </w:tcBorders>
            <w:vAlign w:val="bottom"/>
          </w:tcPr>
          <w:p w14:paraId="0D1715A1" w14:textId="77777777" w:rsidR="004B1A77" w:rsidRPr="005F160D" w:rsidRDefault="004B1A77" w:rsidP="00795948">
            <w:pPr>
              <w:jc w:val="right"/>
              <w:rPr>
                <w:rFonts w:ascii="Times New Roman" w:hAnsi="Times New Roman"/>
              </w:rPr>
            </w:pPr>
            <w:r>
              <w:rPr>
                <w:rFonts w:ascii="Arial" w:hAnsi="Arial" w:cs="Arial"/>
                <w:sz w:val="20"/>
                <w:szCs w:val="20"/>
              </w:rPr>
              <w:t xml:space="preserve">   1 020 000 </w:t>
            </w:r>
          </w:p>
        </w:tc>
        <w:tc>
          <w:tcPr>
            <w:tcW w:w="0" w:type="auto"/>
            <w:tcBorders>
              <w:bottom w:val="single" w:sz="4" w:space="0" w:color="auto"/>
            </w:tcBorders>
            <w:vAlign w:val="bottom"/>
          </w:tcPr>
          <w:p w14:paraId="49A57F4E" w14:textId="77777777" w:rsidR="004B1A77" w:rsidRPr="005F160D" w:rsidRDefault="004B1A77" w:rsidP="00795948">
            <w:pPr>
              <w:jc w:val="right"/>
              <w:rPr>
                <w:rFonts w:ascii="Times New Roman" w:hAnsi="Times New Roman"/>
              </w:rPr>
            </w:pPr>
            <w:r>
              <w:rPr>
                <w:rFonts w:ascii="Arial" w:hAnsi="Arial" w:cs="Arial"/>
                <w:sz w:val="20"/>
                <w:szCs w:val="20"/>
              </w:rPr>
              <w:t xml:space="preserve">2,9 </w:t>
            </w:r>
          </w:p>
        </w:tc>
        <w:tc>
          <w:tcPr>
            <w:tcW w:w="0" w:type="auto"/>
            <w:tcBorders>
              <w:bottom w:val="single" w:sz="4" w:space="0" w:color="auto"/>
            </w:tcBorders>
            <w:vAlign w:val="bottom"/>
          </w:tcPr>
          <w:p w14:paraId="6D11A78E" w14:textId="77777777" w:rsidR="004B1A77" w:rsidRPr="005F160D" w:rsidRDefault="004B1A77" w:rsidP="00795948">
            <w:pPr>
              <w:jc w:val="right"/>
              <w:rPr>
                <w:rFonts w:ascii="Times New Roman" w:hAnsi="Times New Roman"/>
              </w:rPr>
            </w:pPr>
            <w:r>
              <w:rPr>
                <w:rFonts w:ascii="Arial" w:hAnsi="Arial" w:cs="Arial"/>
                <w:sz w:val="20"/>
                <w:szCs w:val="20"/>
              </w:rPr>
              <w:t xml:space="preserve">        26 400 </w:t>
            </w:r>
          </w:p>
        </w:tc>
      </w:tr>
      <w:tr w:rsidR="004B1A77" w:rsidRPr="005F160D" w14:paraId="5722DEC5" w14:textId="77777777" w:rsidTr="00795948">
        <w:tc>
          <w:tcPr>
            <w:tcW w:w="0" w:type="auto"/>
            <w:tcBorders>
              <w:top w:val="single" w:sz="4" w:space="0" w:color="auto"/>
              <w:bottom w:val="single" w:sz="4" w:space="0" w:color="auto"/>
            </w:tcBorders>
          </w:tcPr>
          <w:p w14:paraId="4C81B87B" w14:textId="77777777" w:rsidR="004B1A77" w:rsidRPr="005F160D" w:rsidRDefault="004B1A77" w:rsidP="00795948">
            <w:pPr>
              <w:spacing w:after="0"/>
              <w:rPr>
                <w:rFonts w:ascii="Times New Roman" w:hAnsi="Times New Roman"/>
                <w:lang w:eastAsia="nb-NO"/>
              </w:rPr>
            </w:pPr>
            <w:r w:rsidRPr="005F160D">
              <w:rPr>
                <w:rFonts w:ascii="Times New Roman" w:hAnsi="Times New Roman"/>
              </w:rPr>
              <w:t>Alle</w:t>
            </w:r>
          </w:p>
        </w:tc>
        <w:tc>
          <w:tcPr>
            <w:tcW w:w="0" w:type="auto"/>
            <w:tcBorders>
              <w:top w:val="single" w:sz="4" w:space="0" w:color="auto"/>
              <w:bottom w:val="single" w:sz="4" w:space="0" w:color="auto"/>
            </w:tcBorders>
          </w:tcPr>
          <w:p w14:paraId="278F2625" w14:textId="77777777" w:rsidR="004B1A77" w:rsidRPr="005F160D" w:rsidRDefault="004B1A77" w:rsidP="00795948">
            <w:pPr>
              <w:spacing w:after="0"/>
              <w:jc w:val="right"/>
              <w:rPr>
                <w:rFonts w:ascii="Times New Roman" w:hAnsi="Times New Roman"/>
                <w:lang w:eastAsia="nb-NO"/>
              </w:rPr>
            </w:pPr>
            <w:r w:rsidRPr="005F160D">
              <w:rPr>
                <w:rFonts w:ascii="Times New Roman" w:hAnsi="Times New Roman"/>
              </w:rPr>
              <w:t xml:space="preserve">           10 </w:t>
            </w:r>
            <w:r>
              <w:rPr>
                <w:rFonts w:ascii="Times New Roman" w:hAnsi="Times New Roman"/>
              </w:rPr>
              <w:t>836</w:t>
            </w:r>
            <w:r w:rsidRPr="005F160D">
              <w:rPr>
                <w:rFonts w:ascii="Times New Roman" w:hAnsi="Times New Roman"/>
              </w:rPr>
              <w:t xml:space="preserve"> </w:t>
            </w:r>
          </w:p>
        </w:tc>
        <w:tc>
          <w:tcPr>
            <w:tcW w:w="0" w:type="auto"/>
            <w:tcBorders>
              <w:top w:val="single" w:sz="4" w:space="0" w:color="auto"/>
              <w:bottom w:val="single" w:sz="4" w:space="0" w:color="auto"/>
            </w:tcBorders>
          </w:tcPr>
          <w:p w14:paraId="39B71CA7" w14:textId="77777777" w:rsidR="004B1A77" w:rsidRPr="005F160D" w:rsidRDefault="004B1A77" w:rsidP="00795948">
            <w:pPr>
              <w:spacing w:after="0"/>
              <w:jc w:val="right"/>
              <w:rPr>
                <w:rFonts w:ascii="Times New Roman" w:hAnsi="Times New Roman"/>
                <w:lang w:eastAsia="nb-NO"/>
              </w:rPr>
            </w:pPr>
            <w:r>
              <w:rPr>
                <w:rFonts w:ascii="Times New Roman" w:hAnsi="Times New Roman"/>
              </w:rPr>
              <w:t>904 800</w:t>
            </w:r>
            <w:r w:rsidRPr="005F160D">
              <w:rPr>
                <w:rFonts w:ascii="Times New Roman" w:hAnsi="Times New Roman"/>
              </w:rPr>
              <w:t xml:space="preserve"> </w:t>
            </w:r>
          </w:p>
        </w:tc>
        <w:tc>
          <w:tcPr>
            <w:tcW w:w="0" w:type="auto"/>
            <w:tcBorders>
              <w:top w:val="single" w:sz="4" w:space="0" w:color="auto"/>
              <w:bottom w:val="single" w:sz="4" w:space="0" w:color="auto"/>
            </w:tcBorders>
          </w:tcPr>
          <w:p w14:paraId="40D309E3" w14:textId="77777777" w:rsidR="004B1A77" w:rsidRPr="005F160D" w:rsidRDefault="004B1A77" w:rsidP="00795948">
            <w:pPr>
              <w:spacing w:after="0"/>
              <w:jc w:val="right"/>
              <w:rPr>
                <w:rFonts w:ascii="Times New Roman" w:hAnsi="Times New Roman"/>
                <w:lang w:eastAsia="nb-NO"/>
              </w:rPr>
            </w:pPr>
            <w:r>
              <w:rPr>
                <w:rFonts w:ascii="Times New Roman" w:hAnsi="Times New Roman"/>
              </w:rPr>
              <w:t>3,0</w:t>
            </w:r>
          </w:p>
        </w:tc>
        <w:tc>
          <w:tcPr>
            <w:tcW w:w="0" w:type="auto"/>
            <w:tcBorders>
              <w:top w:val="single" w:sz="4" w:space="0" w:color="auto"/>
              <w:bottom w:val="single" w:sz="4" w:space="0" w:color="auto"/>
            </w:tcBorders>
          </w:tcPr>
          <w:p w14:paraId="7B2F0D6C" w14:textId="77777777" w:rsidR="004B1A77" w:rsidRPr="005F160D" w:rsidRDefault="004B1A77" w:rsidP="00795948">
            <w:pPr>
              <w:spacing w:after="0"/>
              <w:jc w:val="right"/>
              <w:rPr>
                <w:rFonts w:ascii="Times New Roman" w:hAnsi="Times New Roman"/>
                <w:lang w:eastAsia="nb-NO"/>
              </w:rPr>
            </w:pPr>
            <w:r w:rsidRPr="005F160D">
              <w:rPr>
                <w:rFonts w:ascii="Times New Roman" w:hAnsi="Times New Roman"/>
              </w:rPr>
              <w:t xml:space="preserve">        </w:t>
            </w:r>
            <w:r>
              <w:rPr>
                <w:rFonts w:ascii="Times New Roman" w:hAnsi="Times New Roman"/>
              </w:rPr>
              <w:t>18 000</w:t>
            </w:r>
            <w:r w:rsidRPr="005F160D">
              <w:rPr>
                <w:rFonts w:ascii="Times New Roman" w:hAnsi="Times New Roman"/>
              </w:rPr>
              <w:t xml:space="preserve"> </w:t>
            </w:r>
          </w:p>
        </w:tc>
      </w:tr>
    </w:tbl>
    <w:p w14:paraId="6FC91331" w14:textId="77777777" w:rsidR="004B1A77" w:rsidRDefault="004B1A77" w:rsidP="00EB23A2">
      <w:pPr>
        <w:pStyle w:val="tabell-noter"/>
        <w:numPr>
          <w:ilvl w:val="0"/>
          <w:numId w:val="23"/>
        </w:numPr>
        <w:spacing w:after="0"/>
      </w:pPr>
      <w:r w:rsidRPr="00B91606">
        <w:t xml:space="preserve">Månedslønn </w:t>
      </w:r>
      <w:r>
        <w:t xml:space="preserve">inkl. overtid </w:t>
      </w:r>
      <w:r w:rsidRPr="00B91606">
        <w:t>*12 med tillegg av opsjons</w:t>
      </w:r>
      <w:r>
        <w:t>- og</w:t>
      </w:r>
      <w:r w:rsidRPr="00B91606">
        <w:t xml:space="preserve"> naturalytelse</w:t>
      </w:r>
      <w:r>
        <w:t>r</w:t>
      </w:r>
      <w:r w:rsidRPr="00B91606">
        <w:t xml:space="preserve"> fra LTO-registeret.</w:t>
      </w:r>
      <w:r>
        <w:t xml:space="preserve"> Lønnsbegrepet o</w:t>
      </w:r>
      <w:r w:rsidRPr="00B91606">
        <w:t>mfatter avtalt lønn, uregelmessige tillegg</w:t>
      </w:r>
      <w:r>
        <w:t>,</w:t>
      </w:r>
      <w:r w:rsidRPr="00B91606">
        <w:t xml:space="preserve"> bonus,</w:t>
      </w:r>
      <w:r>
        <w:t xml:space="preserve"> overtid samt </w:t>
      </w:r>
      <w:r w:rsidRPr="00B91606">
        <w:t>opsjons</w:t>
      </w:r>
      <w:r>
        <w:t>- og n</w:t>
      </w:r>
      <w:r w:rsidRPr="00B91606">
        <w:t xml:space="preserve">aturalytelser. </w:t>
      </w:r>
    </w:p>
    <w:p w14:paraId="0FF220A9" w14:textId="77777777" w:rsidR="004B1A77" w:rsidRPr="00B91606" w:rsidRDefault="004B1A77" w:rsidP="00EB23A2">
      <w:pPr>
        <w:pStyle w:val="tabell-noter"/>
        <w:numPr>
          <w:ilvl w:val="0"/>
          <w:numId w:val="23"/>
        </w:numPr>
        <w:spacing w:after="0"/>
      </w:pPr>
      <w:r w:rsidRPr="00B91606">
        <w:t xml:space="preserve">Administrerende direktører </w:t>
      </w:r>
      <w:r>
        <w:t>og andre med lederfunksjoner</w:t>
      </w:r>
      <w:r w:rsidRPr="00B91606">
        <w:t xml:space="preserve"> i </w:t>
      </w:r>
      <w:r>
        <w:t>foretak</w:t>
      </w:r>
      <w:r w:rsidRPr="00B91606">
        <w:t xml:space="preserve"> med 10 eller flere ansatte</w:t>
      </w:r>
      <w:r w:rsidR="00357C61">
        <w:t>.</w:t>
      </w:r>
      <w:r w:rsidRPr="00B91606">
        <w:t xml:space="preserve"> </w:t>
      </w:r>
    </w:p>
    <w:p w14:paraId="56DBAF90" w14:textId="77777777" w:rsidR="004B1A77" w:rsidRDefault="004B1A77" w:rsidP="004B1A77">
      <w:pPr>
        <w:pStyle w:val="Kilde"/>
      </w:pPr>
      <w:r>
        <w:t>Kilde: Statistisk sentralbyrå, lønnsstatistikken og LTO-registeret.</w:t>
      </w:r>
    </w:p>
    <w:p w14:paraId="44EAFBAF" w14:textId="77777777" w:rsidR="004B1A77" w:rsidRPr="00BA1C84" w:rsidRDefault="004B1A77" w:rsidP="004B1A77">
      <w:pPr>
        <w:pStyle w:val="Overskrift3"/>
        <w:rPr>
          <w:rStyle w:val="Overskrift3TegnTegn"/>
          <w:b/>
          <w:bCs w:val="0"/>
          <w:sz w:val="24"/>
        </w:rPr>
      </w:pPr>
      <w:bookmarkStart w:id="155" w:name="_Toc317589296"/>
      <w:bookmarkStart w:id="156" w:name="_Toc351913440"/>
      <w:bookmarkStart w:id="157" w:name="_Toc380506134"/>
      <w:bookmarkStart w:id="158" w:name="_Toc422226828"/>
      <w:r w:rsidRPr="00BA1C84">
        <w:rPr>
          <w:rStyle w:val="Overskrift3TegnTegn"/>
          <w:b/>
          <w:bCs w:val="0"/>
          <w:sz w:val="24"/>
        </w:rPr>
        <w:t>Lønnsutviklingen for toppledere i offentlig sektor</w:t>
      </w:r>
      <w:bookmarkEnd w:id="155"/>
      <w:bookmarkEnd w:id="156"/>
      <w:bookmarkEnd w:id="157"/>
      <w:bookmarkEnd w:id="158"/>
    </w:p>
    <w:p w14:paraId="05C63049" w14:textId="77777777" w:rsidR="00DB3A7E" w:rsidRDefault="00DB3A7E" w:rsidP="00DB3A7E">
      <w:pPr>
        <w:spacing w:after="0"/>
      </w:pPr>
      <w:r>
        <w:t>Utvalget presenterer i dette avsnittet tall for lønnsutviklingen for toppledere i offentlig sektor fra 1. oktober/1. desember 200</w:t>
      </w:r>
      <w:r w:rsidR="00336E39">
        <w:t>7</w:t>
      </w:r>
      <w:r>
        <w:t xml:space="preserve"> til samme tidspunkt i 2014. Følgende grupper inngår i</w:t>
      </w:r>
      <w:r w:rsidRPr="00926929">
        <w:t xml:space="preserve"> </w:t>
      </w:r>
      <w:r>
        <w:t xml:space="preserve">denne </w:t>
      </w:r>
      <w:r w:rsidRPr="00926929">
        <w:t>statistikk</w:t>
      </w:r>
      <w:r>
        <w:t>en:</w:t>
      </w:r>
    </w:p>
    <w:p w14:paraId="1F370D7B" w14:textId="77777777" w:rsidR="00DB3A7E" w:rsidRDefault="00DB3A7E" w:rsidP="00DB3A7E">
      <w:pPr>
        <w:pStyle w:val="Liste"/>
      </w:pPr>
      <w:r w:rsidRPr="0026320E">
        <w:rPr>
          <w:i/>
        </w:rPr>
        <w:t>Øverste administrative leder</w:t>
      </w:r>
      <w:r>
        <w:t xml:space="preserve"> (</w:t>
      </w:r>
      <w:r w:rsidRPr="009072E5">
        <w:t>rådmenn</w:t>
      </w:r>
      <w:r>
        <w:rPr>
          <w:b/>
        </w:rPr>
        <w:t>)</w:t>
      </w:r>
      <w:r w:rsidRPr="00926929">
        <w:rPr>
          <w:b/>
        </w:rPr>
        <w:t xml:space="preserve"> </w:t>
      </w:r>
      <w:r w:rsidRPr="00770D51">
        <w:t>i</w:t>
      </w:r>
      <w:r>
        <w:t xml:space="preserve"> kommuner og fylkeskommuner</w:t>
      </w:r>
    </w:p>
    <w:p w14:paraId="1E0CDA90" w14:textId="77777777" w:rsidR="00DB3A7E" w:rsidRDefault="00DB3A7E" w:rsidP="00DB3A7E">
      <w:pPr>
        <w:pStyle w:val="Liste"/>
      </w:pPr>
      <w:r w:rsidRPr="0026320E">
        <w:rPr>
          <w:i/>
        </w:rPr>
        <w:t>Øverste leder</w:t>
      </w:r>
      <w:r>
        <w:t xml:space="preserve"> i forvaltningen, etater, direktorater og finansieringsinstitusjoner</w:t>
      </w:r>
      <w:r w:rsidRPr="00770D51">
        <w:t xml:space="preserve"> </w:t>
      </w:r>
      <w:r>
        <w:t>i staten.</w:t>
      </w:r>
    </w:p>
    <w:p w14:paraId="6E298699" w14:textId="77777777" w:rsidR="00DB3A7E" w:rsidRDefault="00DB3A7E" w:rsidP="00DB3A7E">
      <w:pPr>
        <w:pStyle w:val="Liste"/>
      </w:pPr>
      <w:r w:rsidRPr="0026320E">
        <w:rPr>
          <w:i/>
        </w:rPr>
        <w:t>Administrerende direktør</w:t>
      </w:r>
      <w:r>
        <w:rPr>
          <w:b/>
        </w:rPr>
        <w:t xml:space="preserve"> </w:t>
      </w:r>
      <w:r w:rsidRPr="00770D51">
        <w:t>i</w:t>
      </w:r>
      <w:r>
        <w:t xml:space="preserve"> de regionale helseforetakene herunder også de forskjellige helseforetakene.</w:t>
      </w:r>
    </w:p>
    <w:p w14:paraId="4A1D95F1" w14:textId="37851C78" w:rsidR="00DB3A7E" w:rsidRDefault="00DB3A7E" w:rsidP="00DB3A7E">
      <w:r>
        <w:t xml:space="preserve">Utplukket av ledere er basert på Statistisk sentralbyrås ordinære </w:t>
      </w:r>
      <w:r w:rsidR="00A864A2">
        <w:t>lønnsstatistikk</w:t>
      </w:r>
      <w:r>
        <w:t xml:space="preserve">. Lønnsbegrepet har samme innhold som ellers i kapittel 1, dvs. fast avtalt lønn (grunnlønn/regulativlønn) og faste og variable tillegg. I </w:t>
      </w:r>
      <w:r w:rsidRPr="00026619">
        <w:t>staten</w:t>
      </w:r>
      <w:r>
        <w:t xml:space="preserve"> omfatter utplukket både toppledere som er lønnet etter lederlønnssystemet</w:t>
      </w:r>
      <w:r>
        <w:rPr>
          <w:rStyle w:val="Fotnotereferanse"/>
        </w:rPr>
        <w:footnoteReference w:id="6"/>
      </w:r>
      <w:r>
        <w:t xml:space="preserve"> i staten og toppledere av etater som er lønnet etter lønnsregulativet i hovedtariffavtalen i staten. </w:t>
      </w:r>
    </w:p>
    <w:p w14:paraId="6C0E09DA" w14:textId="77777777" w:rsidR="00DB3A7E" w:rsidRDefault="00DB3A7E" w:rsidP="00DB3A7E">
      <w:pPr>
        <w:spacing w:after="240"/>
      </w:pPr>
      <w:r>
        <w:t xml:space="preserve">Det er små grupper det er beregnet lønnsvekst for i tabell 1.12. Endringer i antallet som er med i gruppene, kan derfor gi forholdsvis store utslag i beregnet lønnsvekst.   </w:t>
      </w:r>
    </w:p>
    <w:p w14:paraId="719CDF16" w14:textId="77777777" w:rsidR="00DB3A7E" w:rsidRDefault="00DB3A7E" w:rsidP="006E305B">
      <w:pPr>
        <w:pStyle w:val="tabell-tittel"/>
        <w:numPr>
          <w:ilvl w:val="6"/>
          <w:numId w:val="31"/>
        </w:numPr>
      </w:pPr>
      <w:r w:rsidRPr="00786513">
        <w:t>Gjennomsnit</w:t>
      </w:r>
      <w:r>
        <w:t>t</w:t>
      </w:r>
      <w:r w:rsidRPr="00786513">
        <w:t>slønn</w:t>
      </w:r>
      <w:r w:rsidRPr="00786513">
        <w:rPr>
          <w:vertAlign w:val="superscript"/>
        </w:rPr>
        <w:t>1</w:t>
      </w:r>
      <w:r w:rsidRPr="00786513">
        <w:t xml:space="preserve"> </w:t>
      </w:r>
      <w:r>
        <w:t xml:space="preserve">per oktober/desember </w:t>
      </w:r>
      <w:r w:rsidRPr="00786513">
        <w:t xml:space="preserve">for toppledere i offentlig sektor. Alle ledere. </w:t>
      </w:r>
      <w:r>
        <w:rPr>
          <w:color w:val="000000"/>
          <w:szCs w:val="24"/>
        </w:rPr>
        <w:t>Lønnsv</w:t>
      </w:r>
      <w:r w:rsidRPr="00FA533C">
        <w:rPr>
          <w:color w:val="000000"/>
          <w:szCs w:val="24"/>
        </w:rPr>
        <w:t>ekst</w:t>
      </w:r>
      <w:r>
        <w:rPr>
          <w:color w:val="000000"/>
          <w:szCs w:val="24"/>
        </w:rPr>
        <w:t xml:space="preserve"> fra året før i prosent.</w:t>
      </w:r>
    </w:p>
    <w:tbl>
      <w:tblPr>
        <w:tblStyle w:val="TrykketTabell"/>
        <w:tblW w:w="5626" w:type="pct"/>
        <w:jc w:val="center"/>
        <w:tblLayout w:type="fixed"/>
        <w:tblLook w:val="04A0" w:firstRow="1" w:lastRow="0" w:firstColumn="1" w:lastColumn="0" w:noHBand="0" w:noVBand="1"/>
      </w:tblPr>
      <w:tblGrid>
        <w:gridCol w:w="2497"/>
        <w:gridCol w:w="816"/>
        <w:gridCol w:w="1776"/>
        <w:gridCol w:w="696"/>
        <w:gridCol w:w="696"/>
        <w:gridCol w:w="696"/>
        <w:gridCol w:w="696"/>
        <w:gridCol w:w="696"/>
        <w:gridCol w:w="696"/>
        <w:gridCol w:w="941"/>
      </w:tblGrid>
      <w:tr w:rsidR="00BC040D" w:rsidRPr="00EF1150" w14:paraId="30409972" w14:textId="77777777" w:rsidTr="00DE20EB">
        <w:trPr>
          <w:cnfStyle w:val="100000000000" w:firstRow="1" w:lastRow="0" w:firstColumn="0" w:lastColumn="0" w:oddVBand="0" w:evenVBand="0" w:oddHBand="0" w:evenHBand="0" w:firstRowFirstColumn="0" w:firstRowLastColumn="0" w:lastRowFirstColumn="0" w:lastRowLastColumn="0"/>
          <w:trHeight w:val="642"/>
          <w:jc w:val="center"/>
        </w:trPr>
        <w:tc>
          <w:tcPr>
            <w:tcW w:w="1223" w:type="pct"/>
            <w:vAlign w:val="bottom"/>
          </w:tcPr>
          <w:p w14:paraId="2A27489A" w14:textId="77777777" w:rsidR="002921D5" w:rsidRPr="00EF1150" w:rsidRDefault="002921D5" w:rsidP="00DB3A7E">
            <w:pPr>
              <w:autoSpaceDE w:val="0"/>
              <w:autoSpaceDN w:val="0"/>
              <w:adjustRightInd w:val="0"/>
              <w:rPr>
                <w:rFonts w:ascii="Times New Roman" w:hAnsi="Times New Roman"/>
                <w:color w:val="000000"/>
                <w:szCs w:val="24"/>
              </w:rPr>
            </w:pPr>
          </w:p>
        </w:tc>
        <w:tc>
          <w:tcPr>
            <w:tcW w:w="400" w:type="pct"/>
            <w:vAlign w:val="bottom"/>
          </w:tcPr>
          <w:p w14:paraId="40190E4B" w14:textId="77777777" w:rsidR="002921D5" w:rsidRPr="00EF1150" w:rsidRDefault="002921D5" w:rsidP="00DB3A7E">
            <w:pPr>
              <w:autoSpaceDE w:val="0"/>
              <w:autoSpaceDN w:val="0"/>
              <w:adjustRightInd w:val="0"/>
              <w:jc w:val="center"/>
              <w:rPr>
                <w:rFonts w:ascii="Times New Roman" w:hAnsi="Times New Roman"/>
                <w:color w:val="000000"/>
                <w:szCs w:val="24"/>
              </w:rPr>
            </w:pPr>
            <w:r w:rsidRPr="00EF1150">
              <w:rPr>
                <w:rFonts w:ascii="Times New Roman" w:hAnsi="Times New Roman"/>
                <w:color w:val="000000"/>
                <w:szCs w:val="24"/>
              </w:rPr>
              <w:t>Antall</w:t>
            </w:r>
          </w:p>
        </w:tc>
        <w:tc>
          <w:tcPr>
            <w:tcW w:w="870" w:type="pct"/>
            <w:vAlign w:val="bottom"/>
          </w:tcPr>
          <w:p w14:paraId="1C461EA0" w14:textId="77777777" w:rsidR="002921D5" w:rsidRPr="00EF1150" w:rsidRDefault="002921D5" w:rsidP="00DB3A7E">
            <w:pPr>
              <w:autoSpaceDE w:val="0"/>
              <w:autoSpaceDN w:val="0"/>
              <w:adjustRightInd w:val="0"/>
              <w:jc w:val="center"/>
              <w:rPr>
                <w:rFonts w:ascii="Times New Roman" w:hAnsi="Times New Roman"/>
                <w:color w:val="000000"/>
                <w:szCs w:val="24"/>
              </w:rPr>
            </w:pPr>
            <w:r w:rsidRPr="00EF1150">
              <w:rPr>
                <w:rFonts w:ascii="Times New Roman" w:hAnsi="Times New Roman"/>
                <w:color w:val="000000"/>
                <w:szCs w:val="24"/>
              </w:rPr>
              <w:t>Gjennomsnittlig årslønn</w:t>
            </w:r>
            <w:r w:rsidRPr="00EF1150">
              <w:rPr>
                <w:rFonts w:ascii="Times New Roman" w:hAnsi="Times New Roman"/>
                <w:szCs w:val="24"/>
                <w:vertAlign w:val="superscript"/>
              </w:rPr>
              <w:t>1</w:t>
            </w:r>
          </w:p>
        </w:tc>
        <w:tc>
          <w:tcPr>
            <w:tcW w:w="341" w:type="pct"/>
          </w:tcPr>
          <w:p w14:paraId="4911AFA0" w14:textId="77777777" w:rsidR="002921D5" w:rsidRPr="00EF1150" w:rsidRDefault="002921D5" w:rsidP="00DB3A7E">
            <w:pPr>
              <w:autoSpaceDE w:val="0"/>
              <w:autoSpaceDN w:val="0"/>
              <w:adjustRightInd w:val="0"/>
              <w:jc w:val="center"/>
              <w:rPr>
                <w:rFonts w:ascii="Times New Roman" w:hAnsi="Times New Roman"/>
                <w:color w:val="000000"/>
                <w:szCs w:val="24"/>
              </w:rPr>
            </w:pPr>
          </w:p>
        </w:tc>
        <w:tc>
          <w:tcPr>
            <w:tcW w:w="1705" w:type="pct"/>
            <w:gridSpan w:val="5"/>
            <w:vAlign w:val="bottom"/>
          </w:tcPr>
          <w:p w14:paraId="468B5C40" w14:textId="77777777" w:rsidR="002921D5" w:rsidRPr="00EF1150" w:rsidRDefault="002921D5" w:rsidP="00DB3A7E">
            <w:pPr>
              <w:autoSpaceDE w:val="0"/>
              <w:autoSpaceDN w:val="0"/>
              <w:adjustRightInd w:val="0"/>
              <w:jc w:val="center"/>
              <w:rPr>
                <w:rFonts w:ascii="Times New Roman" w:hAnsi="Times New Roman"/>
                <w:color w:val="000000"/>
                <w:szCs w:val="24"/>
              </w:rPr>
            </w:pPr>
            <w:r w:rsidRPr="00EF1150">
              <w:rPr>
                <w:rFonts w:ascii="Times New Roman" w:hAnsi="Times New Roman"/>
                <w:color w:val="000000"/>
                <w:szCs w:val="24"/>
              </w:rPr>
              <w:t>Lønnsvekst</w:t>
            </w:r>
          </w:p>
        </w:tc>
        <w:tc>
          <w:tcPr>
            <w:tcW w:w="461" w:type="pct"/>
          </w:tcPr>
          <w:p w14:paraId="6B5ED5E5" w14:textId="77777777" w:rsidR="002921D5" w:rsidRPr="00EF1150" w:rsidRDefault="002921D5" w:rsidP="00DB3A7E">
            <w:pPr>
              <w:autoSpaceDE w:val="0"/>
              <w:autoSpaceDN w:val="0"/>
              <w:adjustRightInd w:val="0"/>
              <w:jc w:val="center"/>
              <w:rPr>
                <w:rFonts w:ascii="Times New Roman" w:hAnsi="Times New Roman"/>
                <w:color w:val="000000"/>
                <w:szCs w:val="24"/>
              </w:rPr>
            </w:pPr>
          </w:p>
        </w:tc>
      </w:tr>
      <w:tr w:rsidR="00BC040D" w:rsidRPr="00EF1150" w14:paraId="3C0602FB" w14:textId="77777777" w:rsidTr="00DE20EB">
        <w:trPr>
          <w:trHeight w:val="262"/>
          <w:jc w:val="center"/>
        </w:trPr>
        <w:tc>
          <w:tcPr>
            <w:tcW w:w="1223" w:type="pct"/>
            <w:tcBorders>
              <w:top w:val="single" w:sz="4" w:space="0" w:color="auto"/>
              <w:bottom w:val="single" w:sz="4" w:space="0" w:color="auto"/>
            </w:tcBorders>
            <w:vAlign w:val="bottom"/>
          </w:tcPr>
          <w:p w14:paraId="394B6994" w14:textId="77777777" w:rsidR="002921D5" w:rsidRPr="00EF1150" w:rsidRDefault="002921D5" w:rsidP="00DB3A7E">
            <w:pPr>
              <w:autoSpaceDE w:val="0"/>
              <w:autoSpaceDN w:val="0"/>
              <w:adjustRightInd w:val="0"/>
              <w:jc w:val="center"/>
              <w:rPr>
                <w:rFonts w:ascii="Times New Roman" w:hAnsi="Times New Roman"/>
                <w:color w:val="000000"/>
                <w:szCs w:val="24"/>
              </w:rPr>
            </w:pPr>
          </w:p>
        </w:tc>
        <w:tc>
          <w:tcPr>
            <w:tcW w:w="400" w:type="pct"/>
            <w:tcBorders>
              <w:top w:val="single" w:sz="4" w:space="0" w:color="auto"/>
              <w:bottom w:val="single" w:sz="4" w:space="0" w:color="auto"/>
            </w:tcBorders>
            <w:vAlign w:val="bottom"/>
          </w:tcPr>
          <w:p w14:paraId="1D1E3154" w14:textId="77777777" w:rsidR="002921D5" w:rsidRPr="00EF1150" w:rsidRDefault="002921D5" w:rsidP="00DB3A7E">
            <w:pPr>
              <w:autoSpaceDE w:val="0"/>
              <w:autoSpaceDN w:val="0"/>
              <w:adjustRightInd w:val="0"/>
              <w:jc w:val="right"/>
              <w:rPr>
                <w:rFonts w:ascii="Times New Roman" w:hAnsi="Times New Roman"/>
                <w:color w:val="000000"/>
                <w:szCs w:val="24"/>
              </w:rPr>
            </w:pPr>
            <w:r w:rsidRPr="00EF1150">
              <w:rPr>
                <w:rFonts w:ascii="Times New Roman" w:hAnsi="Times New Roman"/>
                <w:color w:val="000000"/>
                <w:szCs w:val="24"/>
              </w:rPr>
              <w:t>201</w:t>
            </w:r>
            <w:r>
              <w:rPr>
                <w:rFonts w:ascii="Times New Roman" w:hAnsi="Times New Roman"/>
                <w:color w:val="000000"/>
                <w:szCs w:val="24"/>
              </w:rPr>
              <w:t>4</w:t>
            </w:r>
          </w:p>
        </w:tc>
        <w:tc>
          <w:tcPr>
            <w:tcW w:w="870" w:type="pct"/>
            <w:tcBorders>
              <w:top w:val="single" w:sz="4" w:space="0" w:color="auto"/>
              <w:bottom w:val="single" w:sz="4" w:space="0" w:color="auto"/>
            </w:tcBorders>
            <w:vAlign w:val="bottom"/>
          </w:tcPr>
          <w:p w14:paraId="2A571FD6" w14:textId="77777777" w:rsidR="002921D5" w:rsidRPr="00EF1150" w:rsidRDefault="002921D5" w:rsidP="00DB3A7E">
            <w:pPr>
              <w:autoSpaceDE w:val="0"/>
              <w:autoSpaceDN w:val="0"/>
              <w:adjustRightInd w:val="0"/>
              <w:jc w:val="right"/>
              <w:rPr>
                <w:rFonts w:ascii="Times New Roman" w:hAnsi="Times New Roman"/>
                <w:color w:val="000000"/>
                <w:szCs w:val="24"/>
              </w:rPr>
            </w:pPr>
            <w:r w:rsidRPr="00EF1150">
              <w:rPr>
                <w:rFonts w:ascii="Times New Roman" w:hAnsi="Times New Roman"/>
                <w:color w:val="000000"/>
                <w:szCs w:val="24"/>
              </w:rPr>
              <w:t>201</w:t>
            </w:r>
            <w:r>
              <w:rPr>
                <w:rFonts w:ascii="Times New Roman" w:hAnsi="Times New Roman"/>
                <w:color w:val="000000"/>
                <w:szCs w:val="24"/>
              </w:rPr>
              <w:t>4</w:t>
            </w:r>
          </w:p>
        </w:tc>
        <w:tc>
          <w:tcPr>
            <w:tcW w:w="341" w:type="pct"/>
            <w:tcBorders>
              <w:top w:val="single" w:sz="4" w:space="0" w:color="auto"/>
              <w:bottom w:val="single" w:sz="4" w:space="0" w:color="auto"/>
            </w:tcBorders>
          </w:tcPr>
          <w:p w14:paraId="6B6D10AF" w14:textId="77777777" w:rsidR="002921D5" w:rsidRPr="00EF1150" w:rsidRDefault="002921D5" w:rsidP="00DB3A7E">
            <w:pPr>
              <w:autoSpaceDE w:val="0"/>
              <w:autoSpaceDN w:val="0"/>
              <w:adjustRightInd w:val="0"/>
              <w:jc w:val="right"/>
              <w:rPr>
                <w:rFonts w:ascii="Times New Roman" w:hAnsi="Times New Roman"/>
                <w:color w:val="000000"/>
                <w:szCs w:val="24"/>
              </w:rPr>
            </w:pPr>
            <w:r>
              <w:rPr>
                <w:rFonts w:ascii="Times New Roman" w:hAnsi="Times New Roman"/>
                <w:color w:val="000000"/>
                <w:szCs w:val="24"/>
              </w:rPr>
              <w:t>2008</w:t>
            </w:r>
          </w:p>
        </w:tc>
        <w:tc>
          <w:tcPr>
            <w:tcW w:w="341" w:type="pct"/>
            <w:tcBorders>
              <w:top w:val="single" w:sz="4" w:space="0" w:color="auto"/>
              <w:bottom w:val="single" w:sz="4" w:space="0" w:color="auto"/>
            </w:tcBorders>
            <w:vAlign w:val="bottom"/>
          </w:tcPr>
          <w:p w14:paraId="5225EF67" w14:textId="77777777" w:rsidR="002921D5" w:rsidRPr="00EF1150" w:rsidRDefault="002921D5" w:rsidP="00DB3A7E">
            <w:pPr>
              <w:autoSpaceDE w:val="0"/>
              <w:autoSpaceDN w:val="0"/>
              <w:adjustRightInd w:val="0"/>
              <w:jc w:val="right"/>
              <w:rPr>
                <w:rFonts w:ascii="Times New Roman" w:hAnsi="Times New Roman"/>
                <w:color w:val="000000"/>
                <w:szCs w:val="24"/>
              </w:rPr>
            </w:pPr>
            <w:r w:rsidRPr="00EF1150">
              <w:rPr>
                <w:rFonts w:ascii="Times New Roman" w:hAnsi="Times New Roman"/>
                <w:color w:val="000000"/>
                <w:szCs w:val="24"/>
              </w:rPr>
              <w:t>2009</w:t>
            </w:r>
          </w:p>
        </w:tc>
        <w:tc>
          <w:tcPr>
            <w:tcW w:w="341" w:type="pct"/>
            <w:tcBorders>
              <w:top w:val="single" w:sz="4" w:space="0" w:color="auto"/>
              <w:bottom w:val="single" w:sz="4" w:space="0" w:color="auto"/>
            </w:tcBorders>
            <w:vAlign w:val="bottom"/>
          </w:tcPr>
          <w:p w14:paraId="145E1691" w14:textId="77777777" w:rsidR="002921D5" w:rsidRPr="00EF1150" w:rsidRDefault="002921D5" w:rsidP="00DB3A7E">
            <w:pPr>
              <w:autoSpaceDE w:val="0"/>
              <w:autoSpaceDN w:val="0"/>
              <w:adjustRightInd w:val="0"/>
              <w:jc w:val="right"/>
              <w:rPr>
                <w:rFonts w:ascii="Times New Roman" w:hAnsi="Times New Roman"/>
                <w:color w:val="000000"/>
                <w:szCs w:val="24"/>
              </w:rPr>
            </w:pPr>
            <w:r w:rsidRPr="00EF1150">
              <w:rPr>
                <w:rFonts w:ascii="Times New Roman" w:hAnsi="Times New Roman"/>
                <w:color w:val="000000"/>
                <w:szCs w:val="24"/>
              </w:rPr>
              <w:t>2010</w:t>
            </w:r>
          </w:p>
        </w:tc>
        <w:tc>
          <w:tcPr>
            <w:tcW w:w="341" w:type="pct"/>
            <w:tcBorders>
              <w:top w:val="single" w:sz="4" w:space="0" w:color="auto"/>
              <w:bottom w:val="single" w:sz="4" w:space="0" w:color="auto"/>
            </w:tcBorders>
            <w:vAlign w:val="bottom"/>
          </w:tcPr>
          <w:p w14:paraId="78946B79" w14:textId="77777777" w:rsidR="002921D5" w:rsidRPr="00EF1150" w:rsidRDefault="002921D5" w:rsidP="00DB3A7E">
            <w:pPr>
              <w:autoSpaceDE w:val="0"/>
              <w:autoSpaceDN w:val="0"/>
              <w:adjustRightInd w:val="0"/>
              <w:jc w:val="right"/>
              <w:rPr>
                <w:rFonts w:ascii="Times New Roman" w:hAnsi="Times New Roman"/>
                <w:color w:val="000000"/>
                <w:szCs w:val="24"/>
              </w:rPr>
            </w:pPr>
            <w:r w:rsidRPr="00EF1150">
              <w:rPr>
                <w:rFonts w:ascii="Times New Roman" w:hAnsi="Times New Roman"/>
                <w:color w:val="000000"/>
                <w:szCs w:val="24"/>
              </w:rPr>
              <w:t>2011</w:t>
            </w:r>
          </w:p>
        </w:tc>
        <w:tc>
          <w:tcPr>
            <w:tcW w:w="341" w:type="pct"/>
            <w:tcBorders>
              <w:top w:val="single" w:sz="4" w:space="0" w:color="auto"/>
              <w:bottom w:val="single" w:sz="4" w:space="0" w:color="auto"/>
            </w:tcBorders>
            <w:vAlign w:val="bottom"/>
          </w:tcPr>
          <w:p w14:paraId="70EC0700" w14:textId="77777777" w:rsidR="002921D5" w:rsidRPr="00EF1150" w:rsidRDefault="002921D5" w:rsidP="00DB3A7E">
            <w:pPr>
              <w:autoSpaceDE w:val="0"/>
              <w:autoSpaceDN w:val="0"/>
              <w:adjustRightInd w:val="0"/>
              <w:jc w:val="right"/>
              <w:rPr>
                <w:rFonts w:ascii="Times New Roman" w:hAnsi="Times New Roman"/>
                <w:color w:val="000000"/>
                <w:szCs w:val="24"/>
              </w:rPr>
            </w:pPr>
            <w:r w:rsidRPr="00EF1150">
              <w:rPr>
                <w:rFonts w:ascii="Times New Roman" w:hAnsi="Times New Roman"/>
                <w:color w:val="000000"/>
                <w:szCs w:val="24"/>
              </w:rPr>
              <w:t>2012</w:t>
            </w:r>
          </w:p>
        </w:tc>
        <w:tc>
          <w:tcPr>
            <w:tcW w:w="341" w:type="pct"/>
            <w:tcBorders>
              <w:top w:val="single" w:sz="4" w:space="0" w:color="auto"/>
              <w:bottom w:val="single" w:sz="4" w:space="0" w:color="auto"/>
            </w:tcBorders>
            <w:vAlign w:val="bottom"/>
          </w:tcPr>
          <w:p w14:paraId="29D5898E" w14:textId="77777777" w:rsidR="002921D5" w:rsidRPr="00EF1150" w:rsidRDefault="002921D5" w:rsidP="00DB3A7E">
            <w:pPr>
              <w:autoSpaceDE w:val="0"/>
              <w:autoSpaceDN w:val="0"/>
              <w:adjustRightInd w:val="0"/>
              <w:jc w:val="right"/>
              <w:rPr>
                <w:rFonts w:ascii="Times New Roman" w:hAnsi="Times New Roman"/>
                <w:color w:val="000000"/>
                <w:szCs w:val="24"/>
              </w:rPr>
            </w:pPr>
            <w:r w:rsidRPr="00EF1150">
              <w:rPr>
                <w:rFonts w:ascii="Times New Roman" w:hAnsi="Times New Roman"/>
                <w:color w:val="000000"/>
                <w:szCs w:val="24"/>
              </w:rPr>
              <w:t>2013</w:t>
            </w:r>
          </w:p>
        </w:tc>
        <w:tc>
          <w:tcPr>
            <w:tcW w:w="461" w:type="pct"/>
            <w:tcBorders>
              <w:top w:val="single" w:sz="4" w:space="0" w:color="auto"/>
              <w:bottom w:val="single" w:sz="4" w:space="0" w:color="auto"/>
            </w:tcBorders>
          </w:tcPr>
          <w:p w14:paraId="000ADE7D" w14:textId="77777777" w:rsidR="002921D5" w:rsidRPr="00EF1150" w:rsidRDefault="002921D5" w:rsidP="00DB3A7E">
            <w:pPr>
              <w:autoSpaceDE w:val="0"/>
              <w:autoSpaceDN w:val="0"/>
              <w:adjustRightInd w:val="0"/>
              <w:jc w:val="right"/>
              <w:rPr>
                <w:rFonts w:ascii="Times New Roman" w:hAnsi="Times New Roman"/>
                <w:color w:val="000000"/>
                <w:szCs w:val="24"/>
              </w:rPr>
            </w:pPr>
            <w:r>
              <w:rPr>
                <w:rFonts w:ascii="Times New Roman" w:hAnsi="Times New Roman"/>
                <w:color w:val="000000"/>
                <w:szCs w:val="24"/>
              </w:rPr>
              <w:t>2014</w:t>
            </w:r>
          </w:p>
        </w:tc>
      </w:tr>
      <w:tr w:rsidR="00BC040D" w:rsidRPr="00EF1150" w14:paraId="01D934DC" w14:textId="77777777" w:rsidTr="00DE20EB">
        <w:trPr>
          <w:trHeight w:val="247"/>
          <w:jc w:val="center"/>
        </w:trPr>
        <w:tc>
          <w:tcPr>
            <w:tcW w:w="1223" w:type="pct"/>
            <w:tcBorders>
              <w:top w:val="single" w:sz="4" w:space="0" w:color="auto"/>
            </w:tcBorders>
            <w:vAlign w:val="center"/>
          </w:tcPr>
          <w:p w14:paraId="4DAD190C" w14:textId="77777777" w:rsidR="002921D5" w:rsidRPr="00EF1150" w:rsidRDefault="002921D5" w:rsidP="00DB3A7E">
            <w:pPr>
              <w:autoSpaceDE w:val="0"/>
              <w:autoSpaceDN w:val="0"/>
              <w:adjustRightInd w:val="0"/>
              <w:spacing w:after="0"/>
              <w:rPr>
                <w:rFonts w:ascii="Times New Roman" w:hAnsi="Times New Roman"/>
                <w:color w:val="000000"/>
                <w:szCs w:val="24"/>
              </w:rPr>
            </w:pPr>
            <w:r w:rsidRPr="00EF1150">
              <w:rPr>
                <w:rFonts w:ascii="Times New Roman" w:hAnsi="Times New Roman"/>
                <w:color w:val="000000"/>
                <w:szCs w:val="24"/>
              </w:rPr>
              <w:t>Kommuner og fylkeskommuner</w:t>
            </w:r>
          </w:p>
        </w:tc>
        <w:tc>
          <w:tcPr>
            <w:tcW w:w="400" w:type="pct"/>
            <w:tcBorders>
              <w:top w:val="single" w:sz="4" w:space="0" w:color="auto"/>
            </w:tcBorders>
            <w:vAlign w:val="center"/>
          </w:tcPr>
          <w:p w14:paraId="04A6BBE0" w14:textId="77777777" w:rsidR="002921D5" w:rsidRPr="00EF1150" w:rsidRDefault="002921D5" w:rsidP="00DB3A7E">
            <w:pPr>
              <w:spacing w:after="0"/>
              <w:jc w:val="right"/>
              <w:rPr>
                <w:rFonts w:ascii="Times New Roman" w:hAnsi="Times New Roman"/>
                <w:szCs w:val="24"/>
              </w:rPr>
            </w:pPr>
            <w:r w:rsidRPr="00EF1150">
              <w:rPr>
                <w:rFonts w:ascii="Times New Roman" w:hAnsi="Times New Roman"/>
                <w:color w:val="000000"/>
                <w:szCs w:val="24"/>
              </w:rPr>
              <w:t>40</w:t>
            </w:r>
            <w:r>
              <w:rPr>
                <w:rFonts w:ascii="Times New Roman" w:hAnsi="Times New Roman"/>
                <w:color w:val="000000"/>
                <w:szCs w:val="24"/>
              </w:rPr>
              <w:t>6</w:t>
            </w:r>
          </w:p>
        </w:tc>
        <w:tc>
          <w:tcPr>
            <w:tcW w:w="870" w:type="pct"/>
            <w:tcBorders>
              <w:top w:val="single" w:sz="4" w:space="0" w:color="auto"/>
            </w:tcBorders>
            <w:vAlign w:val="center"/>
          </w:tcPr>
          <w:p w14:paraId="0B82440A" w14:textId="77777777" w:rsidR="002921D5" w:rsidRPr="00EF1150" w:rsidRDefault="002921D5" w:rsidP="00DB3A7E">
            <w:pPr>
              <w:spacing w:after="0"/>
              <w:jc w:val="right"/>
              <w:rPr>
                <w:rFonts w:ascii="Times New Roman" w:hAnsi="Times New Roman"/>
                <w:color w:val="000000"/>
                <w:szCs w:val="24"/>
              </w:rPr>
            </w:pPr>
            <w:r>
              <w:rPr>
                <w:rFonts w:ascii="Times New Roman" w:hAnsi="Times New Roman"/>
                <w:szCs w:val="24"/>
              </w:rPr>
              <w:t>914 400</w:t>
            </w:r>
          </w:p>
        </w:tc>
        <w:tc>
          <w:tcPr>
            <w:tcW w:w="341" w:type="pct"/>
            <w:tcBorders>
              <w:top w:val="single" w:sz="4" w:space="0" w:color="auto"/>
            </w:tcBorders>
            <w:vAlign w:val="center"/>
          </w:tcPr>
          <w:p w14:paraId="1F78E7EF" w14:textId="77777777" w:rsidR="002921D5" w:rsidRPr="00EF1150" w:rsidRDefault="002921D5" w:rsidP="002921D5">
            <w:pPr>
              <w:autoSpaceDE w:val="0"/>
              <w:autoSpaceDN w:val="0"/>
              <w:adjustRightInd w:val="0"/>
              <w:spacing w:after="0"/>
              <w:jc w:val="right"/>
              <w:rPr>
                <w:rFonts w:ascii="Times New Roman" w:hAnsi="Times New Roman"/>
                <w:color w:val="000000"/>
                <w:szCs w:val="24"/>
              </w:rPr>
            </w:pPr>
            <w:r>
              <w:rPr>
                <w:rFonts w:ascii="Times New Roman" w:hAnsi="Times New Roman"/>
                <w:color w:val="000000"/>
                <w:szCs w:val="24"/>
              </w:rPr>
              <w:t>7,7</w:t>
            </w:r>
          </w:p>
        </w:tc>
        <w:tc>
          <w:tcPr>
            <w:tcW w:w="341" w:type="pct"/>
            <w:tcBorders>
              <w:top w:val="single" w:sz="4" w:space="0" w:color="auto"/>
            </w:tcBorders>
            <w:vAlign w:val="center"/>
          </w:tcPr>
          <w:p w14:paraId="7C668D6B"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color w:val="000000"/>
                <w:szCs w:val="24"/>
              </w:rPr>
              <w:t>6,3</w:t>
            </w:r>
          </w:p>
        </w:tc>
        <w:tc>
          <w:tcPr>
            <w:tcW w:w="341" w:type="pct"/>
            <w:tcBorders>
              <w:top w:val="single" w:sz="4" w:space="0" w:color="auto"/>
            </w:tcBorders>
            <w:vAlign w:val="center"/>
          </w:tcPr>
          <w:p w14:paraId="054C3AA9"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szCs w:val="24"/>
              </w:rPr>
              <w:t>5,4</w:t>
            </w:r>
          </w:p>
        </w:tc>
        <w:tc>
          <w:tcPr>
            <w:tcW w:w="341" w:type="pct"/>
            <w:tcBorders>
              <w:top w:val="single" w:sz="4" w:space="0" w:color="auto"/>
            </w:tcBorders>
            <w:vAlign w:val="center"/>
          </w:tcPr>
          <w:p w14:paraId="58731160"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szCs w:val="24"/>
              </w:rPr>
              <w:t>5,8</w:t>
            </w:r>
          </w:p>
        </w:tc>
        <w:tc>
          <w:tcPr>
            <w:tcW w:w="341" w:type="pct"/>
            <w:tcBorders>
              <w:top w:val="single" w:sz="4" w:space="0" w:color="auto"/>
            </w:tcBorders>
            <w:vAlign w:val="center"/>
          </w:tcPr>
          <w:p w14:paraId="516E819E" w14:textId="77777777" w:rsidR="002921D5" w:rsidRPr="00EF1150" w:rsidRDefault="002921D5" w:rsidP="00DB3A7E">
            <w:pPr>
              <w:autoSpaceDE w:val="0"/>
              <w:autoSpaceDN w:val="0"/>
              <w:adjustRightInd w:val="0"/>
              <w:spacing w:after="0"/>
              <w:jc w:val="right"/>
              <w:rPr>
                <w:rFonts w:ascii="Times New Roman" w:hAnsi="Times New Roman"/>
                <w:szCs w:val="24"/>
              </w:rPr>
            </w:pPr>
            <w:r w:rsidRPr="00EF1150">
              <w:rPr>
                <w:rFonts w:ascii="Times New Roman" w:hAnsi="Times New Roman"/>
                <w:szCs w:val="24"/>
              </w:rPr>
              <w:t>5,2</w:t>
            </w:r>
          </w:p>
        </w:tc>
        <w:tc>
          <w:tcPr>
            <w:tcW w:w="341" w:type="pct"/>
            <w:tcBorders>
              <w:top w:val="single" w:sz="4" w:space="0" w:color="auto"/>
            </w:tcBorders>
            <w:vAlign w:val="center"/>
          </w:tcPr>
          <w:p w14:paraId="176F59E6" w14:textId="77777777" w:rsidR="002921D5" w:rsidRPr="00EF1150" w:rsidRDefault="002921D5" w:rsidP="00DB3A7E">
            <w:pPr>
              <w:autoSpaceDE w:val="0"/>
              <w:autoSpaceDN w:val="0"/>
              <w:adjustRightInd w:val="0"/>
              <w:spacing w:after="0"/>
              <w:jc w:val="right"/>
              <w:rPr>
                <w:rFonts w:ascii="Times New Roman" w:hAnsi="Times New Roman"/>
                <w:szCs w:val="24"/>
              </w:rPr>
            </w:pPr>
            <w:r w:rsidRPr="00EF1150">
              <w:rPr>
                <w:rFonts w:ascii="Times New Roman" w:hAnsi="Times New Roman"/>
                <w:szCs w:val="24"/>
              </w:rPr>
              <w:t>4,5</w:t>
            </w:r>
          </w:p>
        </w:tc>
        <w:tc>
          <w:tcPr>
            <w:tcW w:w="461" w:type="pct"/>
            <w:tcBorders>
              <w:top w:val="single" w:sz="4" w:space="0" w:color="auto"/>
            </w:tcBorders>
            <w:vAlign w:val="center"/>
          </w:tcPr>
          <w:p w14:paraId="25D89BAE" w14:textId="340586F8" w:rsidR="002921D5" w:rsidRPr="00EF1150" w:rsidRDefault="002921D5" w:rsidP="00E81CF6">
            <w:pPr>
              <w:autoSpaceDE w:val="0"/>
              <w:autoSpaceDN w:val="0"/>
              <w:adjustRightInd w:val="0"/>
              <w:spacing w:after="0"/>
              <w:jc w:val="right"/>
              <w:rPr>
                <w:rFonts w:ascii="Times New Roman" w:hAnsi="Times New Roman"/>
                <w:szCs w:val="24"/>
              </w:rPr>
            </w:pPr>
            <w:r>
              <w:rPr>
                <w:rFonts w:ascii="Times New Roman" w:hAnsi="Times New Roman"/>
                <w:szCs w:val="24"/>
              </w:rPr>
              <w:t>5</w:t>
            </w:r>
            <w:r w:rsidRPr="00EF1150">
              <w:rPr>
                <w:rFonts w:ascii="Times New Roman" w:hAnsi="Times New Roman"/>
                <w:szCs w:val="24"/>
              </w:rPr>
              <w:t>,</w:t>
            </w:r>
            <w:r>
              <w:rPr>
                <w:rFonts w:ascii="Times New Roman" w:hAnsi="Times New Roman"/>
                <w:szCs w:val="24"/>
              </w:rPr>
              <w:t>4</w:t>
            </w:r>
            <w:r w:rsidR="00DE20EB" w:rsidRPr="00DE20EB">
              <w:rPr>
                <w:rFonts w:ascii="Times New Roman" w:hAnsi="Times New Roman"/>
                <w:szCs w:val="24"/>
                <w:vertAlign w:val="superscript"/>
              </w:rPr>
              <w:t>5</w:t>
            </w:r>
          </w:p>
        </w:tc>
      </w:tr>
      <w:tr w:rsidR="00BC040D" w:rsidRPr="00EF1150" w14:paraId="09E7C099" w14:textId="77777777" w:rsidTr="00DE20EB">
        <w:trPr>
          <w:trHeight w:val="247"/>
          <w:jc w:val="center"/>
        </w:trPr>
        <w:tc>
          <w:tcPr>
            <w:tcW w:w="1223" w:type="pct"/>
            <w:vAlign w:val="bottom"/>
          </w:tcPr>
          <w:p w14:paraId="04CD9CD0" w14:textId="77777777" w:rsidR="002921D5" w:rsidRPr="00EF1150" w:rsidRDefault="002921D5" w:rsidP="00DB3A7E">
            <w:pPr>
              <w:autoSpaceDE w:val="0"/>
              <w:autoSpaceDN w:val="0"/>
              <w:adjustRightInd w:val="0"/>
              <w:spacing w:after="0"/>
              <w:rPr>
                <w:rFonts w:ascii="Times New Roman" w:hAnsi="Times New Roman"/>
                <w:color w:val="000000"/>
                <w:szCs w:val="24"/>
              </w:rPr>
            </w:pPr>
            <w:r w:rsidRPr="00EF1150">
              <w:rPr>
                <w:rFonts w:ascii="Times New Roman" w:hAnsi="Times New Roman"/>
                <w:color w:val="000000"/>
                <w:szCs w:val="24"/>
              </w:rPr>
              <w:t xml:space="preserve">Staten </w:t>
            </w:r>
          </w:p>
        </w:tc>
        <w:tc>
          <w:tcPr>
            <w:tcW w:w="400" w:type="pct"/>
            <w:vAlign w:val="center"/>
          </w:tcPr>
          <w:p w14:paraId="5F059694" w14:textId="77777777" w:rsidR="002921D5" w:rsidRPr="00EF1150" w:rsidRDefault="002921D5" w:rsidP="00DB3A7E">
            <w:pPr>
              <w:spacing w:after="0"/>
              <w:jc w:val="right"/>
              <w:rPr>
                <w:rFonts w:ascii="Times New Roman" w:hAnsi="Times New Roman"/>
                <w:szCs w:val="24"/>
              </w:rPr>
            </w:pPr>
            <w:r w:rsidRPr="00EF1150">
              <w:rPr>
                <w:rFonts w:ascii="Times New Roman" w:hAnsi="Times New Roman"/>
                <w:color w:val="000000"/>
                <w:szCs w:val="24"/>
              </w:rPr>
              <w:t>231</w:t>
            </w:r>
          </w:p>
        </w:tc>
        <w:tc>
          <w:tcPr>
            <w:tcW w:w="870" w:type="pct"/>
            <w:vAlign w:val="center"/>
          </w:tcPr>
          <w:p w14:paraId="746E9361" w14:textId="77777777" w:rsidR="002921D5" w:rsidRPr="00EF1150" w:rsidRDefault="002921D5" w:rsidP="00DB3A7E">
            <w:pPr>
              <w:spacing w:after="0"/>
              <w:jc w:val="right"/>
              <w:rPr>
                <w:rFonts w:ascii="Times New Roman" w:hAnsi="Times New Roman"/>
                <w:color w:val="000000"/>
                <w:szCs w:val="24"/>
              </w:rPr>
            </w:pPr>
            <w:r w:rsidRPr="00EF1150">
              <w:rPr>
                <w:rFonts w:ascii="Times New Roman" w:hAnsi="Times New Roman"/>
                <w:szCs w:val="24"/>
              </w:rPr>
              <w:t>1 1</w:t>
            </w:r>
            <w:r>
              <w:rPr>
                <w:rFonts w:ascii="Times New Roman" w:hAnsi="Times New Roman"/>
                <w:szCs w:val="24"/>
              </w:rPr>
              <w:t>42</w:t>
            </w:r>
            <w:r w:rsidRPr="00EF1150">
              <w:rPr>
                <w:rFonts w:ascii="Times New Roman" w:hAnsi="Times New Roman"/>
                <w:szCs w:val="24"/>
              </w:rPr>
              <w:t xml:space="preserve"> </w:t>
            </w:r>
            <w:r>
              <w:rPr>
                <w:rFonts w:ascii="Times New Roman" w:hAnsi="Times New Roman"/>
                <w:szCs w:val="24"/>
              </w:rPr>
              <w:t>4</w:t>
            </w:r>
            <w:r w:rsidRPr="00EF1150">
              <w:rPr>
                <w:rFonts w:ascii="Times New Roman" w:hAnsi="Times New Roman"/>
                <w:szCs w:val="24"/>
              </w:rPr>
              <w:t>00</w:t>
            </w:r>
          </w:p>
        </w:tc>
        <w:tc>
          <w:tcPr>
            <w:tcW w:w="341" w:type="pct"/>
            <w:vAlign w:val="center"/>
          </w:tcPr>
          <w:p w14:paraId="5118E92C" w14:textId="77777777" w:rsidR="002921D5" w:rsidRPr="00EF1150" w:rsidRDefault="002921D5" w:rsidP="002921D5">
            <w:pPr>
              <w:autoSpaceDE w:val="0"/>
              <w:autoSpaceDN w:val="0"/>
              <w:adjustRightInd w:val="0"/>
              <w:spacing w:after="0"/>
              <w:jc w:val="right"/>
              <w:rPr>
                <w:rFonts w:ascii="Times New Roman" w:hAnsi="Times New Roman"/>
                <w:color w:val="000000"/>
                <w:szCs w:val="24"/>
              </w:rPr>
            </w:pPr>
            <w:r>
              <w:rPr>
                <w:rFonts w:ascii="Times New Roman" w:hAnsi="Times New Roman"/>
                <w:color w:val="000000"/>
                <w:szCs w:val="24"/>
              </w:rPr>
              <w:t>6,7</w:t>
            </w:r>
          </w:p>
        </w:tc>
        <w:tc>
          <w:tcPr>
            <w:tcW w:w="341" w:type="pct"/>
            <w:vAlign w:val="center"/>
          </w:tcPr>
          <w:p w14:paraId="43B61D6B"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color w:val="000000"/>
                <w:szCs w:val="24"/>
              </w:rPr>
              <w:t>8,4</w:t>
            </w:r>
          </w:p>
        </w:tc>
        <w:tc>
          <w:tcPr>
            <w:tcW w:w="341" w:type="pct"/>
            <w:vAlign w:val="center"/>
          </w:tcPr>
          <w:p w14:paraId="3C9362F2"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szCs w:val="24"/>
              </w:rPr>
              <w:t>3,7</w:t>
            </w:r>
          </w:p>
        </w:tc>
        <w:tc>
          <w:tcPr>
            <w:tcW w:w="341" w:type="pct"/>
            <w:vAlign w:val="center"/>
          </w:tcPr>
          <w:p w14:paraId="7D47A5EB"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szCs w:val="24"/>
              </w:rPr>
              <w:t>4,3</w:t>
            </w:r>
          </w:p>
        </w:tc>
        <w:tc>
          <w:tcPr>
            <w:tcW w:w="341" w:type="pct"/>
            <w:vAlign w:val="center"/>
          </w:tcPr>
          <w:p w14:paraId="40B51791" w14:textId="77777777" w:rsidR="002921D5" w:rsidRPr="00EF1150" w:rsidRDefault="002921D5" w:rsidP="00DB3A7E">
            <w:pPr>
              <w:autoSpaceDE w:val="0"/>
              <w:autoSpaceDN w:val="0"/>
              <w:adjustRightInd w:val="0"/>
              <w:spacing w:after="0"/>
              <w:jc w:val="right"/>
              <w:rPr>
                <w:rFonts w:ascii="Times New Roman" w:hAnsi="Times New Roman"/>
                <w:szCs w:val="24"/>
              </w:rPr>
            </w:pPr>
            <w:r w:rsidRPr="00EF1150">
              <w:rPr>
                <w:rFonts w:ascii="Times New Roman" w:hAnsi="Times New Roman"/>
                <w:szCs w:val="24"/>
              </w:rPr>
              <w:t>3,5</w:t>
            </w:r>
          </w:p>
        </w:tc>
        <w:tc>
          <w:tcPr>
            <w:tcW w:w="341" w:type="pct"/>
            <w:vAlign w:val="center"/>
          </w:tcPr>
          <w:p w14:paraId="7E55DE6D" w14:textId="77777777" w:rsidR="002921D5" w:rsidRPr="00EF1150" w:rsidRDefault="002921D5" w:rsidP="00DB3A7E">
            <w:pPr>
              <w:autoSpaceDE w:val="0"/>
              <w:autoSpaceDN w:val="0"/>
              <w:adjustRightInd w:val="0"/>
              <w:spacing w:after="0"/>
              <w:jc w:val="right"/>
              <w:rPr>
                <w:rFonts w:ascii="Times New Roman" w:hAnsi="Times New Roman"/>
                <w:szCs w:val="24"/>
              </w:rPr>
            </w:pPr>
            <w:r w:rsidRPr="00EF1150">
              <w:rPr>
                <w:rFonts w:ascii="Times New Roman" w:hAnsi="Times New Roman"/>
                <w:szCs w:val="24"/>
              </w:rPr>
              <w:t>5,0</w:t>
            </w:r>
          </w:p>
        </w:tc>
        <w:tc>
          <w:tcPr>
            <w:tcW w:w="461" w:type="pct"/>
            <w:vAlign w:val="center"/>
          </w:tcPr>
          <w:p w14:paraId="3F430A1D" w14:textId="77777777" w:rsidR="002921D5" w:rsidRPr="00EF1150" w:rsidRDefault="002921D5" w:rsidP="00DB3A7E">
            <w:pPr>
              <w:autoSpaceDE w:val="0"/>
              <w:autoSpaceDN w:val="0"/>
              <w:adjustRightInd w:val="0"/>
              <w:spacing w:after="0"/>
              <w:jc w:val="right"/>
              <w:rPr>
                <w:rFonts w:ascii="Times New Roman" w:hAnsi="Times New Roman"/>
                <w:szCs w:val="24"/>
              </w:rPr>
            </w:pPr>
            <w:r>
              <w:rPr>
                <w:rFonts w:ascii="Times New Roman" w:hAnsi="Times New Roman"/>
                <w:szCs w:val="24"/>
              </w:rPr>
              <w:t>3,5</w:t>
            </w:r>
          </w:p>
        </w:tc>
      </w:tr>
      <w:tr w:rsidR="00BC040D" w:rsidRPr="00EF1150" w14:paraId="4BBBC98B" w14:textId="77777777" w:rsidTr="00DE20EB">
        <w:trPr>
          <w:trHeight w:val="247"/>
          <w:jc w:val="center"/>
        </w:trPr>
        <w:tc>
          <w:tcPr>
            <w:tcW w:w="1223" w:type="pct"/>
            <w:vAlign w:val="bottom"/>
          </w:tcPr>
          <w:p w14:paraId="1AD45AB1" w14:textId="77777777" w:rsidR="002921D5" w:rsidRPr="00EF1150" w:rsidRDefault="002921D5" w:rsidP="006E305B">
            <w:pPr>
              <w:pStyle w:val="Liste"/>
              <w:numPr>
                <w:ilvl w:val="0"/>
                <w:numId w:val="39"/>
              </w:numPr>
              <w:rPr>
                <w:rFonts w:cs="Times New Roman"/>
                <w:szCs w:val="24"/>
              </w:rPr>
            </w:pPr>
            <w:r w:rsidRPr="00EF1150">
              <w:rPr>
                <w:rFonts w:cs="Times New Roman"/>
                <w:szCs w:val="24"/>
              </w:rPr>
              <w:t>Toppledere på lederlønnssystemet</w:t>
            </w:r>
            <w:r w:rsidRPr="00EF1150">
              <w:rPr>
                <w:rFonts w:cs="Times New Roman"/>
                <w:szCs w:val="24"/>
                <w:vertAlign w:val="superscript"/>
              </w:rPr>
              <w:t>2</w:t>
            </w:r>
          </w:p>
        </w:tc>
        <w:tc>
          <w:tcPr>
            <w:tcW w:w="400" w:type="pct"/>
            <w:vAlign w:val="center"/>
          </w:tcPr>
          <w:p w14:paraId="5FA7F91D" w14:textId="77777777" w:rsidR="002921D5" w:rsidRPr="00EF1150" w:rsidRDefault="002921D5" w:rsidP="00DB3A7E">
            <w:pPr>
              <w:spacing w:after="0"/>
              <w:jc w:val="right"/>
              <w:rPr>
                <w:rFonts w:ascii="Times New Roman" w:hAnsi="Times New Roman"/>
                <w:szCs w:val="24"/>
              </w:rPr>
            </w:pPr>
            <w:r w:rsidRPr="00EF1150">
              <w:rPr>
                <w:rFonts w:ascii="Times New Roman" w:hAnsi="Times New Roman"/>
                <w:color w:val="000000"/>
                <w:szCs w:val="24"/>
              </w:rPr>
              <w:t>1</w:t>
            </w:r>
            <w:r>
              <w:rPr>
                <w:rFonts w:ascii="Times New Roman" w:hAnsi="Times New Roman"/>
                <w:color w:val="000000"/>
                <w:szCs w:val="24"/>
              </w:rPr>
              <w:t>32</w:t>
            </w:r>
          </w:p>
        </w:tc>
        <w:tc>
          <w:tcPr>
            <w:tcW w:w="870" w:type="pct"/>
            <w:vAlign w:val="center"/>
          </w:tcPr>
          <w:p w14:paraId="4A0CABF2" w14:textId="77777777" w:rsidR="002921D5" w:rsidRPr="00EF1150" w:rsidRDefault="002921D5" w:rsidP="00DB3A7E">
            <w:pPr>
              <w:spacing w:after="0"/>
              <w:jc w:val="right"/>
              <w:rPr>
                <w:rFonts w:ascii="Times New Roman" w:hAnsi="Times New Roman"/>
                <w:color w:val="000000"/>
                <w:szCs w:val="24"/>
              </w:rPr>
            </w:pPr>
            <w:r w:rsidRPr="00EF1150">
              <w:rPr>
                <w:rFonts w:ascii="Times New Roman" w:hAnsi="Times New Roman"/>
                <w:szCs w:val="24"/>
              </w:rPr>
              <w:t xml:space="preserve">1 </w:t>
            </w:r>
            <w:r>
              <w:rPr>
                <w:rFonts w:ascii="Times New Roman" w:hAnsi="Times New Roman"/>
                <w:szCs w:val="24"/>
              </w:rPr>
              <w:t>216</w:t>
            </w:r>
            <w:r w:rsidRPr="00EF1150">
              <w:rPr>
                <w:rFonts w:ascii="Times New Roman" w:hAnsi="Times New Roman"/>
                <w:szCs w:val="24"/>
              </w:rPr>
              <w:t xml:space="preserve"> </w:t>
            </w:r>
            <w:r>
              <w:rPr>
                <w:rFonts w:ascii="Times New Roman" w:hAnsi="Times New Roman"/>
                <w:szCs w:val="24"/>
              </w:rPr>
              <w:t>8</w:t>
            </w:r>
            <w:r w:rsidRPr="00EF1150">
              <w:rPr>
                <w:rFonts w:ascii="Times New Roman" w:hAnsi="Times New Roman"/>
                <w:szCs w:val="24"/>
              </w:rPr>
              <w:t>00</w:t>
            </w:r>
          </w:p>
        </w:tc>
        <w:tc>
          <w:tcPr>
            <w:tcW w:w="341" w:type="pct"/>
            <w:vAlign w:val="center"/>
          </w:tcPr>
          <w:p w14:paraId="632D37A8" w14:textId="77777777" w:rsidR="002921D5" w:rsidRPr="00EF1150" w:rsidRDefault="002921D5" w:rsidP="002921D5">
            <w:pPr>
              <w:autoSpaceDE w:val="0"/>
              <w:autoSpaceDN w:val="0"/>
              <w:adjustRightInd w:val="0"/>
              <w:spacing w:after="0"/>
              <w:jc w:val="right"/>
              <w:rPr>
                <w:rFonts w:ascii="Times New Roman" w:hAnsi="Times New Roman"/>
                <w:color w:val="000000"/>
                <w:szCs w:val="24"/>
              </w:rPr>
            </w:pPr>
            <w:r>
              <w:rPr>
                <w:rFonts w:ascii="Times New Roman" w:hAnsi="Times New Roman"/>
                <w:color w:val="000000"/>
                <w:szCs w:val="24"/>
              </w:rPr>
              <w:t>8,6</w:t>
            </w:r>
          </w:p>
        </w:tc>
        <w:tc>
          <w:tcPr>
            <w:tcW w:w="341" w:type="pct"/>
            <w:vAlign w:val="center"/>
          </w:tcPr>
          <w:p w14:paraId="58BD1294"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color w:val="000000"/>
                <w:szCs w:val="24"/>
              </w:rPr>
              <w:t>9,4</w:t>
            </w:r>
          </w:p>
        </w:tc>
        <w:tc>
          <w:tcPr>
            <w:tcW w:w="341" w:type="pct"/>
            <w:vAlign w:val="center"/>
          </w:tcPr>
          <w:p w14:paraId="687E9CD7"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szCs w:val="24"/>
              </w:rPr>
              <w:t>3,7</w:t>
            </w:r>
          </w:p>
        </w:tc>
        <w:tc>
          <w:tcPr>
            <w:tcW w:w="341" w:type="pct"/>
            <w:vAlign w:val="center"/>
          </w:tcPr>
          <w:p w14:paraId="5C53E595"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szCs w:val="24"/>
              </w:rPr>
              <w:t>3,6</w:t>
            </w:r>
          </w:p>
        </w:tc>
        <w:tc>
          <w:tcPr>
            <w:tcW w:w="341" w:type="pct"/>
            <w:vAlign w:val="center"/>
          </w:tcPr>
          <w:p w14:paraId="199B5A2D" w14:textId="77777777" w:rsidR="002921D5" w:rsidRPr="00EF1150" w:rsidRDefault="002921D5" w:rsidP="00DB3A7E">
            <w:pPr>
              <w:autoSpaceDE w:val="0"/>
              <w:autoSpaceDN w:val="0"/>
              <w:adjustRightInd w:val="0"/>
              <w:spacing w:after="0"/>
              <w:jc w:val="right"/>
              <w:rPr>
                <w:rFonts w:ascii="Times New Roman" w:hAnsi="Times New Roman"/>
                <w:szCs w:val="24"/>
              </w:rPr>
            </w:pPr>
            <w:r w:rsidRPr="00EF1150">
              <w:rPr>
                <w:rFonts w:ascii="Times New Roman" w:hAnsi="Times New Roman"/>
                <w:szCs w:val="24"/>
              </w:rPr>
              <w:t>1,5</w:t>
            </w:r>
          </w:p>
        </w:tc>
        <w:tc>
          <w:tcPr>
            <w:tcW w:w="341" w:type="pct"/>
            <w:vAlign w:val="center"/>
          </w:tcPr>
          <w:p w14:paraId="77DF2A0A" w14:textId="77777777" w:rsidR="002921D5" w:rsidRPr="00EF1150" w:rsidRDefault="002921D5" w:rsidP="00DB3A7E">
            <w:pPr>
              <w:autoSpaceDE w:val="0"/>
              <w:autoSpaceDN w:val="0"/>
              <w:adjustRightInd w:val="0"/>
              <w:spacing w:after="0"/>
              <w:jc w:val="right"/>
              <w:rPr>
                <w:rFonts w:ascii="Times New Roman" w:hAnsi="Times New Roman"/>
                <w:szCs w:val="24"/>
              </w:rPr>
            </w:pPr>
            <w:r w:rsidRPr="00EF1150">
              <w:rPr>
                <w:rFonts w:ascii="Times New Roman" w:hAnsi="Times New Roman"/>
                <w:szCs w:val="24"/>
              </w:rPr>
              <w:t>5,7</w:t>
            </w:r>
          </w:p>
        </w:tc>
        <w:tc>
          <w:tcPr>
            <w:tcW w:w="461" w:type="pct"/>
            <w:vAlign w:val="center"/>
          </w:tcPr>
          <w:p w14:paraId="475CBC97" w14:textId="77777777" w:rsidR="002921D5" w:rsidRPr="00EF1150" w:rsidRDefault="002921D5" w:rsidP="00DB3A7E">
            <w:pPr>
              <w:autoSpaceDE w:val="0"/>
              <w:autoSpaceDN w:val="0"/>
              <w:adjustRightInd w:val="0"/>
              <w:spacing w:after="0"/>
              <w:jc w:val="right"/>
              <w:rPr>
                <w:rFonts w:ascii="Times New Roman" w:hAnsi="Times New Roman"/>
                <w:szCs w:val="24"/>
              </w:rPr>
            </w:pPr>
            <w:r>
              <w:rPr>
                <w:rFonts w:ascii="Times New Roman" w:hAnsi="Times New Roman"/>
                <w:szCs w:val="24"/>
              </w:rPr>
              <w:t>3,6</w:t>
            </w:r>
          </w:p>
        </w:tc>
      </w:tr>
      <w:tr w:rsidR="00BC040D" w:rsidRPr="00EF1150" w14:paraId="1D436923" w14:textId="77777777" w:rsidTr="00DE20EB">
        <w:trPr>
          <w:trHeight w:val="827"/>
          <w:jc w:val="center"/>
        </w:trPr>
        <w:tc>
          <w:tcPr>
            <w:tcW w:w="1223" w:type="pct"/>
            <w:tcBorders>
              <w:bottom w:val="single" w:sz="4" w:space="0" w:color="auto"/>
            </w:tcBorders>
            <w:vAlign w:val="bottom"/>
          </w:tcPr>
          <w:p w14:paraId="7E2FA76B" w14:textId="77777777" w:rsidR="002921D5" w:rsidRPr="00EF1150" w:rsidRDefault="002921D5" w:rsidP="006E305B">
            <w:pPr>
              <w:pStyle w:val="Liste"/>
              <w:numPr>
                <w:ilvl w:val="0"/>
                <w:numId w:val="39"/>
              </w:numPr>
              <w:rPr>
                <w:rFonts w:cs="Times New Roman"/>
                <w:color w:val="000000"/>
                <w:szCs w:val="24"/>
              </w:rPr>
            </w:pPr>
            <w:r w:rsidRPr="00EF1150">
              <w:rPr>
                <w:rFonts w:cs="Times New Roman"/>
                <w:szCs w:val="24"/>
              </w:rPr>
              <w:t>Toppledere</w:t>
            </w:r>
            <w:r w:rsidRPr="00EF1150">
              <w:rPr>
                <w:rFonts w:cs="Times New Roman"/>
                <w:szCs w:val="24"/>
                <w:vertAlign w:val="superscript"/>
              </w:rPr>
              <w:t>3</w:t>
            </w:r>
            <w:r w:rsidRPr="00EF1150">
              <w:rPr>
                <w:rFonts w:cs="Times New Roman"/>
                <w:szCs w:val="24"/>
              </w:rPr>
              <w:t xml:space="preserve"> lønnet etter </w:t>
            </w:r>
            <w:r w:rsidR="00BC040D">
              <w:rPr>
                <w:rFonts w:cs="Times New Roman"/>
                <w:szCs w:val="24"/>
              </w:rPr>
              <w:t>l</w:t>
            </w:r>
            <w:r w:rsidRPr="00EF1150">
              <w:rPr>
                <w:rFonts w:cs="Times New Roman"/>
                <w:szCs w:val="24"/>
              </w:rPr>
              <w:t>ønnsregulativet i hovedtariffavtalen</w:t>
            </w:r>
          </w:p>
        </w:tc>
        <w:tc>
          <w:tcPr>
            <w:tcW w:w="400" w:type="pct"/>
            <w:tcBorders>
              <w:bottom w:val="single" w:sz="4" w:space="0" w:color="auto"/>
            </w:tcBorders>
            <w:vAlign w:val="center"/>
          </w:tcPr>
          <w:p w14:paraId="0536B07B" w14:textId="77777777" w:rsidR="002921D5" w:rsidRPr="00EF1150" w:rsidRDefault="002921D5" w:rsidP="00DB3A7E">
            <w:pPr>
              <w:spacing w:after="0"/>
              <w:jc w:val="right"/>
              <w:rPr>
                <w:rFonts w:ascii="Times New Roman" w:hAnsi="Times New Roman"/>
                <w:szCs w:val="24"/>
              </w:rPr>
            </w:pPr>
            <w:r>
              <w:rPr>
                <w:rFonts w:ascii="Times New Roman" w:hAnsi="Times New Roman"/>
                <w:color w:val="000000"/>
                <w:szCs w:val="24"/>
              </w:rPr>
              <w:t>99</w:t>
            </w:r>
          </w:p>
        </w:tc>
        <w:tc>
          <w:tcPr>
            <w:tcW w:w="870" w:type="pct"/>
            <w:tcBorders>
              <w:bottom w:val="single" w:sz="4" w:space="0" w:color="auto"/>
            </w:tcBorders>
            <w:vAlign w:val="center"/>
          </w:tcPr>
          <w:p w14:paraId="1E1D14DC" w14:textId="77777777" w:rsidR="002921D5" w:rsidRPr="00EF1150" w:rsidRDefault="002921D5" w:rsidP="00DB3A7E">
            <w:pPr>
              <w:spacing w:after="0"/>
              <w:jc w:val="right"/>
              <w:rPr>
                <w:rFonts w:ascii="Times New Roman" w:hAnsi="Times New Roman"/>
                <w:color w:val="000000"/>
                <w:szCs w:val="24"/>
              </w:rPr>
            </w:pPr>
            <w:r w:rsidRPr="00EF1150">
              <w:rPr>
                <w:rFonts w:ascii="Times New Roman" w:hAnsi="Times New Roman"/>
                <w:szCs w:val="24"/>
              </w:rPr>
              <w:t>1 0</w:t>
            </w:r>
            <w:r>
              <w:rPr>
                <w:rFonts w:ascii="Times New Roman" w:hAnsi="Times New Roman"/>
                <w:szCs w:val="24"/>
              </w:rPr>
              <w:t>4</w:t>
            </w:r>
            <w:r w:rsidRPr="00EF1150">
              <w:rPr>
                <w:rFonts w:ascii="Times New Roman" w:hAnsi="Times New Roman"/>
                <w:szCs w:val="24"/>
              </w:rPr>
              <w:t>4 000</w:t>
            </w:r>
          </w:p>
        </w:tc>
        <w:tc>
          <w:tcPr>
            <w:tcW w:w="341" w:type="pct"/>
            <w:tcBorders>
              <w:bottom w:val="single" w:sz="4" w:space="0" w:color="auto"/>
            </w:tcBorders>
            <w:vAlign w:val="center"/>
          </w:tcPr>
          <w:p w14:paraId="5CB5FBE9" w14:textId="77777777" w:rsidR="002921D5" w:rsidRPr="00EF1150" w:rsidRDefault="002921D5" w:rsidP="002921D5">
            <w:pPr>
              <w:autoSpaceDE w:val="0"/>
              <w:autoSpaceDN w:val="0"/>
              <w:adjustRightInd w:val="0"/>
              <w:spacing w:after="0"/>
              <w:jc w:val="right"/>
              <w:rPr>
                <w:rFonts w:ascii="Times New Roman" w:hAnsi="Times New Roman"/>
                <w:color w:val="000000"/>
                <w:szCs w:val="24"/>
              </w:rPr>
            </w:pPr>
            <w:r>
              <w:rPr>
                <w:rFonts w:ascii="Times New Roman" w:hAnsi="Times New Roman"/>
                <w:color w:val="000000"/>
                <w:szCs w:val="24"/>
              </w:rPr>
              <w:t>4,7</w:t>
            </w:r>
          </w:p>
        </w:tc>
        <w:tc>
          <w:tcPr>
            <w:tcW w:w="341" w:type="pct"/>
            <w:tcBorders>
              <w:bottom w:val="single" w:sz="4" w:space="0" w:color="auto"/>
            </w:tcBorders>
            <w:vAlign w:val="center"/>
          </w:tcPr>
          <w:p w14:paraId="4C8DF821"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color w:val="000000"/>
                <w:szCs w:val="24"/>
              </w:rPr>
              <w:t>6,2</w:t>
            </w:r>
          </w:p>
        </w:tc>
        <w:tc>
          <w:tcPr>
            <w:tcW w:w="341" w:type="pct"/>
            <w:tcBorders>
              <w:bottom w:val="single" w:sz="4" w:space="0" w:color="auto"/>
            </w:tcBorders>
            <w:vAlign w:val="center"/>
          </w:tcPr>
          <w:p w14:paraId="7D74E5B2"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szCs w:val="24"/>
              </w:rPr>
              <w:t>3,6</w:t>
            </w:r>
          </w:p>
        </w:tc>
        <w:tc>
          <w:tcPr>
            <w:tcW w:w="341" w:type="pct"/>
            <w:tcBorders>
              <w:bottom w:val="single" w:sz="4" w:space="0" w:color="auto"/>
            </w:tcBorders>
            <w:vAlign w:val="center"/>
          </w:tcPr>
          <w:p w14:paraId="089CEA75"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szCs w:val="24"/>
              </w:rPr>
              <w:t>4,4</w:t>
            </w:r>
          </w:p>
        </w:tc>
        <w:tc>
          <w:tcPr>
            <w:tcW w:w="341" w:type="pct"/>
            <w:tcBorders>
              <w:bottom w:val="single" w:sz="4" w:space="0" w:color="auto"/>
            </w:tcBorders>
            <w:vAlign w:val="center"/>
          </w:tcPr>
          <w:p w14:paraId="06DB49AC" w14:textId="77777777" w:rsidR="002921D5" w:rsidRPr="00EF1150" w:rsidRDefault="002921D5" w:rsidP="00DB3A7E">
            <w:pPr>
              <w:autoSpaceDE w:val="0"/>
              <w:autoSpaceDN w:val="0"/>
              <w:adjustRightInd w:val="0"/>
              <w:spacing w:after="0"/>
              <w:jc w:val="right"/>
              <w:rPr>
                <w:rFonts w:ascii="Times New Roman" w:hAnsi="Times New Roman"/>
                <w:szCs w:val="24"/>
              </w:rPr>
            </w:pPr>
            <w:r w:rsidRPr="00EF1150">
              <w:rPr>
                <w:rFonts w:ascii="Times New Roman" w:hAnsi="Times New Roman"/>
                <w:szCs w:val="24"/>
              </w:rPr>
              <w:t>7,9</w:t>
            </w:r>
          </w:p>
        </w:tc>
        <w:tc>
          <w:tcPr>
            <w:tcW w:w="341" w:type="pct"/>
            <w:tcBorders>
              <w:bottom w:val="single" w:sz="4" w:space="0" w:color="auto"/>
            </w:tcBorders>
            <w:vAlign w:val="center"/>
          </w:tcPr>
          <w:p w14:paraId="25A603AF" w14:textId="77777777" w:rsidR="002921D5" w:rsidRPr="00EF1150" w:rsidRDefault="002921D5" w:rsidP="00DB3A7E">
            <w:pPr>
              <w:autoSpaceDE w:val="0"/>
              <w:autoSpaceDN w:val="0"/>
              <w:adjustRightInd w:val="0"/>
              <w:spacing w:after="0"/>
              <w:jc w:val="right"/>
              <w:rPr>
                <w:rFonts w:ascii="Times New Roman" w:hAnsi="Times New Roman"/>
                <w:szCs w:val="24"/>
              </w:rPr>
            </w:pPr>
            <w:r w:rsidRPr="00EF1150">
              <w:rPr>
                <w:rFonts w:ascii="Times New Roman" w:hAnsi="Times New Roman"/>
                <w:szCs w:val="24"/>
              </w:rPr>
              <w:t>3,3</w:t>
            </w:r>
          </w:p>
        </w:tc>
        <w:tc>
          <w:tcPr>
            <w:tcW w:w="461" w:type="pct"/>
            <w:tcBorders>
              <w:bottom w:val="single" w:sz="4" w:space="0" w:color="auto"/>
            </w:tcBorders>
            <w:vAlign w:val="center"/>
          </w:tcPr>
          <w:p w14:paraId="6CE80CE4" w14:textId="77777777" w:rsidR="002921D5" w:rsidRPr="00EF1150" w:rsidRDefault="002921D5" w:rsidP="00DB3A7E">
            <w:pPr>
              <w:autoSpaceDE w:val="0"/>
              <w:autoSpaceDN w:val="0"/>
              <w:adjustRightInd w:val="0"/>
              <w:spacing w:after="0"/>
              <w:jc w:val="right"/>
              <w:rPr>
                <w:rFonts w:ascii="Times New Roman" w:hAnsi="Times New Roman"/>
                <w:szCs w:val="24"/>
              </w:rPr>
            </w:pPr>
            <w:r>
              <w:rPr>
                <w:rFonts w:ascii="Times New Roman" w:hAnsi="Times New Roman"/>
                <w:szCs w:val="24"/>
              </w:rPr>
              <w:t>3,0</w:t>
            </w:r>
          </w:p>
        </w:tc>
      </w:tr>
      <w:tr w:rsidR="00BC040D" w:rsidRPr="00EF1150" w14:paraId="115EC051" w14:textId="77777777" w:rsidTr="00DE20EB">
        <w:trPr>
          <w:trHeight w:val="334"/>
          <w:jc w:val="center"/>
        </w:trPr>
        <w:tc>
          <w:tcPr>
            <w:tcW w:w="1223" w:type="pct"/>
            <w:tcBorders>
              <w:top w:val="single" w:sz="4" w:space="0" w:color="auto"/>
              <w:bottom w:val="single" w:sz="4" w:space="0" w:color="auto"/>
            </w:tcBorders>
            <w:vAlign w:val="bottom"/>
          </w:tcPr>
          <w:p w14:paraId="3E25232E" w14:textId="77777777" w:rsidR="002921D5" w:rsidRPr="00EF1150" w:rsidRDefault="002921D5" w:rsidP="00DB3A7E">
            <w:pPr>
              <w:autoSpaceDE w:val="0"/>
              <w:autoSpaceDN w:val="0"/>
              <w:adjustRightInd w:val="0"/>
              <w:spacing w:after="0"/>
              <w:rPr>
                <w:rFonts w:ascii="Times New Roman" w:hAnsi="Times New Roman"/>
                <w:color w:val="000000"/>
                <w:szCs w:val="24"/>
                <w:lang w:eastAsia="nb-NO"/>
              </w:rPr>
            </w:pPr>
            <w:r w:rsidRPr="00EF1150">
              <w:rPr>
                <w:rFonts w:ascii="Times New Roman" w:hAnsi="Times New Roman"/>
                <w:color w:val="000000"/>
                <w:szCs w:val="24"/>
              </w:rPr>
              <w:t>Offentlige toppledere i alt</w:t>
            </w:r>
            <w:r w:rsidRPr="00EF1150">
              <w:rPr>
                <w:rFonts w:ascii="Times New Roman" w:hAnsi="Times New Roman"/>
                <w:color w:val="000000"/>
                <w:szCs w:val="24"/>
                <w:vertAlign w:val="superscript"/>
              </w:rPr>
              <w:t>4</w:t>
            </w:r>
          </w:p>
        </w:tc>
        <w:tc>
          <w:tcPr>
            <w:tcW w:w="400" w:type="pct"/>
            <w:tcBorders>
              <w:top w:val="single" w:sz="4" w:space="0" w:color="auto"/>
              <w:bottom w:val="single" w:sz="4" w:space="0" w:color="auto"/>
            </w:tcBorders>
            <w:vAlign w:val="center"/>
          </w:tcPr>
          <w:p w14:paraId="31C36FC8" w14:textId="77777777" w:rsidR="002921D5" w:rsidRPr="00EF1150" w:rsidRDefault="002921D5" w:rsidP="00DB3A7E">
            <w:pPr>
              <w:spacing w:after="0"/>
              <w:jc w:val="right"/>
              <w:rPr>
                <w:rFonts w:ascii="Times New Roman" w:hAnsi="Times New Roman"/>
                <w:color w:val="000000"/>
                <w:szCs w:val="24"/>
                <w:lang w:eastAsia="nb-NO"/>
              </w:rPr>
            </w:pPr>
            <w:r w:rsidRPr="00EF1150">
              <w:rPr>
                <w:rFonts w:ascii="Times New Roman" w:hAnsi="Times New Roman"/>
                <w:color w:val="000000"/>
                <w:szCs w:val="24"/>
              </w:rPr>
              <w:t>66</w:t>
            </w:r>
            <w:r>
              <w:rPr>
                <w:rFonts w:ascii="Times New Roman" w:hAnsi="Times New Roman"/>
                <w:color w:val="000000"/>
                <w:szCs w:val="24"/>
              </w:rPr>
              <w:t>2</w:t>
            </w:r>
          </w:p>
        </w:tc>
        <w:tc>
          <w:tcPr>
            <w:tcW w:w="870" w:type="pct"/>
            <w:tcBorders>
              <w:top w:val="single" w:sz="4" w:space="0" w:color="auto"/>
              <w:bottom w:val="single" w:sz="4" w:space="0" w:color="auto"/>
            </w:tcBorders>
            <w:vAlign w:val="center"/>
          </w:tcPr>
          <w:p w14:paraId="31A41DDB" w14:textId="77777777" w:rsidR="002921D5" w:rsidRPr="00EF1150" w:rsidRDefault="002921D5" w:rsidP="00DB3A7E">
            <w:pPr>
              <w:spacing w:after="0"/>
              <w:jc w:val="right"/>
              <w:rPr>
                <w:rFonts w:ascii="Times New Roman" w:hAnsi="Times New Roman"/>
                <w:szCs w:val="24"/>
                <w:lang w:eastAsia="nb-NO"/>
              </w:rPr>
            </w:pPr>
            <w:r>
              <w:rPr>
                <w:rFonts w:ascii="Times New Roman" w:hAnsi="Times New Roman"/>
                <w:szCs w:val="24"/>
              </w:rPr>
              <w:t>1 018 800</w:t>
            </w:r>
          </w:p>
        </w:tc>
        <w:tc>
          <w:tcPr>
            <w:tcW w:w="341" w:type="pct"/>
            <w:tcBorders>
              <w:top w:val="single" w:sz="4" w:space="0" w:color="auto"/>
              <w:bottom w:val="single" w:sz="4" w:space="0" w:color="auto"/>
            </w:tcBorders>
            <w:vAlign w:val="center"/>
          </w:tcPr>
          <w:p w14:paraId="001A1801" w14:textId="77777777" w:rsidR="002921D5" w:rsidRPr="00EF1150" w:rsidRDefault="002921D5" w:rsidP="002921D5">
            <w:pPr>
              <w:autoSpaceDE w:val="0"/>
              <w:autoSpaceDN w:val="0"/>
              <w:adjustRightInd w:val="0"/>
              <w:spacing w:after="0"/>
              <w:jc w:val="right"/>
              <w:rPr>
                <w:rFonts w:ascii="Times New Roman" w:hAnsi="Times New Roman"/>
                <w:color w:val="000000"/>
                <w:szCs w:val="24"/>
                <w:lang w:eastAsia="nb-NO"/>
              </w:rPr>
            </w:pPr>
            <w:r w:rsidRPr="00EF1150">
              <w:rPr>
                <w:rFonts w:ascii="Times New Roman" w:hAnsi="Times New Roman"/>
                <w:color w:val="000000"/>
                <w:szCs w:val="24"/>
              </w:rPr>
              <w:t>6,</w:t>
            </w:r>
            <w:r>
              <w:rPr>
                <w:rFonts w:ascii="Times New Roman" w:hAnsi="Times New Roman"/>
                <w:color w:val="000000"/>
                <w:szCs w:val="24"/>
              </w:rPr>
              <w:t>8</w:t>
            </w:r>
          </w:p>
        </w:tc>
        <w:tc>
          <w:tcPr>
            <w:tcW w:w="341" w:type="pct"/>
            <w:tcBorders>
              <w:top w:val="single" w:sz="4" w:space="0" w:color="auto"/>
              <w:bottom w:val="single" w:sz="4" w:space="0" w:color="auto"/>
            </w:tcBorders>
            <w:vAlign w:val="center"/>
          </w:tcPr>
          <w:p w14:paraId="04178FBF" w14:textId="77777777" w:rsidR="002921D5" w:rsidRPr="00EF1150" w:rsidRDefault="002921D5" w:rsidP="00DB3A7E">
            <w:pPr>
              <w:autoSpaceDE w:val="0"/>
              <w:autoSpaceDN w:val="0"/>
              <w:adjustRightInd w:val="0"/>
              <w:spacing w:after="0"/>
              <w:jc w:val="right"/>
              <w:rPr>
                <w:rFonts w:ascii="Times New Roman" w:hAnsi="Times New Roman"/>
                <w:color w:val="000000"/>
                <w:szCs w:val="24"/>
                <w:lang w:eastAsia="nb-NO"/>
              </w:rPr>
            </w:pPr>
            <w:r w:rsidRPr="00EF1150">
              <w:rPr>
                <w:rFonts w:ascii="Times New Roman" w:hAnsi="Times New Roman"/>
                <w:color w:val="000000"/>
                <w:szCs w:val="24"/>
              </w:rPr>
              <w:t>6,6</w:t>
            </w:r>
          </w:p>
        </w:tc>
        <w:tc>
          <w:tcPr>
            <w:tcW w:w="341" w:type="pct"/>
            <w:tcBorders>
              <w:top w:val="single" w:sz="4" w:space="0" w:color="auto"/>
              <w:bottom w:val="single" w:sz="4" w:space="0" w:color="auto"/>
            </w:tcBorders>
            <w:vAlign w:val="center"/>
          </w:tcPr>
          <w:p w14:paraId="16F23A67" w14:textId="77777777" w:rsidR="002921D5" w:rsidRPr="00EF1150" w:rsidRDefault="002921D5" w:rsidP="00DB3A7E">
            <w:pPr>
              <w:autoSpaceDE w:val="0"/>
              <w:autoSpaceDN w:val="0"/>
              <w:adjustRightInd w:val="0"/>
              <w:spacing w:after="0"/>
              <w:jc w:val="right"/>
              <w:rPr>
                <w:rFonts w:ascii="Times New Roman" w:hAnsi="Times New Roman"/>
                <w:color w:val="000000"/>
                <w:szCs w:val="24"/>
                <w:lang w:eastAsia="nb-NO"/>
              </w:rPr>
            </w:pPr>
            <w:r w:rsidRPr="00EF1150">
              <w:rPr>
                <w:rFonts w:ascii="Times New Roman" w:hAnsi="Times New Roman"/>
                <w:color w:val="000000"/>
                <w:szCs w:val="24"/>
              </w:rPr>
              <w:t>4,6</w:t>
            </w:r>
          </w:p>
        </w:tc>
        <w:tc>
          <w:tcPr>
            <w:tcW w:w="341" w:type="pct"/>
            <w:tcBorders>
              <w:top w:val="single" w:sz="4" w:space="0" w:color="auto"/>
              <w:bottom w:val="single" w:sz="4" w:space="0" w:color="auto"/>
            </w:tcBorders>
            <w:vAlign w:val="center"/>
          </w:tcPr>
          <w:p w14:paraId="65B7431D" w14:textId="77777777" w:rsidR="002921D5" w:rsidRPr="00EF1150" w:rsidRDefault="002921D5" w:rsidP="00DB3A7E">
            <w:pPr>
              <w:autoSpaceDE w:val="0"/>
              <w:autoSpaceDN w:val="0"/>
              <w:adjustRightInd w:val="0"/>
              <w:spacing w:after="0"/>
              <w:jc w:val="right"/>
              <w:rPr>
                <w:rFonts w:ascii="Times New Roman" w:hAnsi="Times New Roman"/>
                <w:color w:val="000000"/>
                <w:szCs w:val="24"/>
                <w:lang w:eastAsia="nb-NO"/>
              </w:rPr>
            </w:pPr>
            <w:r w:rsidRPr="00EF1150">
              <w:rPr>
                <w:rFonts w:ascii="Times New Roman" w:hAnsi="Times New Roman"/>
                <w:color w:val="000000"/>
                <w:szCs w:val="24"/>
              </w:rPr>
              <w:t>5,1</w:t>
            </w:r>
          </w:p>
        </w:tc>
        <w:tc>
          <w:tcPr>
            <w:tcW w:w="341" w:type="pct"/>
            <w:tcBorders>
              <w:top w:val="single" w:sz="4" w:space="0" w:color="auto"/>
              <w:bottom w:val="single" w:sz="4" w:space="0" w:color="auto"/>
            </w:tcBorders>
            <w:vAlign w:val="center"/>
          </w:tcPr>
          <w:p w14:paraId="4296A450" w14:textId="77777777" w:rsidR="002921D5" w:rsidRPr="00EF1150" w:rsidRDefault="002921D5" w:rsidP="00DB3A7E">
            <w:pPr>
              <w:autoSpaceDE w:val="0"/>
              <w:autoSpaceDN w:val="0"/>
              <w:adjustRightInd w:val="0"/>
              <w:spacing w:after="0"/>
              <w:jc w:val="right"/>
              <w:rPr>
                <w:rFonts w:ascii="Times New Roman" w:hAnsi="Times New Roman"/>
                <w:color w:val="000000"/>
                <w:szCs w:val="24"/>
                <w:lang w:eastAsia="nb-NO"/>
              </w:rPr>
            </w:pPr>
            <w:r w:rsidRPr="00EF1150">
              <w:rPr>
                <w:rFonts w:ascii="Times New Roman" w:hAnsi="Times New Roman"/>
                <w:color w:val="000000"/>
                <w:szCs w:val="24"/>
              </w:rPr>
              <w:t>4,3</w:t>
            </w:r>
          </w:p>
        </w:tc>
        <w:tc>
          <w:tcPr>
            <w:tcW w:w="341" w:type="pct"/>
            <w:tcBorders>
              <w:top w:val="single" w:sz="4" w:space="0" w:color="auto"/>
              <w:bottom w:val="single" w:sz="4" w:space="0" w:color="auto"/>
            </w:tcBorders>
            <w:vAlign w:val="center"/>
          </w:tcPr>
          <w:p w14:paraId="282A5B18"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sidRPr="00EF1150">
              <w:rPr>
                <w:rFonts w:ascii="Times New Roman" w:hAnsi="Times New Roman"/>
                <w:color w:val="000000"/>
                <w:szCs w:val="24"/>
              </w:rPr>
              <w:t>4,2</w:t>
            </w:r>
          </w:p>
        </w:tc>
        <w:tc>
          <w:tcPr>
            <w:tcW w:w="461" w:type="pct"/>
            <w:tcBorders>
              <w:top w:val="single" w:sz="4" w:space="0" w:color="auto"/>
              <w:bottom w:val="single" w:sz="4" w:space="0" w:color="auto"/>
            </w:tcBorders>
            <w:vAlign w:val="center"/>
          </w:tcPr>
          <w:p w14:paraId="7BF56CE0" w14:textId="77777777" w:rsidR="002921D5" w:rsidRPr="00EF1150" w:rsidRDefault="002921D5" w:rsidP="00DB3A7E">
            <w:pPr>
              <w:autoSpaceDE w:val="0"/>
              <w:autoSpaceDN w:val="0"/>
              <w:adjustRightInd w:val="0"/>
              <w:spacing w:after="0"/>
              <w:jc w:val="right"/>
              <w:rPr>
                <w:rFonts w:ascii="Times New Roman" w:hAnsi="Times New Roman"/>
                <w:color w:val="000000"/>
                <w:szCs w:val="24"/>
              </w:rPr>
            </w:pPr>
            <w:r>
              <w:rPr>
                <w:rFonts w:ascii="Times New Roman" w:hAnsi="Times New Roman"/>
                <w:color w:val="000000"/>
                <w:szCs w:val="24"/>
              </w:rPr>
              <w:t>4,4</w:t>
            </w:r>
          </w:p>
        </w:tc>
      </w:tr>
    </w:tbl>
    <w:p w14:paraId="7B04AF7A" w14:textId="4507CD80" w:rsidR="00DB3A7E" w:rsidRDefault="00DB3A7E" w:rsidP="006E305B">
      <w:pPr>
        <w:pStyle w:val="tabell-noter"/>
        <w:numPr>
          <w:ilvl w:val="0"/>
          <w:numId w:val="40"/>
        </w:numPr>
        <w:spacing w:after="0"/>
      </w:pPr>
      <w:r w:rsidRPr="0026320E">
        <w:t>Omfatter grunnlønn</w:t>
      </w:r>
      <w:r w:rsidR="00B94FB0">
        <w:t xml:space="preserve"> og</w:t>
      </w:r>
      <w:r w:rsidRPr="0026320E">
        <w:t xml:space="preserve"> faste og variable tillegg. Gjennomsnittlig årslønn er definert som månedslønn per oktober</w:t>
      </w:r>
      <w:r>
        <w:t>/desember</w:t>
      </w:r>
      <w:r w:rsidRPr="0026320E">
        <w:t>*12.</w:t>
      </w:r>
    </w:p>
    <w:p w14:paraId="7DCCC32B" w14:textId="77777777" w:rsidR="00DB3A7E" w:rsidRDefault="00DB3A7E" w:rsidP="006E305B">
      <w:pPr>
        <w:pStyle w:val="tabell-noter"/>
        <w:numPr>
          <w:ilvl w:val="0"/>
          <w:numId w:val="40"/>
        </w:numPr>
        <w:spacing w:after="0"/>
      </w:pPr>
      <w:r w:rsidRPr="0026320E">
        <w:t xml:space="preserve">Dersom det er flere ledere lønnet etter lederlønnssystemet på ulike nivåer innen samme enhet, er bare topplederen tatt med. </w:t>
      </w:r>
    </w:p>
    <w:p w14:paraId="33683F89" w14:textId="77777777" w:rsidR="00DB3A7E" w:rsidRDefault="00DB3A7E" w:rsidP="006E305B">
      <w:pPr>
        <w:pStyle w:val="tabell-noter"/>
        <w:numPr>
          <w:ilvl w:val="0"/>
          <w:numId w:val="40"/>
        </w:numPr>
        <w:spacing w:after="0"/>
      </w:pPr>
      <w:r w:rsidRPr="0026320E">
        <w:t>Den høyeste lønte i hvert foretak</w:t>
      </w:r>
      <w:r w:rsidR="00336E39">
        <w:t>.</w:t>
      </w:r>
    </w:p>
    <w:p w14:paraId="3157CD52" w14:textId="77777777" w:rsidR="00DE20EB" w:rsidRDefault="00DB3A7E" w:rsidP="006E305B">
      <w:pPr>
        <w:pStyle w:val="tabell-noter"/>
        <w:numPr>
          <w:ilvl w:val="0"/>
          <w:numId w:val="40"/>
        </w:numPr>
        <w:spacing w:after="0"/>
      </w:pPr>
      <w:r w:rsidRPr="0026320E">
        <w:t>Inkluderer administrerende direktører i helseforetakene</w:t>
      </w:r>
      <w:r w:rsidR="00336E39">
        <w:t>.</w:t>
      </w:r>
    </w:p>
    <w:p w14:paraId="415A2870" w14:textId="47F309F5" w:rsidR="00DB3A7E" w:rsidRDefault="00A1483A" w:rsidP="00A1483A">
      <w:pPr>
        <w:pStyle w:val="tabell-noter"/>
        <w:numPr>
          <w:ilvl w:val="0"/>
          <w:numId w:val="40"/>
        </w:numPr>
        <w:spacing w:after="0"/>
      </w:pPr>
      <w:r w:rsidRPr="00A1483A">
        <w:t xml:space="preserve">KS har beregnet lønnsveksten </w:t>
      </w:r>
      <w:r w:rsidR="00991386">
        <w:t xml:space="preserve">fra </w:t>
      </w:r>
      <w:r w:rsidRPr="00A1483A">
        <w:t>2013</w:t>
      </w:r>
      <w:r w:rsidR="00991386">
        <w:t xml:space="preserve"> til 2014</w:t>
      </w:r>
      <w:r w:rsidRPr="00A1483A">
        <w:t xml:space="preserve"> for ledere i fylkeskommuner og kommuner til 4,7 </w:t>
      </w:r>
      <w:r w:rsidR="00991386">
        <w:t xml:space="preserve">prosent </w:t>
      </w:r>
      <w:r w:rsidRPr="00A1483A">
        <w:t>med utgangspunkt i PAI-registeret, kommunenøkkelen og direkte henvendelser til kommuner og fylkeskommuner</w:t>
      </w:r>
      <w:r w:rsidR="00DE20EB">
        <w:t>.</w:t>
      </w:r>
    </w:p>
    <w:p w14:paraId="3ACE16F9" w14:textId="77777777" w:rsidR="00DB3A7E" w:rsidRDefault="00DB3A7E" w:rsidP="00DB3A7E">
      <w:pPr>
        <w:pStyle w:val="tabell-noter"/>
      </w:pPr>
      <w:r w:rsidRPr="004A09D4">
        <w:t>Kilde: Statistisk sentralbyrå</w:t>
      </w:r>
      <w:r w:rsidR="00336E39">
        <w:t>.</w:t>
      </w:r>
    </w:p>
    <w:p w14:paraId="0F541079" w14:textId="77777777" w:rsidR="00DB3A7E" w:rsidRDefault="00DB3A7E" w:rsidP="00DB3A7E">
      <w:r>
        <w:t>Lønnsveksten for toppledere i offentlig sektor var i gjennomsnitt 4,</w:t>
      </w:r>
      <w:r w:rsidR="00E81CF6">
        <w:t xml:space="preserve">4 </w:t>
      </w:r>
      <w:r>
        <w:t xml:space="preserve">prosent fra oktober/desember </w:t>
      </w:r>
      <w:r w:rsidR="00E81CF6">
        <w:t xml:space="preserve">2013 </w:t>
      </w:r>
      <w:r>
        <w:t xml:space="preserve">til oktober/desember </w:t>
      </w:r>
      <w:r w:rsidR="00E81CF6">
        <w:t>2014</w:t>
      </w:r>
      <w:r>
        <w:t>, mot 4,</w:t>
      </w:r>
      <w:r w:rsidR="00E81CF6">
        <w:t>2</w:t>
      </w:r>
      <w:r>
        <w:t xml:space="preserve"> prosent året før. For toppledere i kommuner og fylkeskommuner var l</w:t>
      </w:r>
      <w:r w:rsidRPr="004B7474">
        <w:t xml:space="preserve">ønnsveksten </w:t>
      </w:r>
      <w:r>
        <w:t>fra desember 201</w:t>
      </w:r>
      <w:r w:rsidR="00E81CF6">
        <w:t>3</w:t>
      </w:r>
      <w:r>
        <w:t xml:space="preserve"> til desember 201</w:t>
      </w:r>
      <w:r w:rsidR="00E81CF6">
        <w:t>4</w:t>
      </w:r>
      <w:r>
        <w:t xml:space="preserve"> </w:t>
      </w:r>
      <w:r w:rsidR="00E81CF6">
        <w:t>5,4</w:t>
      </w:r>
      <w:r>
        <w:t xml:space="preserve"> prosent, mot </w:t>
      </w:r>
      <w:r w:rsidR="00E81CF6">
        <w:t>4,5</w:t>
      </w:r>
      <w:r>
        <w:t xml:space="preserve"> prosent året før. I</w:t>
      </w:r>
      <w:r w:rsidRPr="004B7474">
        <w:t xml:space="preserve"> staten var </w:t>
      </w:r>
      <w:r>
        <w:t>veksten fra oktober 201</w:t>
      </w:r>
      <w:r w:rsidR="00E81CF6">
        <w:t>3</w:t>
      </w:r>
      <w:r>
        <w:t xml:space="preserve"> til oktober 201</w:t>
      </w:r>
      <w:r w:rsidR="00E81CF6">
        <w:t>4</w:t>
      </w:r>
      <w:r>
        <w:t xml:space="preserve"> </w:t>
      </w:r>
      <w:r w:rsidR="00E81CF6">
        <w:t>3,5</w:t>
      </w:r>
      <w:r>
        <w:t xml:space="preserve"> prosent, mot </w:t>
      </w:r>
      <w:r w:rsidR="00E81CF6">
        <w:t>5,0</w:t>
      </w:r>
      <w:r>
        <w:t xml:space="preserve"> prosent året før. G</w:t>
      </w:r>
      <w:r w:rsidRPr="004B7474">
        <w:t>jennomsnitt</w:t>
      </w:r>
      <w:r>
        <w:t xml:space="preserve">lig lønnsvekst for toppledere i offentlig sektor omfatter </w:t>
      </w:r>
      <w:r w:rsidRPr="004B7474">
        <w:t xml:space="preserve">også administrerende direktører i helseforetakene. Lønnsnivået for denne gruppen </w:t>
      </w:r>
      <w:r>
        <w:t xml:space="preserve">i helseforetakene </w:t>
      </w:r>
      <w:r w:rsidRPr="004B7474">
        <w:t xml:space="preserve">var </w:t>
      </w:r>
      <w:r>
        <w:t xml:space="preserve">per oktober </w:t>
      </w:r>
      <w:r w:rsidR="00E81CF6">
        <w:t xml:space="preserve">2014 </w:t>
      </w:r>
      <w:r>
        <w:t xml:space="preserve">1 </w:t>
      </w:r>
      <w:r w:rsidR="0095191C">
        <w:t>587 600</w:t>
      </w:r>
      <w:r w:rsidR="0095191C" w:rsidRPr="001E01B9">
        <w:t xml:space="preserve"> </w:t>
      </w:r>
      <w:r w:rsidRPr="004B7474">
        <w:t xml:space="preserve">kroner, og lønnsveksten var i gjennomsnitt </w:t>
      </w:r>
      <w:r w:rsidR="0095191C">
        <w:t>2,6</w:t>
      </w:r>
      <w:r>
        <w:t xml:space="preserve"> prosent fra oktober </w:t>
      </w:r>
      <w:r w:rsidR="0095191C">
        <w:t xml:space="preserve">2013 </w:t>
      </w:r>
      <w:r>
        <w:t xml:space="preserve">til oktober </w:t>
      </w:r>
      <w:r w:rsidR="0095191C">
        <w:t>2014</w:t>
      </w:r>
      <w:r>
        <w:t xml:space="preserve">, mot </w:t>
      </w:r>
      <w:r w:rsidR="0095191C">
        <w:t>1,0</w:t>
      </w:r>
      <w:r w:rsidRPr="004B7474">
        <w:t xml:space="preserve"> prosent</w:t>
      </w:r>
      <w:r>
        <w:t xml:space="preserve"> året før</w:t>
      </w:r>
      <w:r w:rsidRPr="004B7474">
        <w:t xml:space="preserve">. </w:t>
      </w:r>
    </w:p>
    <w:p w14:paraId="2708A669" w14:textId="77777777" w:rsidR="00DB3A7E" w:rsidRDefault="00DB3A7E" w:rsidP="00DB3A7E">
      <w:r>
        <w:t>Gjennomsnittlig l</w:t>
      </w:r>
      <w:r w:rsidRPr="004B7474">
        <w:t xml:space="preserve">ønnsvekst for toppledere fra </w:t>
      </w:r>
      <w:r>
        <w:t xml:space="preserve">oktober/desember </w:t>
      </w:r>
      <w:r w:rsidR="0095191C">
        <w:t xml:space="preserve">2013 </w:t>
      </w:r>
      <w:r>
        <w:t xml:space="preserve">til samme tidspunkt i </w:t>
      </w:r>
      <w:r w:rsidRPr="004B7474">
        <w:t>20</w:t>
      </w:r>
      <w:r>
        <w:t>1</w:t>
      </w:r>
      <w:r w:rsidR="0095191C">
        <w:t>4</w:t>
      </w:r>
      <w:r w:rsidRPr="004B7474">
        <w:t xml:space="preserve"> var </w:t>
      </w:r>
      <w:r>
        <w:t>med unntak for toppledere i helseforetakene og toppledere i staten lønnet etter lønnsregulativet, høyere</w:t>
      </w:r>
      <w:r w:rsidRPr="004B7474">
        <w:t xml:space="preserve"> enn for lønnstakere ellers i offentlig sektor</w:t>
      </w:r>
      <w:r>
        <w:t xml:space="preserve">. </w:t>
      </w:r>
    </w:p>
    <w:p w14:paraId="11E4C351" w14:textId="77777777" w:rsidR="005F400D" w:rsidRDefault="00DB3A7E" w:rsidP="00DB3A7E">
      <w:r w:rsidRPr="005949C1">
        <w:t xml:space="preserve">Per desember </w:t>
      </w:r>
      <w:r w:rsidR="0095191C" w:rsidRPr="005949C1">
        <w:t>201</w:t>
      </w:r>
      <w:r w:rsidR="0095191C">
        <w:t>4</w:t>
      </w:r>
      <w:r w:rsidR="0095191C" w:rsidRPr="005949C1">
        <w:t xml:space="preserve"> </w:t>
      </w:r>
      <w:r w:rsidRPr="005949C1">
        <w:t xml:space="preserve">var gjennomsnittslønnen for toppledere i kommuner og fylkeskommuner om lag </w:t>
      </w:r>
      <w:r w:rsidR="0095191C">
        <w:t>914 400</w:t>
      </w:r>
      <w:r w:rsidR="0095191C" w:rsidRPr="005949C1">
        <w:t xml:space="preserve"> </w:t>
      </w:r>
      <w:r w:rsidRPr="005949C1">
        <w:t xml:space="preserve">kroner. I staten tjente topplederne i gjennomsnitt om lag </w:t>
      </w:r>
      <w:r>
        <w:t xml:space="preserve">1 </w:t>
      </w:r>
      <w:r w:rsidR="0095191C">
        <w:t xml:space="preserve">142 </w:t>
      </w:r>
      <w:r>
        <w:t>000</w:t>
      </w:r>
      <w:r w:rsidRPr="005949C1">
        <w:t xml:space="preserve"> kroner per oktober 201</w:t>
      </w:r>
      <w:r w:rsidR="0095191C">
        <w:t>4</w:t>
      </w:r>
      <w:r>
        <w:t>.</w:t>
      </w:r>
      <w:r w:rsidRPr="005949C1">
        <w:t xml:space="preserve"> Lønnen var en del høyere for toppledere på lederlønnssystemet enn for toppledere lønnet etter lønnsregulativet i hovedtariffavtalen.</w:t>
      </w:r>
    </w:p>
    <w:p w14:paraId="13F44168" w14:textId="77777777" w:rsidR="005F400D" w:rsidRDefault="005F400D" w:rsidP="000243B1">
      <w:pPr>
        <w:pStyle w:val="Overskrift2"/>
        <w:numPr>
          <w:ilvl w:val="1"/>
          <w:numId w:val="31"/>
        </w:numPr>
        <w:spacing w:before="240" w:after="0"/>
      </w:pPr>
      <w:bookmarkStart w:id="159" w:name="_Toc422226829"/>
      <w:r w:rsidRPr="005949C1">
        <w:t>Lønnsutviklingen for kvinner og menn</w:t>
      </w:r>
      <w:bookmarkEnd w:id="159"/>
      <w:r w:rsidRPr="005949C1">
        <w:t xml:space="preserve"> </w:t>
      </w:r>
    </w:p>
    <w:p w14:paraId="1C7DF71E" w14:textId="77777777" w:rsidR="005F400D" w:rsidRDefault="005F400D" w:rsidP="005F400D">
      <w:r>
        <w:t xml:space="preserve">I dette avsnittet presenteres tall for utviklingen i gjennomsnittlig lønnsforskjell mellom kvinner og menn etter forhandlingsområder, næring, utdanningslengde, alder og samlet for alle lønnstakere både etter gjennomsnittslønn og medianlønn. Lønnsforskjellene måles for heltidsansatte eller per årsverk der deltidsansatte er regnet om til heltidsekvivalenter. </w:t>
      </w:r>
    </w:p>
    <w:p w14:paraId="277E068D" w14:textId="77777777" w:rsidR="005F400D" w:rsidRDefault="005F400D" w:rsidP="005F400D">
      <w:r>
        <w:t xml:space="preserve">Forskjeller i kvinners og menns yrkesdeltakelse, bransje/sektortilknytning, utdanning, arbeidserfaring og kompetanse er fortsatt viktige faktorer bak lønnsforskjellene. Det samme er kjønnsdelingen i arbeidsmarkedet.  Kvinner og menn er i næringer og bransjer med ulik lønnsevne og avtaledekning, og de har ulike stillinger på arbeidsplassene. Både endret antall kvinner og menn og endring i ulikhetene mellom dem over tid, kan dermed påvirke lønnsforskjellene slik de måles her. </w:t>
      </w:r>
      <w:r w:rsidRPr="00016C34">
        <w:t>Lønnsforskjellen mellom kvinner og menn kan også avspeile ulike former for lønnsdiskriminering</w:t>
      </w:r>
      <w:r>
        <w:t xml:space="preserve">. Kvantifisering av ulike bidrag til utviklingen i gjennomsnittlig lønnsforskjell krever egne analyser. </w:t>
      </w:r>
    </w:p>
    <w:p w14:paraId="28CE2218" w14:textId="77777777" w:rsidR="005F400D" w:rsidRDefault="005F400D" w:rsidP="005F400D">
      <w:pPr>
        <w:rPr>
          <w:rStyle w:val="kursiv"/>
        </w:rPr>
      </w:pPr>
      <w:r>
        <w:t xml:space="preserve">TBU har statistikk for utviklingen i </w:t>
      </w:r>
      <w:r w:rsidRPr="00975857">
        <w:rPr>
          <w:i/>
        </w:rPr>
        <w:t>gjennomsnittslønn</w:t>
      </w:r>
      <w:r>
        <w:t xml:space="preserve"> mellom kvinner og menn for ulike forhandlingsområder siden 1984 og samlet for alle kvinner og menn fra 1997. For arbeidsmarkedet under ett var det for heltidsansatte en tilnærming i relativ lønn på 1,7 prosentpoeng fra 1997 fram til og med 2008. I 2008 var det et brudd i serien. Fra 2009 til 2014</w:t>
      </w:r>
      <w:r w:rsidR="002C7E59">
        <w:t xml:space="preserve"> </w:t>
      </w:r>
      <w:r>
        <w:t xml:space="preserve">ble forskjellen redusert med 1,7 prosentpoeng.  Når vi inkluderer deltidsansatte, ble også forskjellen fra 2009 redusert med 1,7 prosentpoeng. Ser vi på </w:t>
      </w:r>
      <w:r w:rsidRPr="00975857">
        <w:rPr>
          <w:i/>
        </w:rPr>
        <w:t>medianlønn</w:t>
      </w:r>
      <w:r>
        <w:t xml:space="preserve"> mellom kvinner og menn, var det en tilnærming fra 1997 til 2008 på 1,4 prosentpoeng. Fra 2009 til 2014 ble lønnsforskjellene redusert med 2,5 prosentpoeng. </w:t>
      </w:r>
    </w:p>
    <w:p w14:paraId="06FEC884" w14:textId="77777777" w:rsidR="005F400D" w:rsidRDefault="005F400D" w:rsidP="005F400D">
      <w:pPr>
        <w:rPr>
          <w:rStyle w:val="kursiv"/>
        </w:rPr>
      </w:pPr>
      <w:r w:rsidRPr="001E01B9">
        <w:rPr>
          <w:rStyle w:val="kursiv"/>
        </w:rPr>
        <w:t>Lønnsforskjeller etter forhandlingsområder</w:t>
      </w:r>
    </w:p>
    <w:p w14:paraId="775F229A" w14:textId="32D4218C" w:rsidR="005F400D" w:rsidRDefault="005F400D" w:rsidP="005F400D">
      <w:pPr>
        <w:rPr>
          <w:i/>
        </w:rPr>
      </w:pPr>
      <w:r w:rsidRPr="00313C4A">
        <w:t>Tabell 1.1</w:t>
      </w:r>
      <w:r>
        <w:t xml:space="preserve">3 </w:t>
      </w:r>
      <w:r w:rsidRPr="00313C4A">
        <w:t xml:space="preserve">viser lønnsutviklingen </w:t>
      </w:r>
      <w:r>
        <w:t xml:space="preserve">per årsverk </w:t>
      </w:r>
      <w:r w:rsidRPr="00313C4A">
        <w:t xml:space="preserve">for kvinner og menn i en del forhandlingsområder. Tabellen tar utgangspunkt i TBUs årslønnsbegrep, jf. </w:t>
      </w:r>
      <w:r>
        <w:t>vedlegg 2</w:t>
      </w:r>
      <w:r w:rsidR="00B94FB0">
        <w:t xml:space="preserve"> i NOU 2015:6</w:t>
      </w:r>
      <w:r w:rsidRPr="00313C4A">
        <w:t xml:space="preserve">. Tabellen viser gjennomsnittlig årslønn for kvinner </w:t>
      </w:r>
      <w:r>
        <w:t>i forhold til</w:t>
      </w:r>
      <w:r w:rsidRPr="00313C4A">
        <w:t xml:space="preserve"> gjennomsnittlig årslønn for menn i perioden 200</w:t>
      </w:r>
      <w:r>
        <w:t>5</w:t>
      </w:r>
      <w:r w:rsidRPr="00313C4A">
        <w:t>-20</w:t>
      </w:r>
      <w:r>
        <w:t>14</w:t>
      </w:r>
      <w:r w:rsidRPr="00313C4A">
        <w:t>. Det oppgis også gjennomsnittlig årslønn for kvinner og menn i 20</w:t>
      </w:r>
      <w:r>
        <w:t>14</w:t>
      </w:r>
      <w:r w:rsidRPr="00313C4A">
        <w:t xml:space="preserve">. </w:t>
      </w:r>
    </w:p>
    <w:p w14:paraId="17BF660F" w14:textId="77777777" w:rsidR="005F400D" w:rsidRDefault="005F400D" w:rsidP="005F400D">
      <w:r>
        <w:t>Det var stabilitet eller tilnærming mellom kvinner og menns gjennomsnittlige lønn i de store forhandlingsområdene fra 2013 til 2014.</w:t>
      </w:r>
    </w:p>
    <w:p w14:paraId="24BB0785" w14:textId="77777777" w:rsidR="005F400D" w:rsidRDefault="005F400D" w:rsidP="005F400D">
      <w:r>
        <w:t>I den siste 10-årsperioden har det vært flere brudd i seriene for de ulike forhandlingsområdene. Tatt hensyn til disse bruddene har det over en tiårsperiode (2005-2014) vært tilnærming eller stabilitet i kvinners og menns lønn for de fleste forhandlingsområdene med unntak av i finanstjenester og for ansatte i Virke-bedrifter. Økte lønnsforskjeller i Virke- bedrifter skyldes strukturelle endringer (fram t.o.m. 2012), i første rekke sterk økning i antallet kvinnelige butikkmedarbeidere, som har relativt lav lønn. Tilnærmingen var særlig markert for Spekter-områdene, industrifunksjonærer (NHO-bedrifter), stat og kommune.</w:t>
      </w:r>
    </w:p>
    <w:p w14:paraId="361C4A64" w14:textId="49C0E501" w:rsidR="00B63DF5" w:rsidRDefault="005F400D" w:rsidP="005F400D">
      <w:r w:rsidRPr="004D6BB1">
        <w:t>I hovedgruppene i tabell 1.1</w:t>
      </w:r>
      <w:r>
        <w:t>3</w:t>
      </w:r>
      <w:r w:rsidRPr="004D6BB1">
        <w:t xml:space="preserve"> er det forholdsvis store variasjoner i størrelsen på lønnsforskjellene mellom kvinner og menn. Imidlertid er disse gruppene ikke sammenliknbare med hensyn til sammensetning</w:t>
      </w:r>
      <w:r>
        <w:t xml:space="preserve"> da noen områder har mer ensartete stillingsstrukturer enn andre</w:t>
      </w:r>
      <w:r w:rsidRPr="004D6BB1">
        <w:t xml:space="preserve">. </w:t>
      </w:r>
      <w:r>
        <w:t xml:space="preserve">For eksempel er </w:t>
      </w:r>
      <w:r w:rsidRPr="004D6BB1">
        <w:t xml:space="preserve">stillingsstrukturen </w:t>
      </w:r>
      <w:r>
        <w:t>blant</w:t>
      </w:r>
      <w:r w:rsidRPr="004D6BB1">
        <w:t xml:space="preserve"> industriarbeidere relativt enhetlig, mens den er mer sammensatt blant annet i finanstjenester og i helseforetakene</w:t>
      </w:r>
      <w:r>
        <w:t>. Tabellen egner seg dermed mest til å følge utviklingen i de enkelte områdene over tid.</w:t>
      </w:r>
    </w:p>
    <w:p w14:paraId="765EA655" w14:textId="77777777" w:rsidR="005F400D" w:rsidRDefault="005F400D" w:rsidP="000243B1">
      <w:pPr>
        <w:pStyle w:val="tabell-tittel"/>
        <w:numPr>
          <w:ilvl w:val="6"/>
          <w:numId w:val="31"/>
        </w:numPr>
        <w:spacing w:before="120" w:after="0" w:line="240" w:lineRule="auto"/>
      </w:pPr>
      <w:r w:rsidRPr="001B0D52">
        <w:t>Gjennomsnittlig årslønn</w:t>
      </w:r>
      <w:r w:rsidRPr="001B0D52">
        <w:rPr>
          <w:vertAlign w:val="superscript"/>
        </w:rPr>
        <w:t xml:space="preserve">1 </w:t>
      </w:r>
      <w:r w:rsidRPr="001B0D52">
        <w:t xml:space="preserve">for kvinner </w:t>
      </w:r>
      <w:r>
        <w:t>i forhold til</w:t>
      </w:r>
      <w:r w:rsidRPr="001B0D52">
        <w:t xml:space="preserve"> gjennomsnittlig årslønn for menn i noen store forhandlingsområder. </w:t>
      </w:r>
      <w:r>
        <w:t>Per årsverk</w:t>
      </w:r>
    </w:p>
    <w:tbl>
      <w:tblPr>
        <w:tblStyle w:val="TrykketTabell"/>
        <w:tblpPr w:leftFromText="141" w:rightFromText="141" w:vertAnchor="text" w:horzAnchor="margin" w:tblpY="73"/>
        <w:tblW w:w="5000" w:type="pct"/>
        <w:tblCellMar>
          <w:left w:w="28" w:type="dxa"/>
          <w:right w:w="28" w:type="dxa"/>
        </w:tblCellMar>
        <w:tblLook w:val="04A0" w:firstRow="1" w:lastRow="0" w:firstColumn="1" w:lastColumn="0" w:noHBand="0" w:noVBand="1"/>
      </w:tblPr>
      <w:tblGrid>
        <w:gridCol w:w="1661"/>
        <w:gridCol w:w="510"/>
        <w:gridCol w:w="512"/>
        <w:gridCol w:w="512"/>
        <w:gridCol w:w="512"/>
        <w:gridCol w:w="522"/>
        <w:gridCol w:w="522"/>
        <w:gridCol w:w="512"/>
        <w:gridCol w:w="512"/>
        <w:gridCol w:w="512"/>
        <w:gridCol w:w="693"/>
        <w:gridCol w:w="693"/>
        <w:gridCol w:w="700"/>
        <w:gridCol w:w="697"/>
      </w:tblGrid>
      <w:tr w:rsidR="005F400D" w:rsidRPr="00E4515F" w14:paraId="48ABB617" w14:textId="77777777" w:rsidTr="000243B1">
        <w:trPr>
          <w:cnfStyle w:val="100000000000" w:firstRow="1" w:lastRow="0" w:firstColumn="0" w:lastColumn="0" w:oddVBand="0" w:evenVBand="0" w:oddHBand="0" w:evenHBand="0" w:firstRowFirstColumn="0" w:firstRowLastColumn="0" w:lastRowFirstColumn="0" w:lastRowLastColumn="0"/>
          <w:trHeight w:val="138"/>
        </w:trPr>
        <w:tc>
          <w:tcPr>
            <w:tcW w:w="916" w:type="pct"/>
            <w:vAlign w:val="center"/>
          </w:tcPr>
          <w:p w14:paraId="281FFA13" w14:textId="77777777" w:rsidR="005F400D" w:rsidRPr="00E4515F" w:rsidRDefault="005F400D" w:rsidP="008C4FE7">
            <w:pPr>
              <w:spacing w:after="0"/>
              <w:jc w:val="center"/>
              <w:rPr>
                <w:snapToGrid w:val="0"/>
                <w:sz w:val="18"/>
                <w:szCs w:val="18"/>
              </w:rPr>
            </w:pPr>
          </w:p>
        </w:tc>
        <w:tc>
          <w:tcPr>
            <w:tcW w:w="281" w:type="pct"/>
            <w:vAlign w:val="center"/>
          </w:tcPr>
          <w:p w14:paraId="6DC973A8" w14:textId="77777777" w:rsidR="005F400D" w:rsidRPr="00E4515F" w:rsidRDefault="005F400D" w:rsidP="008C4FE7">
            <w:pPr>
              <w:spacing w:after="0"/>
              <w:jc w:val="center"/>
              <w:rPr>
                <w:snapToGrid w:val="0"/>
                <w:sz w:val="18"/>
                <w:szCs w:val="18"/>
              </w:rPr>
            </w:pPr>
          </w:p>
        </w:tc>
        <w:tc>
          <w:tcPr>
            <w:tcW w:w="282" w:type="pct"/>
            <w:vAlign w:val="center"/>
          </w:tcPr>
          <w:p w14:paraId="6466DC2E" w14:textId="77777777" w:rsidR="005F400D" w:rsidRPr="00E4515F" w:rsidRDefault="005F400D" w:rsidP="008C4FE7">
            <w:pPr>
              <w:spacing w:after="0"/>
              <w:jc w:val="center"/>
              <w:rPr>
                <w:snapToGrid w:val="0"/>
                <w:sz w:val="18"/>
                <w:szCs w:val="18"/>
              </w:rPr>
            </w:pPr>
          </w:p>
        </w:tc>
        <w:tc>
          <w:tcPr>
            <w:tcW w:w="282" w:type="pct"/>
            <w:vAlign w:val="center"/>
          </w:tcPr>
          <w:p w14:paraId="5919BD22" w14:textId="77777777" w:rsidR="005F400D" w:rsidRPr="00E4515F" w:rsidRDefault="005F400D" w:rsidP="008C4FE7">
            <w:pPr>
              <w:spacing w:after="0"/>
              <w:jc w:val="center"/>
              <w:rPr>
                <w:snapToGrid w:val="0"/>
                <w:sz w:val="18"/>
                <w:szCs w:val="18"/>
              </w:rPr>
            </w:pPr>
          </w:p>
        </w:tc>
        <w:tc>
          <w:tcPr>
            <w:tcW w:w="282" w:type="pct"/>
            <w:vAlign w:val="center"/>
          </w:tcPr>
          <w:p w14:paraId="4B7994D2" w14:textId="77777777" w:rsidR="005F400D" w:rsidRPr="00E4515F" w:rsidRDefault="005F400D" w:rsidP="008C4FE7">
            <w:pPr>
              <w:spacing w:after="0"/>
              <w:jc w:val="center"/>
              <w:rPr>
                <w:snapToGrid w:val="0"/>
                <w:sz w:val="18"/>
                <w:szCs w:val="18"/>
              </w:rPr>
            </w:pPr>
          </w:p>
        </w:tc>
        <w:tc>
          <w:tcPr>
            <w:tcW w:w="288" w:type="pct"/>
            <w:vAlign w:val="center"/>
          </w:tcPr>
          <w:p w14:paraId="124F2378" w14:textId="77777777" w:rsidR="005F400D" w:rsidRPr="00E4515F" w:rsidRDefault="005F400D" w:rsidP="008C4FE7">
            <w:pPr>
              <w:spacing w:after="0"/>
              <w:jc w:val="center"/>
              <w:rPr>
                <w:snapToGrid w:val="0"/>
                <w:sz w:val="18"/>
                <w:szCs w:val="18"/>
              </w:rPr>
            </w:pPr>
          </w:p>
        </w:tc>
        <w:tc>
          <w:tcPr>
            <w:tcW w:w="288" w:type="pct"/>
            <w:vAlign w:val="center"/>
          </w:tcPr>
          <w:p w14:paraId="01106AA5" w14:textId="77777777" w:rsidR="005F400D" w:rsidRPr="00E4515F" w:rsidRDefault="005F400D" w:rsidP="008C4FE7">
            <w:pPr>
              <w:spacing w:after="0"/>
              <w:jc w:val="center"/>
              <w:rPr>
                <w:snapToGrid w:val="0"/>
                <w:sz w:val="18"/>
                <w:szCs w:val="18"/>
              </w:rPr>
            </w:pPr>
          </w:p>
        </w:tc>
        <w:tc>
          <w:tcPr>
            <w:tcW w:w="282" w:type="pct"/>
            <w:vAlign w:val="center"/>
          </w:tcPr>
          <w:p w14:paraId="6DD7EA52" w14:textId="77777777" w:rsidR="005F400D" w:rsidRPr="00E4515F" w:rsidRDefault="005F400D" w:rsidP="008C4FE7">
            <w:pPr>
              <w:spacing w:after="0"/>
              <w:jc w:val="center"/>
              <w:rPr>
                <w:snapToGrid w:val="0"/>
                <w:sz w:val="18"/>
                <w:szCs w:val="18"/>
              </w:rPr>
            </w:pPr>
          </w:p>
        </w:tc>
        <w:tc>
          <w:tcPr>
            <w:tcW w:w="282" w:type="pct"/>
            <w:vAlign w:val="center"/>
          </w:tcPr>
          <w:p w14:paraId="0F453657" w14:textId="77777777" w:rsidR="005F400D" w:rsidRPr="00E4515F" w:rsidRDefault="005F400D" w:rsidP="008C4FE7">
            <w:pPr>
              <w:spacing w:after="0"/>
              <w:jc w:val="center"/>
              <w:rPr>
                <w:snapToGrid w:val="0"/>
                <w:sz w:val="18"/>
                <w:szCs w:val="18"/>
              </w:rPr>
            </w:pPr>
          </w:p>
        </w:tc>
        <w:tc>
          <w:tcPr>
            <w:tcW w:w="282" w:type="pct"/>
            <w:vAlign w:val="center"/>
          </w:tcPr>
          <w:p w14:paraId="6D4271DB" w14:textId="77777777" w:rsidR="005F400D" w:rsidRPr="00E4515F" w:rsidRDefault="005F400D" w:rsidP="008C4FE7">
            <w:pPr>
              <w:spacing w:after="0"/>
              <w:jc w:val="center"/>
              <w:rPr>
                <w:snapToGrid w:val="0"/>
                <w:sz w:val="18"/>
                <w:szCs w:val="18"/>
              </w:rPr>
            </w:pPr>
          </w:p>
        </w:tc>
        <w:tc>
          <w:tcPr>
            <w:tcW w:w="382" w:type="pct"/>
            <w:vAlign w:val="center"/>
          </w:tcPr>
          <w:p w14:paraId="2916DEFD" w14:textId="77777777" w:rsidR="005F400D" w:rsidRDefault="005F400D" w:rsidP="008C4FE7">
            <w:pPr>
              <w:spacing w:after="0"/>
              <w:jc w:val="center"/>
              <w:rPr>
                <w:snapToGrid w:val="0"/>
                <w:sz w:val="18"/>
                <w:szCs w:val="18"/>
              </w:rPr>
            </w:pPr>
          </w:p>
        </w:tc>
        <w:tc>
          <w:tcPr>
            <w:tcW w:w="382" w:type="pct"/>
            <w:vAlign w:val="center"/>
          </w:tcPr>
          <w:p w14:paraId="6D755045" w14:textId="77777777" w:rsidR="005F400D" w:rsidRPr="00E4515F" w:rsidRDefault="005F400D" w:rsidP="008C4FE7">
            <w:pPr>
              <w:spacing w:after="0"/>
              <w:jc w:val="center"/>
              <w:rPr>
                <w:snapToGrid w:val="0"/>
                <w:sz w:val="18"/>
                <w:szCs w:val="18"/>
              </w:rPr>
            </w:pPr>
            <w:r>
              <w:rPr>
                <w:snapToGrid w:val="0"/>
                <w:sz w:val="18"/>
                <w:szCs w:val="18"/>
              </w:rPr>
              <w:t>Årslønn</w:t>
            </w:r>
          </w:p>
          <w:p w14:paraId="48956864" w14:textId="77777777" w:rsidR="005F400D" w:rsidRPr="00E4515F" w:rsidRDefault="005F400D" w:rsidP="008C4FE7">
            <w:pPr>
              <w:spacing w:after="0"/>
              <w:jc w:val="center"/>
              <w:rPr>
                <w:snapToGrid w:val="0"/>
                <w:sz w:val="18"/>
                <w:szCs w:val="18"/>
              </w:rPr>
            </w:pPr>
            <w:r>
              <w:rPr>
                <w:snapToGrid w:val="0"/>
                <w:sz w:val="18"/>
                <w:szCs w:val="18"/>
              </w:rPr>
              <w:t>Menn</w:t>
            </w:r>
          </w:p>
        </w:tc>
        <w:tc>
          <w:tcPr>
            <w:tcW w:w="386" w:type="pct"/>
            <w:vAlign w:val="center"/>
          </w:tcPr>
          <w:p w14:paraId="26D2B1F3" w14:textId="77777777" w:rsidR="005F400D" w:rsidRPr="00E4515F" w:rsidRDefault="005F400D" w:rsidP="008C4FE7">
            <w:pPr>
              <w:spacing w:after="0"/>
              <w:jc w:val="center"/>
              <w:rPr>
                <w:snapToGrid w:val="0"/>
                <w:sz w:val="18"/>
                <w:szCs w:val="18"/>
              </w:rPr>
            </w:pPr>
            <w:r>
              <w:rPr>
                <w:snapToGrid w:val="0"/>
                <w:sz w:val="18"/>
                <w:szCs w:val="18"/>
              </w:rPr>
              <w:t>Årslønn</w:t>
            </w:r>
          </w:p>
          <w:p w14:paraId="7C018726" w14:textId="77777777" w:rsidR="005F400D" w:rsidRPr="00E4515F" w:rsidRDefault="005F400D" w:rsidP="008C4FE7">
            <w:pPr>
              <w:spacing w:after="0"/>
              <w:jc w:val="center"/>
              <w:rPr>
                <w:snapToGrid w:val="0"/>
                <w:sz w:val="18"/>
                <w:szCs w:val="18"/>
              </w:rPr>
            </w:pPr>
            <w:r>
              <w:rPr>
                <w:snapToGrid w:val="0"/>
                <w:sz w:val="18"/>
                <w:szCs w:val="18"/>
              </w:rPr>
              <w:t>Kvinner</w:t>
            </w:r>
          </w:p>
        </w:tc>
        <w:tc>
          <w:tcPr>
            <w:tcW w:w="384" w:type="pct"/>
            <w:vAlign w:val="center"/>
          </w:tcPr>
          <w:p w14:paraId="61AAAEC5" w14:textId="77777777" w:rsidR="005F400D" w:rsidRPr="00E4515F" w:rsidRDefault="005F400D" w:rsidP="008C4FE7">
            <w:pPr>
              <w:spacing w:after="0"/>
              <w:ind w:right="-2"/>
              <w:jc w:val="center"/>
              <w:rPr>
                <w:snapToGrid w:val="0"/>
                <w:sz w:val="18"/>
                <w:szCs w:val="18"/>
              </w:rPr>
            </w:pPr>
            <w:r>
              <w:rPr>
                <w:snapToGrid w:val="0"/>
                <w:sz w:val="18"/>
                <w:szCs w:val="18"/>
              </w:rPr>
              <w:t>Kvinne-</w:t>
            </w:r>
          </w:p>
          <w:p w14:paraId="6BFFA00B" w14:textId="77777777" w:rsidR="005F400D" w:rsidRPr="00E4515F" w:rsidRDefault="005F400D" w:rsidP="008C4FE7">
            <w:pPr>
              <w:spacing w:after="0"/>
              <w:ind w:right="-2"/>
              <w:jc w:val="center"/>
              <w:rPr>
                <w:snapToGrid w:val="0"/>
                <w:sz w:val="18"/>
                <w:szCs w:val="18"/>
              </w:rPr>
            </w:pPr>
            <w:r>
              <w:rPr>
                <w:snapToGrid w:val="0"/>
                <w:sz w:val="18"/>
                <w:szCs w:val="18"/>
              </w:rPr>
              <w:t>andel</w:t>
            </w:r>
            <w:r>
              <w:rPr>
                <w:snapToGrid w:val="0"/>
                <w:sz w:val="18"/>
                <w:szCs w:val="18"/>
                <w:vertAlign w:val="superscript"/>
              </w:rPr>
              <w:t>2</w:t>
            </w:r>
          </w:p>
        </w:tc>
      </w:tr>
      <w:tr w:rsidR="005F400D" w:rsidRPr="00E4515F" w14:paraId="0D7BE2D8" w14:textId="77777777" w:rsidTr="000243B1">
        <w:trPr>
          <w:trHeight w:val="266"/>
        </w:trPr>
        <w:tc>
          <w:tcPr>
            <w:tcW w:w="916" w:type="pct"/>
            <w:tcBorders>
              <w:top w:val="single" w:sz="4" w:space="0" w:color="auto"/>
              <w:bottom w:val="single" w:sz="4" w:space="0" w:color="auto"/>
            </w:tcBorders>
            <w:vAlign w:val="center"/>
          </w:tcPr>
          <w:p w14:paraId="7E756000" w14:textId="77777777" w:rsidR="005F400D" w:rsidRPr="00E4515F" w:rsidRDefault="005F400D" w:rsidP="008C4FE7">
            <w:pPr>
              <w:spacing w:after="0"/>
              <w:jc w:val="center"/>
              <w:rPr>
                <w:snapToGrid w:val="0"/>
                <w:sz w:val="18"/>
                <w:szCs w:val="18"/>
              </w:rPr>
            </w:pPr>
          </w:p>
        </w:tc>
        <w:tc>
          <w:tcPr>
            <w:tcW w:w="281" w:type="pct"/>
            <w:tcBorders>
              <w:top w:val="single" w:sz="4" w:space="0" w:color="auto"/>
              <w:bottom w:val="single" w:sz="4" w:space="0" w:color="auto"/>
            </w:tcBorders>
            <w:vAlign w:val="center"/>
          </w:tcPr>
          <w:p w14:paraId="77F0E36C" w14:textId="77777777" w:rsidR="005F400D" w:rsidRPr="00E4515F" w:rsidRDefault="005F400D" w:rsidP="008C4FE7">
            <w:pPr>
              <w:spacing w:after="0"/>
              <w:jc w:val="center"/>
              <w:rPr>
                <w:snapToGrid w:val="0"/>
                <w:sz w:val="18"/>
                <w:szCs w:val="18"/>
              </w:rPr>
            </w:pPr>
            <w:r>
              <w:rPr>
                <w:snapToGrid w:val="0"/>
                <w:sz w:val="18"/>
                <w:szCs w:val="18"/>
              </w:rPr>
              <w:t>2005</w:t>
            </w:r>
          </w:p>
        </w:tc>
        <w:tc>
          <w:tcPr>
            <w:tcW w:w="282" w:type="pct"/>
            <w:tcBorders>
              <w:top w:val="single" w:sz="4" w:space="0" w:color="auto"/>
              <w:bottom w:val="single" w:sz="4" w:space="0" w:color="auto"/>
            </w:tcBorders>
            <w:vAlign w:val="center"/>
          </w:tcPr>
          <w:p w14:paraId="6F519726" w14:textId="77777777" w:rsidR="005F400D" w:rsidRPr="00E4515F" w:rsidRDefault="005F400D" w:rsidP="008C4FE7">
            <w:pPr>
              <w:spacing w:after="0"/>
              <w:jc w:val="center"/>
              <w:rPr>
                <w:snapToGrid w:val="0"/>
                <w:sz w:val="18"/>
                <w:szCs w:val="18"/>
              </w:rPr>
            </w:pPr>
            <w:r>
              <w:rPr>
                <w:snapToGrid w:val="0"/>
                <w:sz w:val="18"/>
                <w:szCs w:val="18"/>
              </w:rPr>
              <w:t>2006</w:t>
            </w:r>
          </w:p>
        </w:tc>
        <w:tc>
          <w:tcPr>
            <w:tcW w:w="282" w:type="pct"/>
            <w:tcBorders>
              <w:top w:val="single" w:sz="4" w:space="0" w:color="auto"/>
              <w:bottom w:val="single" w:sz="4" w:space="0" w:color="auto"/>
            </w:tcBorders>
            <w:vAlign w:val="center"/>
          </w:tcPr>
          <w:p w14:paraId="282082D2" w14:textId="77777777" w:rsidR="005F400D" w:rsidRPr="00E4515F" w:rsidRDefault="005F400D" w:rsidP="008C4FE7">
            <w:pPr>
              <w:spacing w:after="0"/>
              <w:jc w:val="center"/>
              <w:rPr>
                <w:snapToGrid w:val="0"/>
                <w:sz w:val="18"/>
                <w:szCs w:val="18"/>
              </w:rPr>
            </w:pPr>
            <w:r>
              <w:rPr>
                <w:snapToGrid w:val="0"/>
                <w:sz w:val="18"/>
                <w:szCs w:val="18"/>
              </w:rPr>
              <w:t>2007</w:t>
            </w:r>
          </w:p>
        </w:tc>
        <w:tc>
          <w:tcPr>
            <w:tcW w:w="282" w:type="pct"/>
            <w:tcBorders>
              <w:top w:val="single" w:sz="4" w:space="0" w:color="auto"/>
              <w:bottom w:val="single" w:sz="4" w:space="0" w:color="auto"/>
            </w:tcBorders>
            <w:vAlign w:val="center"/>
          </w:tcPr>
          <w:p w14:paraId="02476911" w14:textId="77777777" w:rsidR="005F400D" w:rsidRPr="00E4515F" w:rsidRDefault="005F400D" w:rsidP="008C4FE7">
            <w:pPr>
              <w:spacing w:after="0"/>
              <w:jc w:val="center"/>
              <w:rPr>
                <w:snapToGrid w:val="0"/>
                <w:sz w:val="18"/>
                <w:szCs w:val="18"/>
              </w:rPr>
            </w:pPr>
            <w:r>
              <w:rPr>
                <w:snapToGrid w:val="0"/>
                <w:sz w:val="18"/>
                <w:szCs w:val="18"/>
              </w:rPr>
              <w:t>2008</w:t>
            </w:r>
          </w:p>
        </w:tc>
        <w:tc>
          <w:tcPr>
            <w:tcW w:w="288" w:type="pct"/>
            <w:tcBorders>
              <w:top w:val="single" w:sz="4" w:space="0" w:color="auto"/>
              <w:bottom w:val="single" w:sz="4" w:space="0" w:color="auto"/>
            </w:tcBorders>
            <w:vAlign w:val="center"/>
          </w:tcPr>
          <w:p w14:paraId="08965C30" w14:textId="77777777" w:rsidR="005F400D" w:rsidRPr="00E4515F" w:rsidRDefault="005F400D" w:rsidP="008C4FE7">
            <w:pPr>
              <w:spacing w:after="0"/>
              <w:jc w:val="center"/>
              <w:rPr>
                <w:snapToGrid w:val="0"/>
                <w:sz w:val="18"/>
                <w:szCs w:val="18"/>
                <w:vertAlign w:val="superscript"/>
              </w:rPr>
            </w:pPr>
            <w:r>
              <w:rPr>
                <w:snapToGrid w:val="0"/>
                <w:sz w:val="18"/>
                <w:szCs w:val="18"/>
              </w:rPr>
              <w:t>2009</w:t>
            </w:r>
          </w:p>
        </w:tc>
        <w:tc>
          <w:tcPr>
            <w:tcW w:w="288" w:type="pct"/>
            <w:tcBorders>
              <w:top w:val="single" w:sz="4" w:space="0" w:color="auto"/>
              <w:bottom w:val="single" w:sz="4" w:space="0" w:color="auto"/>
            </w:tcBorders>
            <w:vAlign w:val="center"/>
          </w:tcPr>
          <w:p w14:paraId="0B5B5AF6" w14:textId="77777777" w:rsidR="005F400D" w:rsidRPr="00E4515F" w:rsidRDefault="005F400D" w:rsidP="008C4FE7">
            <w:pPr>
              <w:spacing w:after="0"/>
              <w:jc w:val="center"/>
              <w:rPr>
                <w:snapToGrid w:val="0"/>
                <w:sz w:val="18"/>
                <w:szCs w:val="18"/>
              </w:rPr>
            </w:pPr>
            <w:r>
              <w:rPr>
                <w:snapToGrid w:val="0"/>
                <w:sz w:val="18"/>
                <w:szCs w:val="18"/>
              </w:rPr>
              <w:t>2010</w:t>
            </w:r>
          </w:p>
        </w:tc>
        <w:tc>
          <w:tcPr>
            <w:tcW w:w="282" w:type="pct"/>
            <w:tcBorders>
              <w:top w:val="single" w:sz="4" w:space="0" w:color="auto"/>
              <w:bottom w:val="single" w:sz="4" w:space="0" w:color="auto"/>
            </w:tcBorders>
            <w:vAlign w:val="center"/>
          </w:tcPr>
          <w:p w14:paraId="4ABD3858" w14:textId="77777777" w:rsidR="005F400D" w:rsidRPr="00E4515F" w:rsidRDefault="005F400D" w:rsidP="008C4FE7">
            <w:pPr>
              <w:spacing w:after="0"/>
              <w:jc w:val="center"/>
              <w:rPr>
                <w:snapToGrid w:val="0"/>
                <w:sz w:val="18"/>
                <w:szCs w:val="18"/>
              </w:rPr>
            </w:pPr>
            <w:r>
              <w:rPr>
                <w:snapToGrid w:val="0"/>
                <w:sz w:val="18"/>
                <w:szCs w:val="18"/>
              </w:rPr>
              <w:t>2011</w:t>
            </w:r>
          </w:p>
        </w:tc>
        <w:tc>
          <w:tcPr>
            <w:tcW w:w="282" w:type="pct"/>
            <w:tcBorders>
              <w:top w:val="single" w:sz="4" w:space="0" w:color="auto"/>
              <w:bottom w:val="single" w:sz="4" w:space="0" w:color="auto"/>
            </w:tcBorders>
            <w:vAlign w:val="center"/>
          </w:tcPr>
          <w:p w14:paraId="58276043" w14:textId="77777777" w:rsidR="005F400D" w:rsidRPr="00E4515F" w:rsidRDefault="005F400D" w:rsidP="008C4FE7">
            <w:pPr>
              <w:spacing w:after="0"/>
              <w:jc w:val="center"/>
              <w:rPr>
                <w:snapToGrid w:val="0"/>
                <w:sz w:val="18"/>
                <w:szCs w:val="18"/>
              </w:rPr>
            </w:pPr>
            <w:r>
              <w:rPr>
                <w:snapToGrid w:val="0"/>
                <w:sz w:val="18"/>
                <w:szCs w:val="18"/>
              </w:rPr>
              <w:t>2012</w:t>
            </w:r>
          </w:p>
        </w:tc>
        <w:tc>
          <w:tcPr>
            <w:tcW w:w="282" w:type="pct"/>
            <w:tcBorders>
              <w:top w:val="single" w:sz="4" w:space="0" w:color="auto"/>
              <w:bottom w:val="single" w:sz="4" w:space="0" w:color="auto"/>
            </w:tcBorders>
            <w:vAlign w:val="center"/>
          </w:tcPr>
          <w:p w14:paraId="79A4CA8B" w14:textId="77777777" w:rsidR="005F400D" w:rsidRDefault="005F400D" w:rsidP="008C4FE7">
            <w:pPr>
              <w:spacing w:after="0"/>
              <w:jc w:val="center"/>
              <w:rPr>
                <w:snapToGrid w:val="0"/>
                <w:sz w:val="18"/>
                <w:szCs w:val="18"/>
              </w:rPr>
            </w:pPr>
            <w:r>
              <w:rPr>
                <w:snapToGrid w:val="0"/>
                <w:sz w:val="18"/>
                <w:szCs w:val="18"/>
              </w:rPr>
              <w:t>2013</w:t>
            </w:r>
          </w:p>
        </w:tc>
        <w:tc>
          <w:tcPr>
            <w:tcW w:w="382" w:type="pct"/>
            <w:tcBorders>
              <w:top w:val="single" w:sz="4" w:space="0" w:color="auto"/>
              <w:bottom w:val="single" w:sz="4" w:space="0" w:color="auto"/>
            </w:tcBorders>
            <w:vAlign w:val="center"/>
          </w:tcPr>
          <w:p w14:paraId="41FB3F64" w14:textId="77777777" w:rsidR="005F400D" w:rsidRDefault="005F400D" w:rsidP="008C4FE7">
            <w:pPr>
              <w:spacing w:after="0"/>
              <w:jc w:val="center"/>
              <w:rPr>
                <w:snapToGrid w:val="0"/>
                <w:sz w:val="18"/>
                <w:szCs w:val="18"/>
              </w:rPr>
            </w:pPr>
            <w:r>
              <w:rPr>
                <w:snapToGrid w:val="0"/>
                <w:sz w:val="18"/>
                <w:szCs w:val="18"/>
              </w:rPr>
              <w:t>2014</w:t>
            </w:r>
          </w:p>
        </w:tc>
        <w:tc>
          <w:tcPr>
            <w:tcW w:w="382" w:type="pct"/>
            <w:tcBorders>
              <w:top w:val="single" w:sz="4" w:space="0" w:color="auto"/>
              <w:bottom w:val="single" w:sz="4" w:space="0" w:color="auto"/>
            </w:tcBorders>
            <w:vAlign w:val="center"/>
          </w:tcPr>
          <w:p w14:paraId="5EBBB3C5"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2014</w:t>
            </w:r>
          </w:p>
        </w:tc>
        <w:tc>
          <w:tcPr>
            <w:tcW w:w="386" w:type="pct"/>
            <w:tcBorders>
              <w:top w:val="single" w:sz="4" w:space="0" w:color="auto"/>
              <w:bottom w:val="single" w:sz="4" w:space="0" w:color="auto"/>
            </w:tcBorders>
            <w:vAlign w:val="center"/>
          </w:tcPr>
          <w:p w14:paraId="61EC819A"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2014</w:t>
            </w:r>
          </w:p>
        </w:tc>
        <w:tc>
          <w:tcPr>
            <w:tcW w:w="384" w:type="pct"/>
            <w:tcBorders>
              <w:top w:val="single" w:sz="4" w:space="0" w:color="auto"/>
              <w:bottom w:val="single" w:sz="4" w:space="0" w:color="auto"/>
            </w:tcBorders>
            <w:vAlign w:val="center"/>
          </w:tcPr>
          <w:p w14:paraId="4934E682" w14:textId="77777777" w:rsidR="005F400D" w:rsidRPr="00C015D7" w:rsidRDefault="005F400D" w:rsidP="008C4FE7">
            <w:pPr>
              <w:pStyle w:val="Bunntekst"/>
              <w:spacing w:after="0"/>
              <w:jc w:val="center"/>
              <w:rPr>
                <w:rFonts w:ascii="Times New Roman" w:hAnsi="Times New Roman"/>
                <w:snapToGrid w:val="0"/>
                <w:sz w:val="18"/>
                <w:szCs w:val="18"/>
              </w:rPr>
            </w:pPr>
            <w:r>
              <w:rPr>
                <w:rFonts w:ascii="Times New Roman" w:hAnsi="Times New Roman"/>
                <w:snapToGrid w:val="0"/>
                <w:sz w:val="18"/>
                <w:szCs w:val="18"/>
              </w:rPr>
              <w:t>2014</w:t>
            </w:r>
          </w:p>
        </w:tc>
      </w:tr>
      <w:tr w:rsidR="005F400D" w:rsidRPr="00E4515F" w14:paraId="3BEB6650" w14:textId="77777777" w:rsidTr="000243B1">
        <w:trPr>
          <w:trHeight w:val="300"/>
        </w:trPr>
        <w:tc>
          <w:tcPr>
            <w:tcW w:w="916" w:type="pct"/>
            <w:tcBorders>
              <w:top w:val="single" w:sz="4" w:space="0" w:color="auto"/>
            </w:tcBorders>
            <w:vAlign w:val="bottom"/>
          </w:tcPr>
          <w:p w14:paraId="64BA353C" w14:textId="77777777" w:rsidR="005F400D" w:rsidRPr="00E4515F" w:rsidRDefault="005F400D" w:rsidP="008C4FE7">
            <w:pPr>
              <w:spacing w:after="0"/>
              <w:rPr>
                <w:snapToGrid w:val="0"/>
                <w:sz w:val="18"/>
                <w:szCs w:val="18"/>
                <w:vertAlign w:val="superscript"/>
              </w:rPr>
            </w:pPr>
            <w:r>
              <w:rPr>
                <w:snapToGrid w:val="0"/>
                <w:sz w:val="18"/>
                <w:szCs w:val="18"/>
              </w:rPr>
              <w:t>Industriarbeidere i NHO-bedrifter</w:t>
            </w:r>
          </w:p>
        </w:tc>
        <w:tc>
          <w:tcPr>
            <w:tcW w:w="281" w:type="pct"/>
            <w:tcBorders>
              <w:top w:val="single" w:sz="4" w:space="0" w:color="auto"/>
            </w:tcBorders>
            <w:vAlign w:val="bottom"/>
          </w:tcPr>
          <w:p w14:paraId="5699248C" w14:textId="77777777" w:rsidR="005F400D" w:rsidRPr="00E4515F" w:rsidRDefault="005F400D" w:rsidP="008C4FE7">
            <w:pPr>
              <w:spacing w:after="0"/>
              <w:jc w:val="center"/>
              <w:rPr>
                <w:sz w:val="18"/>
                <w:szCs w:val="18"/>
              </w:rPr>
            </w:pPr>
            <w:r>
              <w:rPr>
                <w:sz w:val="18"/>
                <w:szCs w:val="18"/>
              </w:rPr>
              <w:t>89,1</w:t>
            </w:r>
          </w:p>
        </w:tc>
        <w:tc>
          <w:tcPr>
            <w:tcW w:w="282" w:type="pct"/>
            <w:tcBorders>
              <w:top w:val="single" w:sz="4" w:space="0" w:color="auto"/>
            </w:tcBorders>
            <w:vAlign w:val="bottom"/>
          </w:tcPr>
          <w:p w14:paraId="4C1C0253" w14:textId="77777777" w:rsidR="005F400D" w:rsidRPr="00E4515F" w:rsidRDefault="005F400D" w:rsidP="008C4FE7">
            <w:pPr>
              <w:spacing w:after="0"/>
              <w:jc w:val="center"/>
              <w:rPr>
                <w:sz w:val="18"/>
                <w:szCs w:val="18"/>
              </w:rPr>
            </w:pPr>
            <w:r>
              <w:rPr>
                <w:sz w:val="18"/>
                <w:szCs w:val="18"/>
              </w:rPr>
              <w:t>89,5</w:t>
            </w:r>
          </w:p>
        </w:tc>
        <w:tc>
          <w:tcPr>
            <w:tcW w:w="282" w:type="pct"/>
            <w:tcBorders>
              <w:top w:val="single" w:sz="4" w:space="0" w:color="auto"/>
            </w:tcBorders>
            <w:vAlign w:val="bottom"/>
          </w:tcPr>
          <w:p w14:paraId="69920078" w14:textId="77777777" w:rsidR="005F400D" w:rsidRPr="00E4515F" w:rsidRDefault="005F400D" w:rsidP="008C4FE7">
            <w:pPr>
              <w:spacing w:after="0"/>
              <w:jc w:val="center"/>
              <w:rPr>
                <w:sz w:val="18"/>
                <w:szCs w:val="18"/>
              </w:rPr>
            </w:pPr>
            <w:r>
              <w:rPr>
                <w:sz w:val="18"/>
                <w:szCs w:val="18"/>
              </w:rPr>
              <w:t>88,3</w:t>
            </w:r>
          </w:p>
        </w:tc>
        <w:tc>
          <w:tcPr>
            <w:tcW w:w="282" w:type="pct"/>
            <w:tcBorders>
              <w:top w:val="single" w:sz="4" w:space="0" w:color="auto"/>
            </w:tcBorders>
            <w:vAlign w:val="bottom"/>
          </w:tcPr>
          <w:p w14:paraId="2128DF07" w14:textId="77777777" w:rsidR="005F400D" w:rsidRPr="00E4515F" w:rsidRDefault="005F400D" w:rsidP="008C4FE7">
            <w:pPr>
              <w:spacing w:after="0"/>
              <w:jc w:val="center"/>
              <w:rPr>
                <w:sz w:val="18"/>
                <w:szCs w:val="18"/>
              </w:rPr>
            </w:pPr>
            <w:r>
              <w:rPr>
                <w:sz w:val="18"/>
                <w:szCs w:val="18"/>
              </w:rPr>
              <w:t>88,5</w:t>
            </w:r>
          </w:p>
        </w:tc>
        <w:tc>
          <w:tcPr>
            <w:tcW w:w="288" w:type="pct"/>
            <w:tcBorders>
              <w:top w:val="single" w:sz="4" w:space="0" w:color="auto"/>
            </w:tcBorders>
            <w:vAlign w:val="bottom"/>
          </w:tcPr>
          <w:p w14:paraId="3800C471" w14:textId="77777777" w:rsidR="005F400D" w:rsidRPr="00E4515F" w:rsidRDefault="005F400D" w:rsidP="008C4FE7">
            <w:pPr>
              <w:spacing w:after="0"/>
              <w:jc w:val="center"/>
              <w:rPr>
                <w:sz w:val="18"/>
                <w:szCs w:val="18"/>
              </w:rPr>
            </w:pPr>
            <w:r>
              <w:rPr>
                <w:sz w:val="18"/>
                <w:szCs w:val="18"/>
              </w:rPr>
              <w:t>88,3</w:t>
            </w:r>
            <w:r>
              <w:rPr>
                <w:snapToGrid w:val="0"/>
                <w:sz w:val="18"/>
                <w:szCs w:val="18"/>
                <w:vertAlign w:val="superscript"/>
              </w:rPr>
              <w:t>3</w:t>
            </w:r>
          </w:p>
        </w:tc>
        <w:tc>
          <w:tcPr>
            <w:tcW w:w="288" w:type="pct"/>
            <w:tcBorders>
              <w:top w:val="single" w:sz="4" w:space="0" w:color="auto"/>
            </w:tcBorders>
            <w:vAlign w:val="bottom"/>
          </w:tcPr>
          <w:p w14:paraId="107D0609" w14:textId="77777777" w:rsidR="005F400D" w:rsidRPr="00E4515F" w:rsidRDefault="005F400D" w:rsidP="008C4FE7">
            <w:pPr>
              <w:spacing w:after="0"/>
              <w:jc w:val="center"/>
              <w:rPr>
                <w:sz w:val="18"/>
                <w:szCs w:val="18"/>
              </w:rPr>
            </w:pPr>
            <w:r>
              <w:rPr>
                <w:sz w:val="18"/>
                <w:szCs w:val="18"/>
              </w:rPr>
              <w:t>88,4</w:t>
            </w:r>
          </w:p>
        </w:tc>
        <w:tc>
          <w:tcPr>
            <w:tcW w:w="282" w:type="pct"/>
            <w:tcBorders>
              <w:top w:val="single" w:sz="4" w:space="0" w:color="auto"/>
            </w:tcBorders>
            <w:vAlign w:val="bottom"/>
          </w:tcPr>
          <w:p w14:paraId="275D38B9" w14:textId="77777777" w:rsidR="005F400D" w:rsidRPr="00E4515F" w:rsidRDefault="005F400D" w:rsidP="008C4FE7">
            <w:pPr>
              <w:spacing w:after="0"/>
              <w:jc w:val="center"/>
              <w:rPr>
                <w:sz w:val="18"/>
                <w:szCs w:val="18"/>
              </w:rPr>
            </w:pPr>
            <w:r>
              <w:rPr>
                <w:sz w:val="18"/>
                <w:szCs w:val="18"/>
              </w:rPr>
              <w:t>89,2</w:t>
            </w:r>
          </w:p>
        </w:tc>
        <w:tc>
          <w:tcPr>
            <w:tcW w:w="282" w:type="pct"/>
            <w:tcBorders>
              <w:top w:val="single" w:sz="4" w:space="0" w:color="auto"/>
            </w:tcBorders>
            <w:vAlign w:val="bottom"/>
          </w:tcPr>
          <w:p w14:paraId="3E55E68D" w14:textId="77777777" w:rsidR="005F400D" w:rsidRPr="00E4515F" w:rsidRDefault="005F400D" w:rsidP="008C4FE7">
            <w:pPr>
              <w:spacing w:after="0"/>
              <w:jc w:val="center"/>
              <w:rPr>
                <w:sz w:val="18"/>
                <w:szCs w:val="18"/>
              </w:rPr>
            </w:pPr>
            <w:r>
              <w:rPr>
                <w:sz w:val="18"/>
                <w:szCs w:val="18"/>
              </w:rPr>
              <w:t>88,8</w:t>
            </w:r>
          </w:p>
        </w:tc>
        <w:tc>
          <w:tcPr>
            <w:tcW w:w="282" w:type="pct"/>
            <w:tcBorders>
              <w:top w:val="single" w:sz="4" w:space="0" w:color="auto"/>
            </w:tcBorders>
            <w:vAlign w:val="bottom"/>
          </w:tcPr>
          <w:p w14:paraId="007A84CC" w14:textId="77777777" w:rsidR="005F400D" w:rsidRDefault="005F400D" w:rsidP="008C4FE7">
            <w:pPr>
              <w:spacing w:after="0"/>
              <w:jc w:val="center"/>
              <w:rPr>
                <w:sz w:val="18"/>
                <w:szCs w:val="18"/>
              </w:rPr>
            </w:pPr>
            <w:r>
              <w:rPr>
                <w:sz w:val="18"/>
                <w:szCs w:val="18"/>
              </w:rPr>
              <w:t>89,2</w:t>
            </w:r>
          </w:p>
        </w:tc>
        <w:tc>
          <w:tcPr>
            <w:tcW w:w="382" w:type="pct"/>
            <w:tcBorders>
              <w:top w:val="single" w:sz="4" w:space="0" w:color="auto"/>
            </w:tcBorders>
            <w:vAlign w:val="bottom"/>
          </w:tcPr>
          <w:p w14:paraId="774523DA" w14:textId="77777777" w:rsidR="005F400D" w:rsidRDefault="005F400D" w:rsidP="008C4FE7">
            <w:pPr>
              <w:spacing w:after="0"/>
              <w:jc w:val="center"/>
              <w:rPr>
                <w:sz w:val="18"/>
                <w:szCs w:val="18"/>
              </w:rPr>
            </w:pPr>
            <w:r>
              <w:rPr>
                <w:sz w:val="18"/>
                <w:szCs w:val="18"/>
              </w:rPr>
              <w:t>89,5</w:t>
            </w:r>
          </w:p>
        </w:tc>
        <w:tc>
          <w:tcPr>
            <w:tcW w:w="382" w:type="pct"/>
            <w:tcBorders>
              <w:top w:val="single" w:sz="4" w:space="0" w:color="auto"/>
            </w:tcBorders>
            <w:vAlign w:val="bottom"/>
          </w:tcPr>
          <w:p w14:paraId="327D66AC" w14:textId="77777777" w:rsidR="005F400D" w:rsidRPr="00C015D7" w:rsidRDefault="005F400D" w:rsidP="008C4FE7">
            <w:pPr>
              <w:spacing w:after="0"/>
              <w:jc w:val="center"/>
              <w:rPr>
                <w:rFonts w:ascii="Times New Roman" w:hAnsi="Times New Roman"/>
                <w:sz w:val="18"/>
                <w:szCs w:val="18"/>
              </w:rPr>
            </w:pPr>
            <w:r>
              <w:rPr>
                <w:rFonts w:ascii="Times New Roman" w:hAnsi="Times New Roman"/>
                <w:sz w:val="18"/>
                <w:szCs w:val="18"/>
              </w:rPr>
              <w:t>442 800</w:t>
            </w:r>
          </w:p>
        </w:tc>
        <w:tc>
          <w:tcPr>
            <w:tcW w:w="386" w:type="pct"/>
            <w:tcBorders>
              <w:top w:val="single" w:sz="4" w:space="0" w:color="auto"/>
            </w:tcBorders>
            <w:vAlign w:val="bottom"/>
          </w:tcPr>
          <w:p w14:paraId="0FD898E6" w14:textId="77777777" w:rsidR="005F400D" w:rsidRPr="00C015D7" w:rsidRDefault="005F400D" w:rsidP="008C4FE7">
            <w:pPr>
              <w:spacing w:after="0"/>
              <w:jc w:val="center"/>
              <w:rPr>
                <w:rFonts w:ascii="Times New Roman" w:hAnsi="Times New Roman"/>
                <w:sz w:val="18"/>
                <w:szCs w:val="18"/>
              </w:rPr>
            </w:pPr>
            <w:r>
              <w:rPr>
                <w:rFonts w:ascii="Times New Roman" w:hAnsi="Times New Roman"/>
                <w:sz w:val="18"/>
                <w:szCs w:val="18"/>
              </w:rPr>
              <w:t>396 400</w:t>
            </w:r>
          </w:p>
        </w:tc>
        <w:tc>
          <w:tcPr>
            <w:tcW w:w="384" w:type="pct"/>
            <w:tcBorders>
              <w:top w:val="single" w:sz="4" w:space="0" w:color="auto"/>
            </w:tcBorders>
            <w:vAlign w:val="bottom"/>
          </w:tcPr>
          <w:p w14:paraId="036E5CD1" w14:textId="77777777" w:rsidR="005F400D" w:rsidRPr="00C015D7" w:rsidRDefault="005F400D" w:rsidP="008C4FE7">
            <w:pPr>
              <w:spacing w:after="0"/>
              <w:jc w:val="center"/>
              <w:rPr>
                <w:rFonts w:ascii="Times New Roman" w:hAnsi="Times New Roman"/>
                <w:sz w:val="18"/>
                <w:szCs w:val="18"/>
              </w:rPr>
            </w:pPr>
            <w:r>
              <w:rPr>
                <w:rFonts w:ascii="Times New Roman" w:hAnsi="Times New Roman"/>
                <w:sz w:val="18"/>
                <w:szCs w:val="18"/>
              </w:rPr>
              <w:t>18</w:t>
            </w:r>
          </w:p>
        </w:tc>
      </w:tr>
      <w:tr w:rsidR="005F400D" w:rsidRPr="00E4515F" w14:paraId="0D0984F7" w14:textId="77777777" w:rsidTr="000243B1">
        <w:trPr>
          <w:trHeight w:val="300"/>
        </w:trPr>
        <w:tc>
          <w:tcPr>
            <w:tcW w:w="916" w:type="pct"/>
            <w:vAlign w:val="bottom"/>
          </w:tcPr>
          <w:p w14:paraId="50C0E13B" w14:textId="77777777" w:rsidR="005F400D" w:rsidRPr="00E4515F" w:rsidRDefault="005F400D" w:rsidP="008C4FE7">
            <w:pPr>
              <w:spacing w:after="0"/>
              <w:rPr>
                <w:snapToGrid w:val="0"/>
                <w:sz w:val="18"/>
                <w:szCs w:val="18"/>
                <w:vertAlign w:val="superscript"/>
              </w:rPr>
            </w:pPr>
            <w:r>
              <w:rPr>
                <w:snapToGrid w:val="0"/>
                <w:sz w:val="18"/>
                <w:szCs w:val="18"/>
              </w:rPr>
              <w:t>Industrifunksjonærer i NHO-bedrifter</w:t>
            </w:r>
          </w:p>
        </w:tc>
        <w:tc>
          <w:tcPr>
            <w:tcW w:w="281" w:type="pct"/>
            <w:vAlign w:val="bottom"/>
          </w:tcPr>
          <w:p w14:paraId="128D69EE" w14:textId="77777777" w:rsidR="005F400D" w:rsidRPr="00E4515F" w:rsidRDefault="005F400D" w:rsidP="008C4FE7">
            <w:pPr>
              <w:spacing w:after="0"/>
              <w:jc w:val="center"/>
              <w:rPr>
                <w:sz w:val="18"/>
                <w:szCs w:val="18"/>
              </w:rPr>
            </w:pPr>
            <w:r>
              <w:rPr>
                <w:sz w:val="18"/>
                <w:szCs w:val="18"/>
              </w:rPr>
              <w:t>77,1</w:t>
            </w:r>
          </w:p>
        </w:tc>
        <w:tc>
          <w:tcPr>
            <w:tcW w:w="282" w:type="pct"/>
            <w:vAlign w:val="bottom"/>
          </w:tcPr>
          <w:p w14:paraId="56258C9A" w14:textId="77777777" w:rsidR="005F400D" w:rsidRPr="00E4515F" w:rsidRDefault="005F400D" w:rsidP="008C4FE7">
            <w:pPr>
              <w:spacing w:after="0"/>
              <w:jc w:val="center"/>
              <w:rPr>
                <w:sz w:val="18"/>
                <w:szCs w:val="18"/>
              </w:rPr>
            </w:pPr>
            <w:r>
              <w:rPr>
                <w:sz w:val="18"/>
                <w:szCs w:val="18"/>
              </w:rPr>
              <w:t>77,6</w:t>
            </w:r>
          </w:p>
        </w:tc>
        <w:tc>
          <w:tcPr>
            <w:tcW w:w="282" w:type="pct"/>
            <w:vAlign w:val="bottom"/>
          </w:tcPr>
          <w:p w14:paraId="798FD22C" w14:textId="77777777" w:rsidR="005F400D" w:rsidRPr="00E4515F" w:rsidRDefault="005F400D" w:rsidP="008C4FE7">
            <w:pPr>
              <w:spacing w:after="0"/>
              <w:jc w:val="center"/>
              <w:rPr>
                <w:sz w:val="18"/>
                <w:szCs w:val="18"/>
              </w:rPr>
            </w:pPr>
            <w:r>
              <w:rPr>
                <w:sz w:val="18"/>
                <w:szCs w:val="18"/>
              </w:rPr>
              <w:t>77,7</w:t>
            </w:r>
          </w:p>
        </w:tc>
        <w:tc>
          <w:tcPr>
            <w:tcW w:w="282" w:type="pct"/>
            <w:vAlign w:val="bottom"/>
          </w:tcPr>
          <w:p w14:paraId="1D7EE736" w14:textId="77777777" w:rsidR="005F400D" w:rsidRPr="00E4515F" w:rsidRDefault="005F400D" w:rsidP="008C4FE7">
            <w:pPr>
              <w:spacing w:after="0"/>
              <w:jc w:val="center"/>
              <w:rPr>
                <w:sz w:val="18"/>
                <w:szCs w:val="18"/>
              </w:rPr>
            </w:pPr>
            <w:r>
              <w:rPr>
                <w:sz w:val="18"/>
                <w:szCs w:val="18"/>
              </w:rPr>
              <w:t>78,2</w:t>
            </w:r>
          </w:p>
        </w:tc>
        <w:tc>
          <w:tcPr>
            <w:tcW w:w="288" w:type="pct"/>
            <w:vAlign w:val="bottom"/>
          </w:tcPr>
          <w:p w14:paraId="2878B499" w14:textId="77777777" w:rsidR="005F400D" w:rsidRPr="00E4515F" w:rsidRDefault="005F400D" w:rsidP="008C4FE7">
            <w:pPr>
              <w:spacing w:after="0"/>
              <w:jc w:val="center"/>
              <w:rPr>
                <w:sz w:val="18"/>
                <w:szCs w:val="18"/>
              </w:rPr>
            </w:pPr>
            <w:r>
              <w:rPr>
                <w:sz w:val="18"/>
                <w:szCs w:val="18"/>
              </w:rPr>
              <w:t>78,9</w:t>
            </w:r>
            <w:r>
              <w:rPr>
                <w:snapToGrid w:val="0"/>
                <w:sz w:val="18"/>
                <w:szCs w:val="18"/>
                <w:vertAlign w:val="superscript"/>
              </w:rPr>
              <w:t>3</w:t>
            </w:r>
          </w:p>
        </w:tc>
        <w:tc>
          <w:tcPr>
            <w:tcW w:w="288" w:type="pct"/>
            <w:vAlign w:val="bottom"/>
          </w:tcPr>
          <w:p w14:paraId="39B50AFA" w14:textId="77777777" w:rsidR="005F400D" w:rsidRPr="00E4515F" w:rsidRDefault="005F400D" w:rsidP="008C4FE7">
            <w:pPr>
              <w:spacing w:after="0"/>
              <w:jc w:val="center"/>
              <w:rPr>
                <w:sz w:val="18"/>
                <w:szCs w:val="18"/>
              </w:rPr>
            </w:pPr>
            <w:r>
              <w:rPr>
                <w:sz w:val="18"/>
                <w:szCs w:val="18"/>
              </w:rPr>
              <w:t>79,4</w:t>
            </w:r>
          </w:p>
        </w:tc>
        <w:tc>
          <w:tcPr>
            <w:tcW w:w="282" w:type="pct"/>
            <w:vAlign w:val="bottom"/>
          </w:tcPr>
          <w:p w14:paraId="7172F7E7" w14:textId="77777777" w:rsidR="005F400D" w:rsidRPr="00E4515F" w:rsidRDefault="005F400D" w:rsidP="008C4FE7">
            <w:pPr>
              <w:spacing w:after="0"/>
              <w:jc w:val="center"/>
              <w:rPr>
                <w:sz w:val="18"/>
                <w:szCs w:val="18"/>
              </w:rPr>
            </w:pPr>
            <w:r>
              <w:rPr>
                <w:sz w:val="18"/>
                <w:szCs w:val="18"/>
              </w:rPr>
              <w:t>79,5</w:t>
            </w:r>
          </w:p>
        </w:tc>
        <w:tc>
          <w:tcPr>
            <w:tcW w:w="282" w:type="pct"/>
            <w:vAlign w:val="bottom"/>
          </w:tcPr>
          <w:p w14:paraId="629D4603" w14:textId="77777777" w:rsidR="005F400D" w:rsidRPr="00E4515F" w:rsidRDefault="005F400D" w:rsidP="008C4FE7">
            <w:pPr>
              <w:spacing w:after="0"/>
              <w:jc w:val="center"/>
              <w:rPr>
                <w:sz w:val="18"/>
                <w:szCs w:val="18"/>
              </w:rPr>
            </w:pPr>
            <w:r>
              <w:rPr>
                <w:sz w:val="18"/>
                <w:szCs w:val="18"/>
              </w:rPr>
              <w:t>80,4</w:t>
            </w:r>
          </w:p>
        </w:tc>
        <w:tc>
          <w:tcPr>
            <w:tcW w:w="282" w:type="pct"/>
            <w:vAlign w:val="bottom"/>
          </w:tcPr>
          <w:p w14:paraId="4693CCE9" w14:textId="77777777" w:rsidR="005F400D" w:rsidRDefault="005F400D" w:rsidP="008C4FE7">
            <w:pPr>
              <w:spacing w:after="0"/>
              <w:jc w:val="center"/>
              <w:rPr>
                <w:sz w:val="18"/>
                <w:szCs w:val="18"/>
              </w:rPr>
            </w:pPr>
            <w:r>
              <w:rPr>
                <w:sz w:val="18"/>
                <w:szCs w:val="18"/>
              </w:rPr>
              <w:t>81,2</w:t>
            </w:r>
          </w:p>
        </w:tc>
        <w:tc>
          <w:tcPr>
            <w:tcW w:w="382" w:type="pct"/>
            <w:vAlign w:val="bottom"/>
          </w:tcPr>
          <w:p w14:paraId="2F28EF19" w14:textId="77777777" w:rsidR="005F400D" w:rsidRDefault="005F400D" w:rsidP="008C4FE7">
            <w:pPr>
              <w:spacing w:after="0"/>
              <w:jc w:val="center"/>
              <w:rPr>
                <w:sz w:val="18"/>
                <w:szCs w:val="18"/>
              </w:rPr>
            </w:pPr>
            <w:r>
              <w:rPr>
                <w:sz w:val="18"/>
                <w:szCs w:val="18"/>
              </w:rPr>
              <w:t>81,6</w:t>
            </w:r>
          </w:p>
        </w:tc>
        <w:tc>
          <w:tcPr>
            <w:tcW w:w="382" w:type="pct"/>
            <w:vAlign w:val="bottom"/>
          </w:tcPr>
          <w:p w14:paraId="50694D80" w14:textId="77777777" w:rsidR="005F400D" w:rsidRPr="00C015D7" w:rsidRDefault="005F400D" w:rsidP="008C4FE7">
            <w:pPr>
              <w:spacing w:after="0"/>
              <w:jc w:val="center"/>
              <w:rPr>
                <w:rFonts w:ascii="Times New Roman" w:hAnsi="Times New Roman"/>
                <w:sz w:val="18"/>
                <w:szCs w:val="18"/>
              </w:rPr>
            </w:pPr>
            <w:r>
              <w:rPr>
                <w:rFonts w:ascii="Times New Roman" w:hAnsi="Times New Roman"/>
                <w:sz w:val="18"/>
                <w:szCs w:val="18"/>
              </w:rPr>
              <w:t>707 900</w:t>
            </w:r>
          </w:p>
        </w:tc>
        <w:tc>
          <w:tcPr>
            <w:tcW w:w="386" w:type="pct"/>
            <w:vAlign w:val="bottom"/>
          </w:tcPr>
          <w:p w14:paraId="72CF02E9" w14:textId="77777777" w:rsidR="005F400D" w:rsidRPr="00C015D7" w:rsidRDefault="005F400D" w:rsidP="008C4FE7">
            <w:pPr>
              <w:spacing w:after="0"/>
              <w:jc w:val="center"/>
              <w:rPr>
                <w:rFonts w:ascii="Times New Roman" w:hAnsi="Times New Roman"/>
                <w:sz w:val="18"/>
                <w:szCs w:val="18"/>
              </w:rPr>
            </w:pPr>
            <w:r>
              <w:rPr>
                <w:rFonts w:ascii="Times New Roman" w:hAnsi="Times New Roman"/>
                <w:sz w:val="18"/>
                <w:szCs w:val="18"/>
              </w:rPr>
              <w:t>577 500</w:t>
            </w:r>
          </w:p>
        </w:tc>
        <w:tc>
          <w:tcPr>
            <w:tcW w:w="384" w:type="pct"/>
            <w:vAlign w:val="bottom"/>
          </w:tcPr>
          <w:p w14:paraId="0AAF9591" w14:textId="77777777" w:rsidR="005F400D" w:rsidRPr="00C015D7" w:rsidRDefault="005F400D" w:rsidP="008C4FE7">
            <w:pPr>
              <w:spacing w:after="0"/>
              <w:jc w:val="center"/>
              <w:rPr>
                <w:rFonts w:ascii="Times New Roman" w:hAnsi="Times New Roman"/>
                <w:sz w:val="18"/>
                <w:szCs w:val="18"/>
              </w:rPr>
            </w:pPr>
            <w:r>
              <w:rPr>
                <w:rFonts w:ascii="Times New Roman" w:hAnsi="Times New Roman"/>
                <w:sz w:val="18"/>
                <w:szCs w:val="18"/>
              </w:rPr>
              <w:t>30</w:t>
            </w:r>
          </w:p>
        </w:tc>
      </w:tr>
      <w:tr w:rsidR="005F400D" w:rsidRPr="00E4515F" w14:paraId="5C0E6100" w14:textId="77777777" w:rsidTr="000243B1">
        <w:trPr>
          <w:trHeight w:val="262"/>
        </w:trPr>
        <w:tc>
          <w:tcPr>
            <w:tcW w:w="916" w:type="pct"/>
            <w:vAlign w:val="bottom"/>
          </w:tcPr>
          <w:p w14:paraId="413EAE6E" w14:textId="77777777" w:rsidR="005F400D" w:rsidRPr="00E4515F" w:rsidRDefault="005F400D" w:rsidP="008C4FE7">
            <w:pPr>
              <w:spacing w:after="100" w:afterAutospacing="1"/>
              <w:rPr>
                <w:snapToGrid w:val="0"/>
                <w:sz w:val="18"/>
                <w:szCs w:val="18"/>
                <w:vertAlign w:val="superscript"/>
              </w:rPr>
            </w:pPr>
            <w:r>
              <w:rPr>
                <w:snapToGrid w:val="0"/>
                <w:sz w:val="18"/>
                <w:szCs w:val="18"/>
              </w:rPr>
              <w:t>Virke-bedrifter i varehandel</w:t>
            </w:r>
            <w:r>
              <w:rPr>
                <w:snapToGrid w:val="0"/>
                <w:sz w:val="18"/>
                <w:szCs w:val="18"/>
                <w:vertAlign w:val="superscript"/>
              </w:rPr>
              <w:t>4,9</w:t>
            </w:r>
            <w:r>
              <w:rPr>
                <w:snapToGrid w:val="0"/>
                <w:sz w:val="18"/>
                <w:szCs w:val="18"/>
              </w:rPr>
              <w:t xml:space="preserve"> </w:t>
            </w:r>
          </w:p>
        </w:tc>
        <w:tc>
          <w:tcPr>
            <w:tcW w:w="281" w:type="pct"/>
            <w:vAlign w:val="bottom"/>
          </w:tcPr>
          <w:p w14:paraId="1CB67C5E" w14:textId="77777777" w:rsidR="005F400D" w:rsidRPr="00E4515F" w:rsidRDefault="005F400D" w:rsidP="008C4FE7">
            <w:pPr>
              <w:spacing w:after="100" w:afterAutospacing="1"/>
              <w:jc w:val="center"/>
              <w:rPr>
                <w:sz w:val="18"/>
                <w:szCs w:val="18"/>
              </w:rPr>
            </w:pPr>
            <w:r>
              <w:rPr>
                <w:sz w:val="18"/>
                <w:szCs w:val="18"/>
              </w:rPr>
              <w:t>87,5</w:t>
            </w:r>
          </w:p>
        </w:tc>
        <w:tc>
          <w:tcPr>
            <w:tcW w:w="282" w:type="pct"/>
            <w:vAlign w:val="bottom"/>
          </w:tcPr>
          <w:p w14:paraId="1FCDE3CA" w14:textId="77777777" w:rsidR="005F400D" w:rsidRPr="00E4515F" w:rsidRDefault="005F400D" w:rsidP="008C4FE7">
            <w:pPr>
              <w:spacing w:after="100" w:afterAutospacing="1"/>
              <w:jc w:val="center"/>
              <w:rPr>
                <w:snapToGrid w:val="0"/>
                <w:sz w:val="18"/>
                <w:szCs w:val="18"/>
              </w:rPr>
            </w:pPr>
            <w:r>
              <w:rPr>
                <w:snapToGrid w:val="0"/>
                <w:sz w:val="18"/>
                <w:szCs w:val="18"/>
              </w:rPr>
              <w:t>87,4</w:t>
            </w:r>
          </w:p>
        </w:tc>
        <w:tc>
          <w:tcPr>
            <w:tcW w:w="282" w:type="pct"/>
            <w:vAlign w:val="bottom"/>
          </w:tcPr>
          <w:p w14:paraId="38A8745B" w14:textId="77777777" w:rsidR="005F400D" w:rsidRPr="00E4515F" w:rsidRDefault="005F400D" w:rsidP="008C4FE7">
            <w:pPr>
              <w:spacing w:after="100" w:afterAutospacing="1"/>
              <w:jc w:val="center"/>
              <w:rPr>
                <w:snapToGrid w:val="0"/>
                <w:sz w:val="18"/>
                <w:szCs w:val="18"/>
              </w:rPr>
            </w:pPr>
            <w:r>
              <w:rPr>
                <w:sz w:val="18"/>
                <w:szCs w:val="18"/>
              </w:rPr>
              <w:t>87,8</w:t>
            </w:r>
          </w:p>
        </w:tc>
        <w:tc>
          <w:tcPr>
            <w:tcW w:w="282" w:type="pct"/>
            <w:vAlign w:val="bottom"/>
          </w:tcPr>
          <w:p w14:paraId="318494D6" w14:textId="77777777" w:rsidR="005F400D" w:rsidRPr="00E4515F" w:rsidRDefault="005F400D" w:rsidP="008C4FE7">
            <w:pPr>
              <w:spacing w:after="100" w:afterAutospacing="1"/>
              <w:jc w:val="center"/>
              <w:rPr>
                <w:sz w:val="18"/>
                <w:szCs w:val="18"/>
              </w:rPr>
            </w:pPr>
            <w:r>
              <w:rPr>
                <w:sz w:val="18"/>
                <w:szCs w:val="18"/>
              </w:rPr>
              <w:t>85,6</w:t>
            </w:r>
            <w:r>
              <w:rPr>
                <w:sz w:val="18"/>
                <w:szCs w:val="18"/>
                <w:vertAlign w:val="superscript"/>
              </w:rPr>
              <w:t>3</w:t>
            </w:r>
          </w:p>
        </w:tc>
        <w:tc>
          <w:tcPr>
            <w:tcW w:w="288" w:type="pct"/>
            <w:vAlign w:val="bottom"/>
          </w:tcPr>
          <w:p w14:paraId="464E9E0C" w14:textId="77777777" w:rsidR="005F400D" w:rsidRPr="00E4515F" w:rsidRDefault="005F400D" w:rsidP="008C4FE7">
            <w:pPr>
              <w:spacing w:after="100" w:afterAutospacing="1"/>
              <w:jc w:val="center"/>
              <w:rPr>
                <w:color w:val="000000"/>
                <w:sz w:val="18"/>
                <w:szCs w:val="18"/>
              </w:rPr>
            </w:pPr>
            <w:r>
              <w:rPr>
                <w:color w:val="000000"/>
                <w:sz w:val="18"/>
                <w:szCs w:val="18"/>
              </w:rPr>
              <w:t>85,3</w:t>
            </w:r>
          </w:p>
        </w:tc>
        <w:tc>
          <w:tcPr>
            <w:tcW w:w="288" w:type="pct"/>
            <w:vAlign w:val="bottom"/>
          </w:tcPr>
          <w:p w14:paraId="51121710" w14:textId="77777777" w:rsidR="005F400D" w:rsidRPr="00E4515F" w:rsidRDefault="005F400D" w:rsidP="008C4FE7">
            <w:pPr>
              <w:spacing w:after="100" w:afterAutospacing="1"/>
              <w:jc w:val="center"/>
              <w:rPr>
                <w:snapToGrid w:val="0"/>
                <w:sz w:val="18"/>
                <w:szCs w:val="18"/>
              </w:rPr>
            </w:pPr>
            <w:r>
              <w:rPr>
                <w:snapToGrid w:val="0"/>
                <w:sz w:val="18"/>
                <w:szCs w:val="18"/>
              </w:rPr>
              <w:t>85,9</w:t>
            </w:r>
          </w:p>
        </w:tc>
        <w:tc>
          <w:tcPr>
            <w:tcW w:w="282" w:type="pct"/>
            <w:vAlign w:val="bottom"/>
          </w:tcPr>
          <w:p w14:paraId="3E0B9F73" w14:textId="77777777" w:rsidR="005F400D" w:rsidRPr="00E4515F" w:rsidRDefault="005F400D" w:rsidP="008C4FE7">
            <w:pPr>
              <w:spacing w:after="100" w:afterAutospacing="1"/>
              <w:jc w:val="center"/>
              <w:rPr>
                <w:snapToGrid w:val="0"/>
                <w:sz w:val="18"/>
                <w:szCs w:val="18"/>
              </w:rPr>
            </w:pPr>
            <w:r>
              <w:rPr>
                <w:snapToGrid w:val="0"/>
                <w:sz w:val="18"/>
                <w:szCs w:val="18"/>
              </w:rPr>
              <w:t>84,9</w:t>
            </w:r>
          </w:p>
        </w:tc>
        <w:tc>
          <w:tcPr>
            <w:tcW w:w="282" w:type="pct"/>
            <w:vAlign w:val="bottom"/>
          </w:tcPr>
          <w:p w14:paraId="5EF0C210" w14:textId="77777777" w:rsidR="005F400D" w:rsidRPr="00E4515F" w:rsidRDefault="005F400D" w:rsidP="008C4FE7">
            <w:pPr>
              <w:spacing w:after="100" w:afterAutospacing="1"/>
              <w:jc w:val="center"/>
              <w:rPr>
                <w:snapToGrid w:val="0"/>
                <w:sz w:val="18"/>
                <w:szCs w:val="18"/>
              </w:rPr>
            </w:pPr>
            <w:r>
              <w:rPr>
                <w:snapToGrid w:val="0"/>
                <w:sz w:val="18"/>
                <w:szCs w:val="18"/>
              </w:rPr>
              <w:t>84,0</w:t>
            </w:r>
          </w:p>
        </w:tc>
        <w:tc>
          <w:tcPr>
            <w:tcW w:w="282" w:type="pct"/>
            <w:vAlign w:val="bottom"/>
          </w:tcPr>
          <w:p w14:paraId="5551BDFF" w14:textId="77777777" w:rsidR="005F400D" w:rsidRDefault="005F400D" w:rsidP="008C4FE7">
            <w:pPr>
              <w:spacing w:after="100" w:afterAutospacing="1"/>
              <w:jc w:val="center"/>
              <w:rPr>
                <w:snapToGrid w:val="0"/>
                <w:sz w:val="18"/>
                <w:szCs w:val="18"/>
              </w:rPr>
            </w:pPr>
            <w:r>
              <w:rPr>
                <w:snapToGrid w:val="0"/>
                <w:sz w:val="18"/>
                <w:szCs w:val="18"/>
              </w:rPr>
              <w:t>83,7</w:t>
            </w:r>
          </w:p>
        </w:tc>
        <w:tc>
          <w:tcPr>
            <w:tcW w:w="382" w:type="pct"/>
            <w:vAlign w:val="bottom"/>
          </w:tcPr>
          <w:p w14:paraId="3BF2C5D7" w14:textId="77777777" w:rsidR="005F400D" w:rsidRDefault="005F400D" w:rsidP="008C4FE7">
            <w:pPr>
              <w:spacing w:after="100" w:afterAutospacing="1"/>
              <w:jc w:val="center"/>
              <w:rPr>
                <w:snapToGrid w:val="0"/>
                <w:sz w:val="18"/>
                <w:szCs w:val="18"/>
              </w:rPr>
            </w:pPr>
            <w:r>
              <w:rPr>
                <w:snapToGrid w:val="0"/>
                <w:sz w:val="18"/>
                <w:szCs w:val="18"/>
              </w:rPr>
              <w:t>83,7</w:t>
            </w:r>
          </w:p>
        </w:tc>
        <w:tc>
          <w:tcPr>
            <w:tcW w:w="382" w:type="pct"/>
            <w:vAlign w:val="bottom"/>
          </w:tcPr>
          <w:p w14:paraId="6B9C99A7" w14:textId="77777777" w:rsidR="005F400D" w:rsidRPr="00C015D7" w:rsidRDefault="005F400D" w:rsidP="008C4FE7">
            <w:pPr>
              <w:spacing w:after="100" w:afterAutospacing="1"/>
              <w:jc w:val="center"/>
              <w:rPr>
                <w:rFonts w:ascii="Times New Roman" w:hAnsi="Times New Roman"/>
                <w:sz w:val="18"/>
                <w:szCs w:val="18"/>
              </w:rPr>
            </w:pPr>
            <w:r>
              <w:rPr>
                <w:rFonts w:ascii="Times New Roman" w:hAnsi="Times New Roman"/>
                <w:sz w:val="18"/>
                <w:szCs w:val="18"/>
              </w:rPr>
              <w:t>492 700</w:t>
            </w:r>
          </w:p>
        </w:tc>
        <w:tc>
          <w:tcPr>
            <w:tcW w:w="386" w:type="pct"/>
            <w:vAlign w:val="bottom"/>
          </w:tcPr>
          <w:p w14:paraId="71BF7F9F" w14:textId="77777777" w:rsidR="005F400D" w:rsidRPr="00C015D7" w:rsidRDefault="005F400D" w:rsidP="008C4FE7">
            <w:pPr>
              <w:spacing w:after="100" w:afterAutospacing="1"/>
              <w:jc w:val="center"/>
              <w:rPr>
                <w:rFonts w:ascii="Times New Roman" w:hAnsi="Times New Roman"/>
                <w:sz w:val="18"/>
                <w:szCs w:val="18"/>
              </w:rPr>
            </w:pPr>
            <w:r>
              <w:rPr>
                <w:rFonts w:ascii="Times New Roman" w:hAnsi="Times New Roman"/>
                <w:sz w:val="18"/>
                <w:szCs w:val="18"/>
              </w:rPr>
              <w:t>412 400</w:t>
            </w:r>
          </w:p>
        </w:tc>
        <w:tc>
          <w:tcPr>
            <w:tcW w:w="384" w:type="pct"/>
            <w:vAlign w:val="bottom"/>
          </w:tcPr>
          <w:p w14:paraId="5A8FDC97" w14:textId="77777777" w:rsidR="005F400D" w:rsidRPr="00C015D7" w:rsidRDefault="005F400D" w:rsidP="008C4FE7">
            <w:pPr>
              <w:spacing w:after="100" w:afterAutospacing="1"/>
              <w:jc w:val="center"/>
              <w:rPr>
                <w:rFonts w:ascii="Times New Roman" w:hAnsi="Times New Roman"/>
                <w:snapToGrid w:val="0"/>
                <w:sz w:val="18"/>
                <w:szCs w:val="18"/>
              </w:rPr>
            </w:pPr>
            <w:r>
              <w:rPr>
                <w:rFonts w:ascii="Times New Roman" w:hAnsi="Times New Roman"/>
                <w:snapToGrid w:val="0"/>
                <w:sz w:val="18"/>
                <w:szCs w:val="18"/>
              </w:rPr>
              <w:t>44</w:t>
            </w:r>
          </w:p>
        </w:tc>
      </w:tr>
      <w:tr w:rsidR="005F400D" w:rsidRPr="00E4515F" w14:paraId="06B2A4C3" w14:textId="77777777" w:rsidTr="000243B1">
        <w:trPr>
          <w:trHeight w:val="262"/>
        </w:trPr>
        <w:tc>
          <w:tcPr>
            <w:tcW w:w="916" w:type="pct"/>
            <w:vAlign w:val="bottom"/>
          </w:tcPr>
          <w:p w14:paraId="2EAC162B" w14:textId="77777777" w:rsidR="005F400D" w:rsidRPr="00E4515F" w:rsidRDefault="005F400D" w:rsidP="008C4FE7">
            <w:pPr>
              <w:spacing w:after="0"/>
              <w:rPr>
                <w:snapToGrid w:val="0"/>
                <w:sz w:val="18"/>
                <w:szCs w:val="18"/>
                <w:vertAlign w:val="superscript"/>
              </w:rPr>
            </w:pPr>
            <w:r>
              <w:rPr>
                <w:snapToGrid w:val="0"/>
                <w:sz w:val="18"/>
                <w:szCs w:val="18"/>
              </w:rPr>
              <w:t>Ansatte i hotell og restaurant i NHO-bedrifter</w:t>
            </w:r>
          </w:p>
        </w:tc>
        <w:tc>
          <w:tcPr>
            <w:tcW w:w="281" w:type="pct"/>
            <w:vAlign w:val="bottom"/>
          </w:tcPr>
          <w:p w14:paraId="1ADB28F2" w14:textId="77777777" w:rsidR="005F400D" w:rsidRPr="00E4515F" w:rsidRDefault="005F400D" w:rsidP="008C4FE7">
            <w:pPr>
              <w:spacing w:after="0"/>
              <w:jc w:val="center"/>
              <w:rPr>
                <w:snapToGrid w:val="0"/>
                <w:sz w:val="18"/>
                <w:szCs w:val="18"/>
              </w:rPr>
            </w:pPr>
            <w:r>
              <w:rPr>
                <w:snapToGrid w:val="0"/>
                <w:sz w:val="18"/>
                <w:szCs w:val="18"/>
              </w:rPr>
              <w:t>94,6</w:t>
            </w:r>
          </w:p>
        </w:tc>
        <w:tc>
          <w:tcPr>
            <w:tcW w:w="282" w:type="pct"/>
            <w:vAlign w:val="bottom"/>
          </w:tcPr>
          <w:p w14:paraId="64BE7DAA" w14:textId="77777777" w:rsidR="005F400D" w:rsidRPr="00E4515F" w:rsidRDefault="005F400D" w:rsidP="008C4FE7">
            <w:pPr>
              <w:spacing w:after="0"/>
              <w:jc w:val="center"/>
              <w:rPr>
                <w:snapToGrid w:val="0"/>
                <w:sz w:val="18"/>
                <w:szCs w:val="18"/>
              </w:rPr>
            </w:pPr>
            <w:r>
              <w:rPr>
                <w:snapToGrid w:val="0"/>
                <w:sz w:val="18"/>
                <w:szCs w:val="18"/>
              </w:rPr>
              <w:t>94,3</w:t>
            </w:r>
          </w:p>
        </w:tc>
        <w:tc>
          <w:tcPr>
            <w:tcW w:w="282" w:type="pct"/>
            <w:vAlign w:val="bottom"/>
          </w:tcPr>
          <w:p w14:paraId="7AE7D3F9" w14:textId="77777777" w:rsidR="005F400D" w:rsidRPr="00E4515F" w:rsidRDefault="005F400D" w:rsidP="008C4FE7">
            <w:pPr>
              <w:spacing w:after="0"/>
              <w:jc w:val="center"/>
              <w:rPr>
                <w:snapToGrid w:val="0"/>
                <w:sz w:val="18"/>
                <w:szCs w:val="18"/>
              </w:rPr>
            </w:pPr>
            <w:r>
              <w:rPr>
                <w:snapToGrid w:val="0"/>
                <w:sz w:val="18"/>
                <w:szCs w:val="18"/>
              </w:rPr>
              <w:t>94,8</w:t>
            </w:r>
          </w:p>
        </w:tc>
        <w:tc>
          <w:tcPr>
            <w:tcW w:w="282" w:type="pct"/>
            <w:vAlign w:val="bottom"/>
          </w:tcPr>
          <w:p w14:paraId="2ABBE2E8" w14:textId="77777777" w:rsidR="005F400D" w:rsidRPr="00E4515F" w:rsidRDefault="005F400D" w:rsidP="008C4FE7">
            <w:pPr>
              <w:spacing w:after="0"/>
              <w:jc w:val="center"/>
              <w:rPr>
                <w:snapToGrid w:val="0"/>
                <w:sz w:val="18"/>
                <w:szCs w:val="18"/>
              </w:rPr>
            </w:pPr>
            <w:r>
              <w:rPr>
                <w:snapToGrid w:val="0"/>
                <w:sz w:val="18"/>
                <w:szCs w:val="18"/>
              </w:rPr>
              <w:t>94,4</w:t>
            </w:r>
          </w:p>
        </w:tc>
        <w:tc>
          <w:tcPr>
            <w:tcW w:w="288" w:type="pct"/>
            <w:vAlign w:val="bottom"/>
          </w:tcPr>
          <w:p w14:paraId="04FCA40B" w14:textId="77777777" w:rsidR="005F400D" w:rsidRPr="00E4515F" w:rsidRDefault="005F400D" w:rsidP="008C4FE7">
            <w:pPr>
              <w:spacing w:after="0"/>
              <w:jc w:val="center"/>
              <w:rPr>
                <w:snapToGrid w:val="0"/>
                <w:sz w:val="18"/>
                <w:szCs w:val="18"/>
              </w:rPr>
            </w:pPr>
            <w:r>
              <w:rPr>
                <w:snapToGrid w:val="0"/>
                <w:sz w:val="18"/>
                <w:szCs w:val="18"/>
              </w:rPr>
              <w:t>94,1</w:t>
            </w:r>
            <w:r>
              <w:rPr>
                <w:snapToGrid w:val="0"/>
                <w:sz w:val="18"/>
                <w:szCs w:val="18"/>
                <w:vertAlign w:val="superscript"/>
              </w:rPr>
              <w:t>3</w:t>
            </w:r>
          </w:p>
        </w:tc>
        <w:tc>
          <w:tcPr>
            <w:tcW w:w="288" w:type="pct"/>
            <w:vAlign w:val="bottom"/>
          </w:tcPr>
          <w:p w14:paraId="6B2DF197" w14:textId="77777777" w:rsidR="005F400D" w:rsidRPr="00E4515F" w:rsidRDefault="005F400D" w:rsidP="008C4FE7">
            <w:pPr>
              <w:spacing w:after="0"/>
              <w:jc w:val="center"/>
              <w:rPr>
                <w:snapToGrid w:val="0"/>
                <w:sz w:val="18"/>
                <w:szCs w:val="18"/>
              </w:rPr>
            </w:pPr>
            <w:r>
              <w:rPr>
                <w:snapToGrid w:val="0"/>
                <w:sz w:val="18"/>
                <w:szCs w:val="18"/>
              </w:rPr>
              <w:t>94,4</w:t>
            </w:r>
          </w:p>
        </w:tc>
        <w:tc>
          <w:tcPr>
            <w:tcW w:w="282" w:type="pct"/>
            <w:vAlign w:val="bottom"/>
          </w:tcPr>
          <w:p w14:paraId="5C9A2584" w14:textId="77777777" w:rsidR="005F400D" w:rsidRPr="00E4515F" w:rsidRDefault="005F400D" w:rsidP="008C4FE7">
            <w:pPr>
              <w:spacing w:after="0"/>
              <w:jc w:val="center"/>
              <w:rPr>
                <w:snapToGrid w:val="0"/>
                <w:sz w:val="18"/>
                <w:szCs w:val="18"/>
              </w:rPr>
            </w:pPr>
            <w:r>
              <w:rPr>
                <w:snapToGrid w:val="0"/>
                <w:sz w:val="18"/>
                <w:szCs w:val="18"/>
              </w:rPr>
              <w:t>94,6</w:t>
            </w:r>
          </w:p>
        </w:tc>
        <w:tc>
          <w:tcPr>
            <w:tcW w:w="282" w:type="pct"/>
            <w:vAlign w:val="bottom"/>
          </w:tcPr>
          <w:p w14:paraId="209E15F1" w14:textId="77777777" w:rsidR="005F400D" w:rsidRPr="00E4515F" w:rsidRDefault="005F400D" w:rsidP="008C4FE7">
            <w:pPr>
              <w:spacing w:after="0"/>
              <w:jc w:val="center"/>
              <w:rPr>
                <w:snapToGrid w:val="0"/>
                <w:sz w:val="18"/>
                <w:szCs w:val="18"/>
              </w:rPr>
            </w:pPr>
            <w:r>
              <w:rPr>
                <w:snapToGrid w:val="0"/>
                <w:sz w:val="18"/>
                <w:szCs w:val="18"/>
              </w:rPr>
              <w:t>95,6</w:t>
            </w:r>
          </w:p>
        </w:tc>
        <w:tc>
          <w:tcPr>
            <w:tcW w:w="282" w:type="pct"/>
            <w:vAlign w:val="bottom"/>
          </w:tcPr>
          <w:p w14:paraId="6BBC81FC" w14:textId="77777777" w:rsidR="005F400D" w:rsidRDefault="005F400D" w:rsidP="008C4FE7">
            <w:pPr>
              <w:spacing w:after="0"/>
              <w:jc w:val="center"/>
              <w:rPr>
                <w:snapToGrid w:val="0"/>
                <w:sz w:val="18"/>
                <w:szCs w:val="18"/>
              </w:rPr>
            </w:pPr>
            <w:r>
              <w:rPr>
                <w:snapToGrid w:val="0"/>
                <w:sz w:val="18"/>
                <w:szCs w:val="18"/>
              </w:rPr>
              <w:t>95,7</w:t>
            </w:r>
          </w:p>
        </w:tc>
        <w:tc>
          <w:tcPr>
            <w:tcW w:w="382" w:type="pct"/>
            <w:vAlign w:val="bottom"/>
          </w:tcPr>
          <w:p w14:paraId="39D38CAB" w14:textId="77777777" w:rsidR="005F400D" w:rsidRDefault="005F400D" w:rsidP="008C4FE7">
            <w:pPr>
              <w:spacing w:after="0"/>
              <w:jc w:val="center"/>
              <w:rPr>
                <w:snapToGrid w:val="0"/>
                <w:sz w:val="18"/>
                <w:szCs w:val="18"/>
              </w:rPr>
            </w:pPr>
            <w:r>
              <w:rPr>
                <w:snapToGrid w:val="0"/>
                <w:sz w:val="18"/>
                <w:szCs w:val="18"/>
              </w:rPr>
              <w:t>95,7</w:t>
            </w:r>
          </w:p>
        </w:tc>
        <w:tc>
          <w:tcPr>
            <w:tcW w:w="382" w:type="pct"/>
            <w:vAlign w:val="bottom"/>
          </w:tcPr>
          <w:p w14:paraId="03C85A29"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345 200</w:t>
            </w:r>
          </w:p>
        </w:tc>
        <w:tc>
          <w:tcPr>
            <w:tcW w:w="386" w:type="pct"/>
            <w:vAlign w:val="bottom"/>
          </w:tcPr>
          <w:p w14:paraId="383788CC"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330 300</w:t>
            </w:r>
          </w:p>
        </w:tc>
        <w:tc>
          <w:tcPr>
            <w:tcW w:w="384" w:type="pct"/>
            <w:vAlign w:val="bottom"/>
          </w:tcPr>
          <w:p w14:paraId="4587D2E6"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58</w:t>
            </w:r>
          </w:p>
        </w:tc>
      </w:tr>
      <w:tr w:rsidR="005F400D" w:rsidRPr="00E4515F" w14:paraId="0780B4C4" w14:textId="77777777" w:rsidTr="000243B1">
        <w:trPr>
          <w:trHeight w:val="128"/>
        </w:trPr>
        <w:tc>
          <w:tcPr>
            <w:tcW w:w="916" w:type="pct"/>
            <w:vAlign w:val="bottom"/>
          </w:tcPr>
          <w:p w14:paraId="0E679333" w14:textId="77777777" w:rsidR="005F400D" w:rsidRPr="00E4515F" w:rsidRDefault="005F400D" w:rsidP="008C4FE7">
            <w:pPr>
              <w:spacing w:after="0"/>
              <w:rPr>
                <w:snapToGrid w:val="0"/>
                <w:sz w:val="18"/>
                <w:szCs w:val="18"/>
                <w:vertAlign w:val="superscript"/>
              </w:rPr>
            </w:pPr>
            <w:r>
              <w:rPr>
                <w:snapToGrid w:val="0"/>
                <w:sz w:val="18"/>
                <w:szCs w:val="18"/>
              </w:rPr>
              <w:t>Finanstjenester</w:t>
            </w:r>
            <w:r>
              <w:rPr>
                <w:snapToGrid w:val="0"/>
                <w:sz w:val="18"/>
                <w:szCs w:val="18"/>
                <w:vertAlign w:val="superscript"/>
              </w:rPr>
              <w:t>4,5</w:t>
            </w:r>
          </w:p>
        </w:tc>
        <w:tc>
          <w:tcPr>
            <w:tcW w:w="281" w:type="pct"/>
            <w:vAlign w:val="bottom"/>
          </w:tcPr>
          <w:p w14:paraId="3686D482" w14:textId="77777777" w:rsidR="005F400D" w:rsidRPr="00E4515F" w:rsidRDefault="005F400D" w:rsidP="008C4FE7">
            <w:pPr>
              <w:spacing w:after="0"/>
              <w:jc w:val="center"/>
              <w:rPr>
                <w:sz w:val="18"/>
                <w:szCs w:val="18"/>
              </w:rPr>
            </w:pPr>
            <w:r>
              <w:rPr>
                <w:sz w:val="18"/>
                <w:szCs w:val="18"/>
              </w:rPr>
              <w:t>75,2</w:t>
            </w:r>
          </w:p>
        </w:tc>
        <w:tc>
          <w:tcPr>
            <w:tcW w:w="282" w:type="pct"/>
            <w:vAlign w:val="bottom"/>
          </w:tcPr>
          <w:p w14:paraId="6D9355EB" w14:textId="77777777" w:rsidR="005F400D" w:rsidRPr="00E4515F" w:rsidRDefault="005F400D" w:rsidP="008C4FE7">
            <w:pPr>
              <w:spacing w:after="0"/>
              <w:jc w:val="center"/>
              <w:rPr>
                <w:snapToGrid w:val="0"/>
                <w:sz w:val="18"/>
                <w:szCs w:val="18"/>
              </w:rPr>
            </w:pPr>
            <w:r>
              <w:rPr>
                <w:snapToGrid w:val="0"/>
                <w:sz w:val="18"/>
                <w:szCs w:val="18"/>
              </w:rPr>
              <w:t>74,1</w:t>
            </w:r>
          </w:p>
        </w:tc>
        <w:tc>
          <w:tcPr>
            <w:tcW w:w="282" w:type="pct"/>
            <w:vAlign w:val="bottom"/>
          </w:tcPr>
          <w:p w14:paraId="4853F847" w14:textId="77777777" w:rsidR="005F400D" w:rsidRPr="00E4515F" w:rsidRDefault="005F400D" w:rsidP="008C4FE7">
            <w:pPr>
              <w:spacing w:after="0"/>
              <w:jc w:val="center"/>
              <w:rPr>
                <w:snapToGrid w:val="0"/>
                <w:sz w:val="18"/>
                <w:szCs w:val="18"/>
              </w:rPr>
            </w:pPr>
            <w:r>
              <w:rPr>
                <w:sz w:val="18"/>
                <w:szCs w:val="18"/>
              </w:rPr>
              <w:t>74,1</w:t>
            </w:r>
          </w:p>
        </w:tc>
        <w:tc>
          <w:tcPr>
            <w:tcW w:w="282" w:type="pct"/>
            <w:vAlign w:val="bottom"/>
          </w:tcPr>
          <w:p w14:paraId="5868A8D0" w14:textId="77777777" w:rsidR="005F400D" w:rsidRPr="00E4515F" w:rsidRDefault="005F400D" w:rsidP="008C4FE7">
            <w:pPr>
              <w:spacing w:after="0"/>
              <w:jc w:val="center"/>
              <w:rPr>
                <w:sz w:val="18"/>
                <w:szCs w:val="18"/>
              </w:rPr>
            </w:pPr>
            <w:r>
              <w:rPr>
                <w:sz w:val="18"/>
                <w:szCs w:val="18"/>
              </w:rPr>
              <w:t>72,1</w:t>
            </w:r>
            <w:r>
              <w:rPr>
                <w:snapToGrid w:val="0"/>
                <w:sz w:val="18"/>
                <w:szCs w:val="18"/>
                <w:vertAlign w:val="superscript"/>
              </w:rPr>
              <w:t>3</w:t>
            </w:r>
          </w:p>
        </w:tc>
        <w:tc>
          <w:tcPr>
            <w:tcW w:w="288" w:type="pct"/>
            <w:vAlign w:val="bottom"/>
          </w:tcPr>
          <w:p w14:paraId="4221186B" w14:textId="77777777" w:rsidR="005F400D" w:rsidRPr="00E4515F" w:rsidRDefault="005F400D" w:rsidP="008C4FE7">
            <w:pPr>
              <w:spacing w:after="0"/>
              <w:jc w:val="center"/>
              <w:rPr>
                <w:sz w:val="18"/>
                <w:szCs w:val="18"/>
              </w:rPr>
            </w:pPr>
            <w:r>
              <w:rPr>
                <w:sz w:val="18"/>
                <w:szCs w:val="18"/>
              </w:rPr>
              <w:t>73,1</w:t>
            </w:r>
          </w:p>
        </w:tc>
        <w:tc>
          <w:tcPr>
            <w:tcW w:w="288" w:type="pct"/>
            <w:vAlign w:val="bottom"/>
          </w:tcPr>
          <w:p w14:paraId="0AB28715" w14:textId="77777777" w:rsidR="005F400D" w:rsidRPr="00E4515F" w:rsidRDefault="005F400D" w:rsidP="008C4FE7">
            <w:pPr>
              <w:spacing w:after="0"/>
              <w:jc w:val="center"/>
              <w:rPr>
                <w:snapToGrid w:val="0"/>
                <w:sz w:val="18"/>
                <w:szCs w:val="18"/>
              </w:rPr>
            </w:pPr>
            <w:r>
              <w:rPr>
                <w:snapToGrid w:val="0"/>
                <w:sz w:val="18"/>
                <w:szCs w:val="18"/>
              </w:rPr>
              <w:t>73,4</w:t>
            </w:r>
          </w:p>
        </w:tc>
        <w:tc>
          <w:tcPr>
            <w:tcW w:w="282" w:type="pct"/>
            <w:vAlign w:val="bottom"/>
          </w:tcPr>
          <w:p w14:paraId="7DF4EBAB" w14:textId="77777777" w:rsidR="005F400D" w:rsidRPr="00E4515F" w:rsidRDefault="005F400D" w:rsidP="008C4FE7">
            <w:pPr>
              <w:spacing w:after="0"/>
              <w:jc w:val="center"/>
              <w:rPr>
                <w:snapToGrid w:val="0"/>
                <w:sz w:val="18"/>
                <w:szCs w:val="18"/>
              </w:rPr>
            </w:pPr>
            <w:r>
              <w:rPr>
                <w:snapToGrid w:val="0"/>
                <w:sz w:val="18"/>
                <w:szCs w:val="18"/>
              </w:rPr>
              <w:t>73,4</w:t>
            </w:r>
          </w:p>
        </w:tc>
        <w:tc>
          <w:tcPr>
            <w:tcW w:w="282" w:type="pct"/>
            <w:vAlign w:val="bottom"/>
          </w:tcPr>
          <w:p w14:paraId="3802046B" w14:textId="77777777" w:rsidR="005F400D" w:rsidRPr="00E4515F" w:rsidRDefault="005F400D" w:rsidP="008C4FE7">
            <w:pPr>
              <w:spacing w:after="0"/>
              <w:jc w:val="center"/>
              <w:rPr>
                <w:snapToGrid w:val="0"/>
                <w:sz w:val="18"/>
                <w:szCs w:val="18"/>
              </w:rPr>
            </w:pPr>
            <w:r>
              <w:rPr>
                <w:snapToGrid w:val="0"/>
                <w:sz w:val="18"/>
                <w:szCs w:val="18"/>
              </w:rPr>
              <w:t>74,1</w:t>
            </w:r>
          </w:p>
        </w:tc>
        <w:tc>
          <w:tcPr>
            <w:tcW w:w="282" w:type="pct"/>
            <w:vAlign w:val="bottom"/>
          </w:tcPr>
          <w:p w14:paraId="40705C1B" w14:textId="77777777" w:rsidR="005F400D" w:rsidRDefault="005F400D" w:rsidP="008C4FE7">
            <w:pPr>
              <w:spacing w:after="0"/>
              <w:jc w:val="center"/>
              <w:rPr>
                <w:snapToGrid w:val="0"/>
                <w:sz w:val="18"/>
                <w:szCs w:val="18"/>
              </w:rPr>
            </w:pPr>
            <w:r>
              <w:rPr>
                <w:snapToGrid w:val="0"/>
                <w:sz w:val="18"/>
                <w:szCs w:val="18"/>
              </w:rPr>
              <w:t>73,8</w:t>
            </w:r>
          </w:p>
        </w:tc>
        <w:tc>
          <w:tcPr>
            <w:tcW w:w="382" w:type="pct"/>
            <w:vAlign w:val="bottom"/>
          </w:tcPr>
          <w:p w14:paraId="318A4C7B" w14:textId="77777777" w:rsidR="005F400D" w:rsidRDefault="005F400D" w:rsidP="008C4FE7">
            <w:pPr>
              <w:spacing w:after="0"/>
              <w:jc w:val="center"/>
              <w:rPr>
                <w:snapToGrid w:val="0"/>
                <w:sz w:val="18"/>
                <w:szCs w:val="18"/>
              </w:rPr>
            </w:pPr>
            <w:r>
              <w:rPr>
                <w:snapToGrid w:val="0"/>
                <w:sz w:val="18"/>
                <w:szCs w:val="18"/>
              </w:rPr>
              <w:t>74,2</w:t>
            </w:r>
          </w:p>
        </w:tc>
        <w:tc>
          <w:tcPr>
            <w:tcW w:w="382" w:type="pct"/>
            <w:vAlign w:val="bottom"/>
          </w:tcPr>
          <w:p w14:paraId="21A4C7E7" w14:textId="77777777" w:rsidR="005F400D" w:rsidRPr="00C015D7" w:rsidRDefault="005F400D" w:rsidP="008C4FE7">
            <w:pPr>
              <w:autoSpaceDE w:val="0"/>
              <w:autoSpaceDN w:val="0"/>
              <w:adjustRightInd w:val="0"/>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755 400</w:t>
            </w:r>
          </w:p>
        </w:tc>
        <w:tc>
          <w:tcPr>
            <w:tcW w:w="386" w:type="pct"/>
            <w:vAlign w:val="bottom"/>
          </w:tcPr>
          <w:p w14:paraId="4995ABC1" w14:textId="77777777" w:rsidR="005F400D" w:rsidRPr="00C015D7" w:rsidRDefault="005F400D" w:rsidP="008C4FE7">
            <w:pPr>
              <w:autoSpaceDE w:val="0"/>
              <w:autoSpaceDN w:val="0"/>
              <w:adjustRightInd w:val="0"/>
              <w:spacing w:after="0"/>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560 400</w:t>
            </w:r>
          </w:p>
        </w:tc>
        <w:tc>
          <w:tcPr>
            <w:tcW w:w="384" w:type="pct"/>
            <w:vAlign w:val="bottom"/>
          </w:tcPr>
          <w:p w14:paraId="0DEAE5DB"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49</w:t>
            </w:r>
          </w:p>
        </w:tc>
      </w:tr>
      <w:tr w:rsidR="005F400D" w:rsidRPr="00E4515F" w14:paraId="3E617FAA" w14:textId="77777777" w:rsidTr="000243B1">
        <w:trPr>
          <w:trHeight w:val="201"/>
        </w:trPr>
        <w:tc>
          <w:tcPr>
            <w:tcW w:w="916" w:type="pct"/>
            <w:vAlign w:val="bottom"/>
          </w:tcPr>
          <w:p w14:paraId="6FA36B23" w14:textId="77777777" w:rsidR="005F400D" w:rsidRPr="00E4515F" w:rsidRDefault="005F400D" w:rsidP="008C4FE7">
            <w:pPr>
              <w:spacing w:after="0"/>
              <w:rPr>
                <w:snapToGrid w:val="0"/>
                <w:sz w:val="18"/>
                <w:szCs w:val="18"/>
                <w:vertAlign w:val="superscript"/>
              </w:rPr>
            </w:pPr>
            <w:r>
              <w:rPr>
                <w:snapToGrid w:val="0"/>
                <w:sz w:val="18"/>
                <w:szCs w:val="18"/>
              </w:rPr>
              <w:t>Statsansatte</w:t>
            </w:r>
            <w:r>
              <w:rPr>
                <w:snapToGrid w:val="0"/>
                <w:sz w:val="18"/>
                <w:szCs w:val="18"/>
                <w:vertAlign w:val="superscript"/>
              </w:rPr>
              <w:t>4,7,10</w:t>
            </w:r>
          </w:p>
        </w:tc>
        <w:tc>
          <w:tcPr>
            <w:tcW w:w="281" w:type="pct"/>
            <w:vAlign w:val="bottom"/>
          </w:tcPr>
          <w:p w14:paraId="6B5216CC" w14:textId="77777777" w:rsidR="005F400D" w:rsidRPr="00E4515F" w:rsidRDefault="005F400D" w:rsidP="008C4FE7">
            <w:pPr>
              <w:spacing w:after="0"/>
              <w:jc w:val="center"/>
              <w:rPr>
                <w:snapToGrid w:val="0"/>
                <w:sz w:val="18"/>
                <w:szCs w:val="18"/>
              </w:rPr>
            </w:pPr>
            <w:r>
              <w:rPr>
                <w:snapToGrid w:val="0"/>
                <w:sz w:val="18"/>
                <w:szCs w:val="18"/>
              </w:rPr>
              <w:t>89,9</w:t>
            </w:r>
          </w:p>
        </w:tc>
        <w:tc>
          <w:tcPr>
            <w:tcW w:w="282" w:type="pct"/>
            <w:vAlign w:val="bottom"/>
          </w:tcPr>
          <w:p w14:paraId="47417E54" w14:textId="77777777" w:rsidR="005F400D" w:rsidRPr="00E4515F" w:rsidRDefault="005F400D" w:rsidP="008C4FE7">
            <w:pPr>
              <w:spacing w:after="0"/>
              <w:jc w:val="center"/>
              <w:rPr>
                <w:snapToGrid w:val="0"/>
                <w:sz w:val="18"/>
                <w:szCs w:val="18"/>
              </w:rPr>
            </w:pPr>
            <w:r>
              <w:rPr>
                <w:snapToGrid w:val="0"/>
                <w:sz w:val="18"/>
                <w:szCs w:val="18"/>
              </w:rPr>
              <w:t>90,9</w:t>
            </w:r>
          </w:p>
        </w:tc>
        <w:tc>
          <w:tcPr>
            <w:tcW w:w="282" w:type="pct"/>
            <w:vAlign w:val="bottom"/>
          </w:tcPr>
          <w:p w14:paraId="36983DD9" w14:textId="77777777" w:rsidR="005F400D" w:rsidRPr="00E4515F" w:rsidRDefault="005F400D" w:rsidP="008C4FE7">
            <w:pPr>
              <w:spacing w:after="0"/>
              <w:jc w:val="center"/>
              <w:rPr>
                <w:snapToGrid w:val="0"/>
                <w:sz w:val="18"/>
                <w:szCs w:val="18"/>
              </w:rPr>
            </w:pPr>
            <w:r>
              <w:rPr>
                <w:snapToGrid w:val="0"/>
                <w:sz w:val="18"/>
                <w:szCs w:val="18"/>
              </w:rPr>
              <w:t>91,4</w:t>
            </w:r>
          </w:p>
        </w:tc>
        <w:tc>
          <w:tcPr>
            <w:tcW w:w="282" w:type="pct"/>
            <w:vAlign w:val="bottom"/>
          </w:tcPr>
          <w:p w14:paraId="098985CD" w14:textId="77777777" w:rsidR="005F400D" w:rsidRPr="00E4515F" w:rsidRDefault="005F400D" w:rsidP="008C4FE7">
            <w:pPr>
              <w:spacing w:after="0"/>
              <w:jc w:val="center"/>
              <w:rPr>
                <w:snapToGrid w:val="0"/>
                <w:sz w:val="18"/>
                <w:szCs w:val="18"/>
              </w:rPr>
            </w:pPr>
            <w:r>
              <w:rPr>
                <w:snapToGrid w:val="0"/>
                <w:sz w:val="18"/>
                <w:szCs w:val="18"/>
              </w:rPr>
              <w:t>91,5</w:t>
            </w:r>
          </w:p>
        </w:tc>
        <w:tc>
          <w:tcPr>
            <w:tcW w:w="288" w:type="pct"/>
            <w:vAlign w:val="bottom"/>
          </w:tcPr>
          <w:p w14:paraId="7BDEC663" w14:textId="77777777" w:rsidR="005F400D" w:rsidRPr="00E4515F" w:rsidRDefault="005F400D" w:rsidP="008C4FE7">
            <w:pPr>
              <w:spacing w:after="0"/>
              <w:jc w:val="center"/>
              <w:rPr>
                <w:snapToGrid w:val="0"/>
                <w:sz w:val="18"/>
                <w:szCs w:val="18"/>
              </w:rPr>
            </w:pPr>
            <w:r>
              <w:rPr>
                <w:snapToGrid w:val="0"/>
                <w:sz w:val="18"/>
                <w:szCs w:val="18"/>
              </w:rPr>
              <w:t>90,9</w:t>
            </w:r>
          </w:p>
        </w:tc>
        <w:tc>
          <w:tcPr>
            <w:tcW w:w="288" w:type="pct"/>
            <w:vAlign w:val="bottom"/>
          </w:tcPr>
          <w:p w14:paraId="2C6DB7A8" w14:textId="77777777" w:rsidR="005F400D" w:rsidRPr="00E4515F" w:rsidRDefault="005F400D" w:rsidP="008C4FE7">
            <w:pPr>
              <w:spacing w:after="0"/>
              <w:jc w:val="center"/>
              <w:rPr>
                <w:snapToGrid w:val="0"/>
                <w:sz w:val="18"/>
                <w:szCs w:val="18"/>
              </w:rPr>
            </w:pPr>
            <w:r>
              <w:rPr>
                <w:snapToGrid w:val="0"/>
                <w:sz w:val="18"/>
                <w:szCs w:val="18"/>
              </w:rPr>
              <w:t>91,2</w:t>
            </w:r>
          </w:p>
        </w:tc>
        <w:tc>
          <w:tcPr>
            <w:tcW w:w="282" w:type="pct"/>
            <w:vAlign w:val="bottom"/>
          </w:tcPr>
          <w:p w14:paraId="082B6CE5" w14:textId="77777777" w:rsidR="005F400D" w:rsidRPr="00E4515F" w:rsidRDefault="005F400D" w:rsidP="008C4FE7">
            <w:pPr>
              <w:spacing w:after="0"/>
              <w:jc w:val="center"/>
              <w:rPr>
                <w:snapToGrid w:val="0"/>
                <w:sz w:val="18"/>
                <w:szCs w:val="18"/>
              </w:rPr>
            </w:pPr>
            <w:r>
              <w:rPr>
                <w:snapToGrid w:val="0"/>
                <w:sz w:val="18"/>
                <w:szCs w:val="18"/>
              </w:rPr>
              <w:t>91,7</w:t>
            </w:r>
          </w:p>
        </w:tc>
        <w:tc>
          <w:tcPr>
            <w:tcW w:w="282" w:type="pct"/>
            <w:vAlign w:val="bottom"/>
          </w:tcPr>
          <w:p w14:paraId="04FD3DE6" w14:textId="77777777" w:rsidR="005F400D" w:rsidRPr="00E4515F" w:rsidRDefault="005F400D" w:rsidP="008C4FE7">
            <w:pPr>
              <w:spacing w:after="0"/>
              <w:jc w:val="center"/>
              <w:rPr>
                <w:snapToGrid w:val="0"/>
                <w:sz w:val="18"/>
                <w:szCs w:val="18"/>
              </w:rPr>
            </w:pPr>
            <w:r>
              <w:rPr>
                <w:snapToGrid w:val="0"/>
                <w:sz w:val="18"/>
                <w:szCs w:val="18"/>
              </w:rPr>
              <w:t>92,3</w:t>
            </w:r>
          </w:p>
        </w:tc>
        <w:tc>
          <w:tcPr>
            <w:tcW w:w="282" w:type="pct"/>
            <w:vAlign w:val="bottom"/>
          </w:tcPr>
          <w:p w14:paraId="023C5695" w14:textId="77777777" w:rsidR="005F400D" w:rsidRDefault="005F400D" w:rsidP="008C4FE7">
            <w:pPr>
              <w:spacing w:after="0"/>
              <w:jc w:val="center"/>
              <w:rPr>
                <w:snapToGrid w:val="0"/>
                <w:sz w:val="18"/>
                <w:szCs w:val="18"/>
              </w:rPr>
            </w:pPr>
            <w:r w:rsidRPr="00356879">
              <w:rPr>
                <w:snapToGrid w:val="0"/>
                <w:sz w:val="18"/>
                <w:szCs w:val="18"/>
              </w:rPr>
              <w:t>92,5</w:t>
            </w:r>
          </w:p>
        </w:tc>
        <w:tc>
          <w:tcPr>
            <w:tcW w:w="382" w:type="pct"/>
            <w:vAlign w:val="bottom"/>
          </w:tcPr>
          <w:p w14:paraId="5FD2442E" w14:textId="77777777" w:rsidR="005F400D" w:rsidRDefault="005F400D" w:rsidP="008C4FE7">
            <w:pPr>
              <w:spacing w:after="0"/>
              <w:jc w:val="center"/>
              <w:rPr>
                <w:snapToGrid w:val="0"/>
                <w:sz w:val="18"/>
                <w:szCs w:val="18"/>
              </w:rPr>
            </w:pPr>
            <w:r>
              <w:rPr>
                <w:snapToGrid w:val="0"/>
                <w:sz w:val="18"/>
                <w:szCs w:val="18"/>
              </w:rPr>
              <w:t>92,9</w:t>
            </w:r>
          </w:p>
        </w:tc>
        <w:tc>
          <w:tcPr>
            <w:tcW w:w="382" w:type="pct"/>
            <w:vAlign w:val="bottom"/>
          </w:tcPr>
          <w:p w14:paraId="208E7F71"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547 000</w:t>
            </w:r>
          </w:p>
        </w:tc>
        <w:tc>
          <w:tcPr>
            <w:tcW w:w="386" w:type="pct"/>
            <w:vAlign w:val="bottom"/>
          </w:tcPr>
          <w:p w14:paraId="15BBDDA8"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508 000</w:t>
            </w:r>
          </w:p>
        </w:tc>
        <w:tc>
          <w:tcPr>
            <w:tcW w:w="384" w:type="pct"/>
            <w:vAlign w:val="bottom"/>
          </w:tcPr>
          <w:p w14:paraId="63333412"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46</w:t>
            </w:r>
          </w:p>
        </w:tc>
      </w:tr>
      <w:tr w:rsidR="005F400D" w:rsidRPr="00E4515F" w14:paraId="57B26B7A" w14:textId="77777777" w:rsidTr="000243B1">
        <w:trPr>
          <w:trHeight w:val="262"/>
        </w:trPr>
        <w:tc>
          <w:tcPr>
            <w:tcW w:w="916" w:type="pct"/>
            <w:vAlign w:val="bottom"/>
          </w:tcPr>
          <w:p w14:paraId="3D6B7087" w14:textId="77777777" w:rsidR="005F400D" w:rsidRPr="00E4515F" w:rsidRDefault="005F400D" w:rsidP="008C4FE7">
            <w:pPr>
              <w:spacing w:after="0"/>
              <w:rPr>
                <w:snapToGrid w:val="0"/>
                <w:sz w:val="18"/>
                <w:szCs w:val="18"/>
                <w:vertAlign w:val="superscript"/>
              </w:rPr>
            </w:pPr>
            <w:r>
              <w:rPr>
                <w:snapToGrid w:val="0"/>
                <w:sz w:val="18"/>
                <w:szCs w:val="18"/>
              </w:rPr>
              <w:t>Ansatte i kommunene</w:t>
            </w:r>
            <w:r>
              <w:rPr>
                <w:snapToGrid w:val="0"/>
                <w:sz w:val="18"/>
                <w:szCs w:val="18"/>
                <w:vertAlign w:val="superscript"/>
              </w:rPr>
              <w:t>8</w:t>
            </w:r>
          </w:p>
        </w:tc>
        <w:tc>
          <w:tcPr>
            <w:tcW w:w="281" w:type="pct"/>
            <w:vAlign w:val="bottom"/>
          </w:tcPr>
          <w:p w14:paraId="5DC8C7BA" w14:textId="77777777" w:rsidR="005F400D" w:rsidRPr="00E4515F" w:rsidRDefault="005F400D" w:rsidP="008C4FE7">
            <w:pPr>
              <w:spacing w:after="0"/>
              <w:jc w:val="center"/>
              <w:rPr>
                <w:snapToGrid w:val="0"/>
                <w:sz w:val="18"/>
                <w:szCs w:val="18"/>
              </w:rPr>
            </w:pPr>
            <w:r>
              <w:rPr>
                <w:snapToGrid w:val="0"/>
                <w:sz w:val="18"/>
                <w:szCs w:val="18"/>
              </w:rPr>
              <w:t>89,9</w:t>
            </w:r>
          </w:p>
        </w:tc>
        <w:tc>
          <w:tcPr>
            <w:tcW w:w="282" w:type="pct"/>
            <w:vAlign w:val="bottom"/>
          </w:tcPr>
          <w:p w14:paraId="7AA31EDB" w14:textId="77777777" w:rsidR="005F400D" w:rsidRPr="00E4515F" w:rsidRDefault="005F400D" w:rsidP="008C4FE7">
            <w:pPr>
              <w:spacing w:after="0"/>
              <w:jc w:val="center"/>
              <w:rPr>
                <w:snapToGrid w:val="0"/>
                <w:sz w:val="18"/>
                <w:szCs w:val="18"/>
              </w:rPr>
            </w:pPr>
            <w:r>
              <w:rPr>
                <w:snapToGrid w:val="0"/>
                <w:sz w:val="18"/>
                <w:szCs w:val="18"/>
              </w:rPr>
              <w:t>90,9</w:t>
            </w:r>
          </w:p>
        </w:tc>
        <w:tc>
          <w:tcPr>
            <w:tcW w:w="282" w:type="pct"/>
            <w:vAlign w:val="bottom"/>
          </w:tcPr>
          <w:p w14:paraId="5EE3B42A" w14:textId="77777777" w:rsidR="005F400D" w:rsidRPr="00E4515F" w:rsidRDefault="005F400D" w:rsidP="008C4FE7">
            <w:pPr>
              <w:spacing w:after="0"/>
              <w:jc w:val="center"/>
              <w:rPr>
                <w:snapToGrid w:val="0"/>
                <w:sz w:val="18"/>
                <w:szCs w:val="18"/>
              </w:rPr>
            </w:pPr>
            <w:r>
              <w:rPr>
                <w:snapToGrid w:val="0"/>
                <w:sz w:val="18"/>
                <w:szCs w:val="18"/>
              </w:rPr>
              <w:t>90,4</w:t>
            </w:r>
          </w:p>
        </w:tc>
        <w:tc>
          <w:tcPr>
            <w:tcW w:w="282" w:type="pct"/>
            <w:vAlign w:val="bottom"/>
          </w:tcPr>
          <w:p w14:paraId="60838BCB" w14:textId="77777777" w:rsidR="005F400D" w:rsidRPr="00E4515F" w:rsidRDefault="005F400D" w:rsidP="008C4FE7">
            <w:pPr>
              <w:spacing w:after="0"/>
              <w:jc w:val="center"/>
              <w:rPr>
                <w:snapToGrid w:val="0"/>
                <w:sz w:val="18"/>
                <w:szCs w:val="18"/>
              </w:rPr>
            </w:pPr>
            <w:r>
              <w:rPr>
                <w:snapToGrid w:val="0"/>
                <w:sz w:val="18"/>
                <w:szCs w:val="18"/>
              </w:rPr>
              <w:t>91,3</w:t>
            </w:r>
          </w:p>
        </w:tc>
        <w:tc>
          <w:tcPr>
            <w:tcW w:w="288" w:type="pct"/>
            <w:vAlign w:val="bottom"/>
          </w:tcPr>
          <w:p w14:paraId="3196D119" w14:textId="77777777" w:rsidR="005F400D" w:rsidRPr="00E4515F" w:rsidRDefault="005F400D" w:rsidP="008C4FE7">
            <w:pPr>
              <w:spacing w:after="0"/>
              <w:jc w:val="center"/>
              <w:rPr>
                <w:snapToGrid w:val="0"/>
                <w:sz w:val="18"/>
                <w:szCs w:val="18"/>
              </w:rPr>
            </w:pPr>
            <w:r>
              <w:rPr>
                <w:snapToGrid w:val="0"/>
                <w:sz w:val="18"/>
                <w:szCs w:val="18"/>
              </w:rPr>
              <w:t>91,4</w:t>
            </w:r>
          </w:p>
        </w:tc>
        <w:tc>
          <w:tcPr>
            <w:tcW w:w="288" w:type="pct"/>
            <w:vAlign w:val="bottom"/>
          </w:tcPr>
          <w:p w14:paraId="01E08A92" w14:textId="77777777" w:rsidR="005F400D" w:rsidRPr="00E4515F" w:rsidRDefault="005F400D" w:rsidP="008C4FE7">
            <w:pPr>
              <w:spacing w:after="0"/>
              <w:jc w:val="center"/>
              <w:rPr>
                <w:snapToGrid w:val="0"/>
                <w:sz w:val="18"/>
                <w:szCs w:val="18"/>
              </w:rPr>
            </w:pPr>
            <w:r>
              <w:rPr>
                <w:snapToGrid w:val="0"/>
                <w:sz w:val="18"/>
                <w:szCs w:val="18"/>
              </w:rPr>
              <w:t>91,8</w:t>
            </w:r>
          </w:p>
        </w:tc>
        <w:tc>
          <w:tcPr>
            <w:tcW w:w="282" w:type="pct"/>
            <w:vAlign w:val="bottom"/>
          </w:tcPr>
          <w:p w14:paraId="1E30B864" w14:textId="77777777" w:rsidR="005F400D" w:rsidRPr="00E4515F" w:rsidRDefault="005F400D" w:rsidP="008C4FE7">
            <w:pPr>
              <w:spacing w:after="0"/>
              <w:jc w:val="center"/>
              <w:rPr>
                <w:snapToGrid w:val="0"/>
                <w:sz w:val="18"/>
                <w:szCs w:val="18"/>
              </w:rPr>
            </w:pPr>
            <w:r>
              <w:rPr>
                <w:snapToGrid w:val="0"/>
                <w:sz w:val="18"/>
                <w:szCs w:val="18"/>
              </w:rPr>
              <w:t>91,5</w:t>
            </w:r>
          </w:p>
        </w:tc>
        <w:tc>
          <w:tcPr>
            <w:tcW w:w="282" w:type="pct"/>
            <w:vAlign w:val="bottom"/>
          </w:tcPr>
          <w:p w14:paraId="4E1E9465" w14:textId="77777777" w:rsidR="005F400D" w:rsidRPr="00E4515F" w:rsidRDefault="005F400D" w:rsidP="008C4FE7">
            <w:pPr>
              <w:spacing w:after="0"/>
              <w:jc w:val="center"/>
              <w:rPr>
                <w:snapToGrid w:val="0"/>
                <w:sz w:val="18"/>
                <w:szCs w:val="18"/>
              </w:rPr>
            </w:pPr>
            <w:r>
              <w:rPr>
                <w:snapToGrid w:val="0"/>
                <w:sz w:val="18"/>
                <w:szCs w:val="18"/>
              </w:rPr>
              <w:t>92,2</w:t>
            </w:r>
          </w:p>
        </w:tc>
        <w:tc>
          <w:tcPr>
            <w:tcW w:w="282" w:type="pct"/>
            <w:vAlign w:val="bottom"/>
          </w:tcPr>
          <w:p w14:paraId="062FBCCA" w14:textId="77777777" w:rsidR="005F400D" w:rsidRDefault="005F400D" w:rsidP="008C4FE7">
            <w:pPr>
              <w:spacing w:after="0"/>
              <w:jc w:val="center"/>
              <w:rPr>
                <w:snapToGrid w:val="0"/>
                <w:sz w:val="18"/>
                <w:szCs w:val="18"/>
              </w:rPr>
            </w:pPr>
            <w:r>
              <w:rPr>
                <w:snapToGrid w:val="0"/>
                <w:sz w:val="18"/>
                <w:szCs w:val="18"/>
              </w:rPr>
              <w:t>92,5</w:t>
            </w:r>
          </w:p>
        </w:tc>
        <w:tc>
          <w:tcPr>
            <w:tcW w:w="382" w:type="pct"/>
            <w:vAlign w:val="bottom"/>
          </w:tcPr>
          <w:p w14:paraId="706A398B" w14:textId="77777777" w:rsidR="005F400D" w:rsidRDefault="005F400D" w:rsidP="008C4FE7">
            <w:pPr>
              <w:spacing w:after="0"/>
              <w:jc w:val="center"/>
              <w:rPr>
                <w:snapToGrid w:val="0"/>
                <w:sz w:val="18"/>
                <w:szCs w:val="18"/>
              </w:rPr>
            </w:pPr>
            <w:r>
              <w:rPr>
                <w:snapToGrid w:val="0"/>
                <w:sz w:val="18"/>
                <w:szCs w:val="18"/>
              </w:rPr>
              <w:t>92,5</w:t>
            </w:r>
          </w:p>
        </w:tc>
        <w:tc>
          <w:tcPr>
            <w:tcW w:w="382" w:type="pct"/>
            <w:vAlign w:val="bottom"/>
          </w:tcPr>
          <w:p w14:paraId="362E711F"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489 371</w:t>
            </w:r>
          </w:p>
        </w:tc>
        <w:tc>
          <w:tcPr>
            <w:tcW w:w="386" w:type="pct"/>
            <w:vAlign w:val="bottom"/>
          </w:tcPr>
          <w:p w14:paraId="2EB69432"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452 500</w:t>
            </w:r>
          </w:p>
        </w:tc>
        <w:tc>
          <w:tcPr>
            <w:tcW w:w="384" w:type="pct"/>
            <w:vAlign w:val="bottom"/>
          </w:tcPr>
          <w:p w14:paraId="2D600527"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74</w:t>
            </w:r>
          </w:p>
        </w:tc>
      </w:tr>
      <w:tr w:rsidR="005F400D" w:rsidRPr="00E4515F" w14:paraId="69E98E6D" w14:textId="77777777" w:rsidTr="000243B1">
        <w:trPr>
          <w:trHeight w:val="593"/>
        </w:trPr>
        <w:tc>
          <w:tcPr>
            <w:tcW w:w="916" w:type="pct"/>
            <w:vAlign w:val="bottom"/>
          </w:tcPr>
          <w:p w14:paraId="72D21E01" w14:textId="77777777" w:rsidR="005F400D" w:rsidRPr="00E4515F" w:rsidRDefault="005F400D" w:rsidP="008C4FE7">
            <w:pPr>
              <w:spacing w:after="0"/>
              <w:ind w:left="117"/>
              <w:rPr>
                <w:snapToGrid w:val="0"/>
                <w:sz w:val="18"/>
                <w:szCs w:val="18"/>
              </w:rPr>
            </w:pPr>
            <w:r>
              <w:rPr>
                <w:snapToGrid w:val="0"/>
                <w:sz w:val="18"/>
                <w:szCs w:val="18"/>
              </w:rPr>
              <w:t>Herav: Undervisnings-personell</w:t>
            </w:r>
            <w:r>
              <w:rPr>
                <w:snapToGrid w:val="0"/>
                <w:sz w:val="18"/>
                <w:szCs w:val="18"/>
                <w:vertAlign w:val="superscript"/>
              </w:rPr>
              <w:t>6,8</w:t>
            </w:r>
          </w:p>
        </w:tc>
        <w:tc>
          <w:tcPr>
            <w:tcW w:w="281" w:type="pct"/>
            <w:vAlign w:val="bottom"/>
          </w:tcPr>
          <w:p w14:paraId="01D601C8" w14:textId="77777777" w:rsidR="005F400D" w:rsidRPr="00E4515F" w:rsidRDefault="005F400D" w:rsidP="008C4FE7">
            <w:pPr>
              <w:spacing w:after="0"/>
              <w:jc w:val="center"/>
              <w:rPr>
                <w:snapToGrid w:val="0"/>
                <w:sz w:val="18"/>
                <w:szCs w:val="18"/>
              </w:rPr>
            </w:pPr>
            <w:r>
              <w:rPr>
                <w:snapToGrid w:val="0"/>
                <w:sz w:val="18"/>
                <w:szCs w:val="18"/>
              </w:rPr>
              <w:t>97,0</w:t>
            </w:r>
          </w:p>
        </w:tc>
        <w:tc>
          <w:tcPr>
            <w:tcW w:w="282" w:type="pct"/>
            <w:vAlign w:val="bottom"/>
          </w:tcPr>
          <w:p w14:paraId="0A0EFB0D" w14:textId="77777777" w:rsidR="005F400D" w:rsidRPr="00E4515F" w:rsidRDefault="005F400D" w:rsidP="008C4FE7">
            <w:pPr>
              <w:spacing w:after="0"/>
              <w:jc w:val="center"/>
              <w:rPr>
                <w:snapToGrid w:val="0"/>
                <w:sz w:val="18"/>
                <w:szCs w:val="18"/>
              </w:rPr>
            </w:pPr>
            <w:r>
              <w:rPr>
                <w:snapToGrid w:val="0"/>
                <w:sz w:val="18"/>
                <w:szCs w:val="18"/>
              </w:rPr>
              <w:t>96,4</w:t>
            </w:r>
          </w:p>
        </w:tc>
        <w:tc>
          <w:tcPr>
            <w:tcW w:w="282" w:type="pct"/>
            <w:vAlign w:val="bottom"/>
          </w:tcPr>
          <w:p w14:paraId="7BC1C756" w14:textId="77777777" w:rsidR="005F400D" w:rsidRPr="00E4515F" w:rsidRDefault="005F400D" w:rsidP="008C4FE7">
            <w:pPr>
              <w:spacing w:after="0"/>
              <w:jc w:val="center"/>
              <w:rPr>
                <w:snapToGrid w:val="0"/>
                <w:sz w:val="18"/>
                <w:szCs w:val="18"/>
              </w:rPr>
            </w:pPr>
            <w:r>
              <w:rPr>
                <w:snapToGrid w:val="0"/>
                <w:sz w:val="18"/>
                <w:szCs w:val="18"/>
              </w:rPr>
              <w:t>96,6</w:t>
            </w:r>
          </w:p>
        </w:tc>
        <w:tc>
          <w:tcPr>
            <w:tcW w:w="282" w:type="pct"/>
            <w:vAlign w:val="bottom"/>
          </w:tcPr>
          <w:p w14:paraId="5409261E" w14:textId="77777777" w:rsidR="005F400D" w:rsidRPr="00E4515F" w:rsidRDefault="005F400D" w:rsidP="008C4FE7">
            <w:pPr>
              <w:spacing w:after="0"/>
              <w:jc w:val="center"/>
              <w:rPr>
                <w:snapToGrid w:val="0"/>
                <w:sz w:val="18"/>
                <w:szCs w:val="18"/>
              </w:rPr>
            </w:pPr>
            <w:r>
              <w:rPr>
                <w:snapToGrid w:val="0"/>
                <w:sz w:val="18"/>
                <w:szCs w:val="18"/>
              </w:rPr>
              <w:t>96,7</w:t>
            </w:r>
          </w:p>
        </w:tc>
        <w:tc>
          <w:tcPr>
            <w:tcW w:w="288" w:type="pct"/>
            <w:vAlign w:val="bottom"/>
          </w:tcPr>
          <w:p w14:paraId="7E082F93" w14:textId="77777777" w:rsidR="005F400D" w:rsidRPr="00E4515F" w:rsidRDefault="005F400D" w:rsidP="008C4FE7">
            <w:pPr>
              <w:spacing w:after="0"/>
              <w:jc w:val="center"/>
              <w:rPr>
                <w:snapToGrid w:val="0"/>
                <w:sz w:val="18"/>
                <w:szCs w:val="18"/>
              </w:rPr>
            </w:pPr>
            <w:r>
              <w:rPr>
                <w:snapToGrid w:val="0"/>
                <w:sz w:val="18"/>
                <w:szCs w:val="18"/>
              </w:rPr>
              <w:t>96,8</w:t>
            </w:r>
          </w:p>
        </w:tc>
        <w:tc>
          <w:tcPr>
            <w:tcW w:w="288" w:type="pct"/>
            <w:vAlign w:val="bottom"/>
          </w:tcPr>
          <w:p w14:paraId="1B162313" w14:textId="77777777" w:rsidR="005F400D" w:rsidRPr="00E4515F" w:rsidRDefault="005F400D" w:rsidP="008C4FE7">
            <w:pPr>
              <w:spacing w:after="0"/>
              <w:jc w:val="center"/>
              <w:rPr>
                <w:snapToGrid w:val="0"/>
                <w:sz w:val="18"/>
                <w:szCs w:val="18"/>
              </w:rPr>
            </w:pPr>
            <w:r>
              <w:rPr>
                <w:snapToGrid w:val="0"/>
                <w:sz w:val="18"/>
                <w:szCs w:val="18"/>
              </w:rPr>
              <w:t>96,9</w:t>
            </w:r>
          </w:p>
        </w:tc>
        <w:tc>
          <w:tcPr>
            <w:tcW w:w="282" w:type="pct"/>
            <w:vAlign w:val="bottom"/>
          </w:tcPr>
          <w:p w14:paraId="3B4C4F5E" w14:textId="77777777" w:rsidR="005F400D" w:rsidRPr="00E4515F" w:rsidRDefault="005F400D" w:rsidP="008C4FE7">
            <w:pPr>
              <w:spacing w:after="0"/>
              <w:jc w:val="center"/>
              <w:rPr>
                <w:snapToGrid w:val="0"/>
                <w:sz w:val="18"/>
                <w:szCs w:val="18"/>
              </w:rPr>
            </w:pPr>
            <w:r>
              <w:rPr>
                <w:snapToGrid w:val="0"/>
                <w:sz w:val="18"/>
                <w:szCs w:val="18"/>
              </w:rPr>
              <w:t>97,0</w:t>
            </w:r>
          </w:p>
        </w:tc>
        <w:tc>
          <w:tcPr>
            <w:tcW w:w="282" w:type="pct"/>
            <w:vAlign w:val="bottom"/>
          </w:tcPr>
          <w:p w14:paraId="798D9D37" w14:textId="77777777" w:rsidR="005F400D" w:rsidRPr="00E4515F" w:rsidRDefault="005F400D" w:rsidP="008C4FE7">
            <w:pPr>
              <w:spacing w:after="0"/>
              <w:jc w:val="center"/>
              <w:rPr>
                <w:snapToGrid w:val="0"/>
                <w:sz w:val="18"/>
                <w:szCs w:val="18"/>
              </w:rPr>
            </w:pPr>
            <w:r>
              <w:rPr>
                <w:snapToGrid w:val="0"/>
                <w:sz w:val="18"/>
                <w:szCs w:val="18"/>
              </w:rPr>
              <w:t>97,1</w:t>
            </w:r>
          </w:p>
        </w:tc>
        <w:tc>
          <w:tcPr>
            <w:tcW w:w="282" w:type="pct"/>
            <w:vAlign w:val="bottom"/>
          </w:tcPr>
          <w:p w14:paraId="48D53F8A" w14:textId="77777777" w:rsidR="005F400D" w:rsidRDefault="005F400D" w:rsidP="008C4FE7">
            <w:pPr>
              <w:spacing w:after="0"/>
              <w:jc w:val="center"/>
              <w:rPr>
                <w:snapToGrid w:val="0"/>
                <w:sz w:val="18"/>
                <w:szCs w:val="18"/>
              </w:rPr>
            </w:pPr>
            <w:r>
              <w:rPr>
                <w:snapToGrid w:val="0"/>
                <w:sz w:val="18"/>
                <w:szCs w:val="18"/>
              </w:rPr>
              <w:t>97,7</w:t>
            </w:r>
          </w:p>
        </w:tc>
        <w:tc>
          <w:tcPr>
            <w:tcW w:w="382" w:type="pct"/>
            <w:vAlign w:val="bottom"/>
          </w:tcPr>
          <w:p w14:paraId="37F37503" w14:textId="77777777" w:rsidR="005F400D" w:rsidRDefault="005F400D" w:rsidP="008C4FE7">
            <w:pPr>
              <w:spacing w:after="0"/>
              <w:jc w:val="center"/>
              <w:rPr>
                <w:snapToGrid w:val="0"/>
                <w:sz w:val="18"/>
                <w:szCs w:val="18"/>
              </w:rPr>
            </w:pPr>
            <w:r>
              <w:rPr>
                <w:snapToGrid w:val="0"/>
                <w:sz w:val="18"/>
                <w:szCs w:val="18"/>
              </w:rPr>
              <w:t>97,8</w:t>
            </w:r>
          </w:p>
        </w:tc>
        <w:tc>
          <w:tcPr>
            <w:tcW w:w="382" w:type="pct"/>
            <w:vAlign w:val="bottom"/>
          </w:tcPr>
          <w:p w14:paraId="11DCD2CD"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514 000</w:t>
            </w:r>
          </w:p>
        </w:tc>
        <w:tc>
          <w:tcPr>
            <w:tcW w:w="386" w:type="pct"/>
            <w:vAlign w:val="bottom"/>
          </w:tcPr>
          <w:p w14:paraId="5F8FCCBA"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502 700</w:t>
            </w:r>
          </w:p>
        </w:tc>
        <w:tc>
          <w:tcPr>
            <w:tcW w:w="384" w:type="pct"/>
            <w:vAlign w:val="bottom"/>
          </w:tcPr>
          <w:p w14:paraId="2AADD5A3"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68</w:t>
            </w:r>
          </w:p>
        </w:tc>
      </w:tr>
      <w:tr w:rsidR="005F400D" w:rsidRPr="00E4515F" w14:paraId="3B70DE75" w14:textId="77777777" w:rsidTr="000243B1">
        <w:trPr>
          <w:trHeight w:val="262"/>
        </w:trPr>
        <w:tc>
          <w:tcPr>
            <w:tcW w:w="916" w:type="pct"/>
            <w:vAlign w:val="bottom"/>
          </w:tcPr>
          <w:p w14:paraId="4009DEFD" w14:textId="77777777" w:rsidR="005F400D" w:rsidRPr="00E4515F" w:rsidRDefault="005F400D" w:rsidP="008C4FE7">
            <w:pPr>
              <w:spacing w:after="0"/>
              <w:ind w:left="142"/>
              <w:rPr>
                <w:snapToGrid w:val="0"/>
                <w:sz w:val="18"/>
                <w:szCs w:val="18"/>
              </w:rPr>
            </w:pPr>
            <w:r>
              <w:rPr>
                <w:snapToGrid w:val="0"/>
                <w:sz w:val="18"/>
                <w:szCs w:val="18"/>
              </w:rPr>
              <w:t>Øvrige ansatte</w:t>
            </w:r>
          </w:p>
        </w:tc>
        <w:tc>
          <w:tcPr>
            <w:tcW w:w="281" w:type="pct"/>
            <w:vAlign w:val="bottom"/>
          </w:tcPr>
          <w:p w14:paraId="55BC5F42" w14:textId="77777777" w:rsidR="005F400D" w:rsidRPr="00E4515F" w:rsidRDefault="005F400D" w:rsidP="008C4FE7">
            <w:pPr>
              <w:spacing w:after="0"/>
              <w:jc w:val="center"/>
              <w:rPr>
                <w:sz w:val="18"/>
                <w:szCs w:val="18"/>
              </w:rPr>
            </w:pPr>
            <w:r>
              <w:rPr>
                <w:sz w:val="18"/>
                <w:szCs w:val="18"/>
              </w:rPr>
              <w:t>90,9</w:t>
            </w:r>
          </w:p>
        </w:tc>
        <w:tc>
          <w:tcPr>
            <w:tcW w:w="282" w:type="pct"/>
            <w:vAlign w:val="bottom"/>
          </w:tcPr>
          <w:p w14:paraId="369F4E87" w14:textId="77777777" w:rsidR="005F400D" w:rsidRPr="00E4515F" w:rsidRDefault="005F400D" w:rsidP="008C4FE7">
            <w:pPr>
              <w:spacing w:after="0"/>
              <w:jc w:val="center"/>
              <w:rPr>
                <w:snapToGrid w:val="0"/>
                <w:sz w:val="18"/>
                <w:szCs w:val="18"/>
              </w:rPr>
            </w:pPr>
            <w:r>
              <w:rPr>
                <w:sz w:val="18"/>
                <w:szCs w:val="18"/>
              </w:rPr>
              <w:t>91,5</w:t>
            </w:r>
          </w:p>
        </w:tc>
        <w:tc>
          <w:tcPr>
            <w:tcW w:w="282" w:type="pct"/>
            <w:vAlign w:val="bottom"/>
          </w:tcPr>
          <w:p w14:paraId="18946BEF" w14:textId="77777777" w:rsidR="005F400D" w:rsidRPr="00E4515F" w:rsidRDefault="005F400D" w:rsidP="008C4FE7">
            <w:pPr>
              <w:spacing w:after="0"/>
              <w:jc w:val="center"/>
              <w:rPr>
                <w:snapToGrid w:val="0"/>
                <w:sz w:val="18"/>
                <w:szCs w:val="18"/>
              </w:rPr>
            </w:pPr>
            <w:r>
              <w:rPr>
                <w:sz w:val="18"/>
                <w:szCs w:val="18"/>
              </w:rPr>
              <w:t>90,9</w:t>
            </w:r>
          </w:p>
        </w:tc>
        <w:tc>
          <w:tcPr>
            <w:tcW w:w="282" w:type="pct"/>
            <w:vAlign w:val="bottom"/>
          </w:tcPr>
          <w:p w14:paraId="10FD6FF7" w14:textId="77777777" w:rsidR="005F400D" w:rsidRPr="00E4515F" w:rsidRDefault="005F400D" w:rsidP="008C4FE7">
            <w:pPr>
              <w:spacing w:after="0"/>
              <w:jc w:val="center"/>
              <w:rPr>
                <w:snapToGrid w:val="0"/>
                <w:sz w:val="18"/>
                <w:szCs w:val="18"/>
              </w:rPr>
            </w:pPr>
            <w:r>
              <w:rPr>
                <w:sz w:val="18"/>
                <w:szCs w:val="18"/>
              </w:rPr>
              <w:t>91,2</w:t>
            </w:r>
          </w:p>
        </w:tc>
        <w:tc>
          <w:tcPr>
            <w:tcW w:w="288" w:type="pct"/>
            <w:vAlign w:val="bottom"/>
          </w:tcPr>
          <w:p w14:paraId="65BD1CC9" w14:textId="77777777" w:rsidR="005F400D" w:rsidRPr="00E4515F" w:rsidRDefault="005F400D" w:rsidP="008C4FE7">
            <w:pPr>
              <w:spacing w:after="0"/>
              <w:jc w:val="center"/>
              <w:rPr>
                <w:snapToGrid w:val="0"/>
                <w:sz w:val="18"/>
                <w:szCs w:val="18"/>
              </w:rPr>
            </w:pPr>
            <w:r>
              <w:rPr>
                <w:sz w:val="18"/>
                <w:szCs w:val="18"/>
              </w:rPr>
              <w:t>91,2</w:t>
            </w:r>
          </w:p>
        </w:tc>
        <w:tc>
          <w:tcPr>
            <w:tcW w:w="288" w:type="pct"/>
            <w:vAlign w:val="bottom"/>
          </w:tcPr>
          <w:p w14:paraId="230644DB" w14:textId="77777777" w:rsidR="005F400D" w:rsidRPr="00E4515F" w:rsidRDefault="005F400D" w:rsidP="008C4FE7">
            <w:pPr>
              <w:spacing w:after="0"/>
              <w:jc w:val="center"/>
              <w:rPr>
                <w:snapToGrid w:val="0"/>
                <w:sz w:val="18"/>
                <w:szCs w:val="18"/>
              </w:rPr>
            </w:pPr>
            <w:r>
              <w:rPr>
                <w:sz w:val="18"/>
                <w:szCs w:val="18"/>
              </w:rPr>
              <w:t>91,5</w:t>
            </w:r>
          </w:p>
        </w:tc>
        <w:tc>
          <w:tcPr>
            <w:tcW w:w="282" w:type="pct"/>
            <w:vAlign w:val="bottom"/>
          </w:tcPr>
          <w:p w14:paraId="428C465F" w14:textId="77777777" w:rsidR="005F400D" w:rsidRPr="00E4515F" w:rsidRDefault="005F400D" w:rsidP="008C4FE7">
            <w:pPr>
              <w:spacing w:after="0"/>
              <w:jc w:val="center"/>
              <w:rPr>
                <w:snapToGrid w:val="0"/>
                <w:sz w:val="18"/>
                <w:szCs w:val="18"/>
              </w:rPr>
            </w:pPr>
            <w:r>
              <w:rPr>
                <w:sz w:val="18"/>
                <w:szCs w:val="18"/>
              </w:rPr>
              <w:t>91,0</w:t>
            </w:r>
          </w:p>
        </w:tc>
        <w:tc>
          <w:tcPr>
            <w:tcW w:w="282" w:type="pct"/>
            <w:vAlign w:val="bottom"/>
          </w:tcPr>
          <w:p w14:paraId="1A7488ED" w14:textId="77777777" w:rsidR="005F400D" w:rsidRPr="00E4515F" w:rsidRDefault="005F400D" w:rsidP="008C4FE7">
            <w:pPr>
              <w:spacing w:after="0"/>
              <w:jc w:val="center"/>
              <w:rPr>
                <w:snapToGrid w:val="0"/>
                <w:sz w:val="18"/>
                <w:szCs w:val="18"/>
              </w:rPr>
            </w:pPr>
            <w:r>
              <w:rPr>
                <w:sz w:val="18"/>
                <w:szCs w:val="18"/>
              </w:rPr>
              <w:t>91,9</w:t>
            </w:r>
          </w:p>
        </w:tc>
        <w:tc>
          <w:tcPr>
            <w:tcW w:w="282" w:type="pct"/>
            <w:vAlign w:val="bottom"/>
          </w:tcPr>
          <w:p w14:paraId="03B59A7B" w14:textId="77777777" w:rsidR="005F400D" w:rsidRDefault="005F400D" w:rsidP="008C4FE7">
            <w:pPr>
              <w:spacing w:after="0"/>
              <w:jc w:val="center"/>
              <w:rPr>
                <w:snapToGrid w:val="0"/>
                <w:sz w:val="18"/>
                <w:szCs w:val="18"/>
              </w:rPr>
            </w:pPr>
            <w:r>
              <w:rPr>
                <w:snapToGrid w:val="0"/>
                <w:sz w:val="18"/>
                <w:szCs w:val="18"/>
              </w:rPr>
              <w:t>91,2</w:t>
            </w:r>
          </w:p>
        </w:tc>
        <w:tc>
          <w:tcPr>
            <w:tcW w:w="382" w:type="pct"/>
            <w:vAlign w:val="bottom"/>
          </w:tcPr>
          <w:p w14:paraId="68F424DE" w14:textId="77777777" w:rsidR="005F400D" w:rsidRDefault="005F400D" w:rsidP="008C4FE7">
            <w:pPr>
              <w:spacing w:after="0"/>
              <w:jc w:val="center"/>
              <w:rPr>
                <w:snapToGrid w:val="0"/>
                <w:sz w:val="18"/>
                <w:szCs w:val="18"/>
              </w:rPr>
            </w:pPr>
            <w:r>
              <w:rPr>
                <w:snapToGrid w:val="0"/>
                <w:sz w:val="18"/>
                <w:szCs w:val="18"/>
              </w:rPr>
              <w:t>91,8</w:t>
            </w:r>
          </w:p>
        </w:tc>
        <w:tc>
          <w:tcPr>
            <w:tcW w:w="382" w:type="pct"/>
            <w:vAlign w:val="bottom"/>
          </w:tcPr>
          <w:p w14:paraId="79373DB9"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478 000</w:t>
            </w:r>
          </w:p>
        </w:tc>
        <w:tc>
          <w:tcPr>
            <w:tcW w:w="386" w:type="pct"/>
            <w:vAlign w:val="bottom"/>
          </w:tcPr>
          <w:p w14:paraId="5747E3AF"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438 600</w:t>
            </w:r>
          </w:p>
        </w:tc>
        <w:tc>
          <w:tcPr>
            <w:tcW w:w="384" w:type="pct"/>
            <w:vAlign w:val="bottom"/>
          </w:tcPr>
          <w:p w14:paraId="7BF6859D"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76</w:t>
            </w:r>
          </w:p>
        </w:tc>
      </w:tr>
      <w:tr w:rsidR="005F400D" w:rsidRPr="00E4515F" w14:paraId="5827F903" w14:textId="77777777" w:rsidTr="000243B1">
        <w:trPr>
          <w:trHeight w:val="262"/>
        </w:trPr>
        <w:tc>
          <w:tcPr>
            <w:tcW w:w="916" w:type="pct"/>
            <w:vAlign w:val="bottom"/>
          </w:tcPr>
          <w:p w14:paraId="7413033F" w14:textId="77777777" w:rsidR="005F400D" w:rsidRPr="00E4515F" w:rsidRDefault="005F400D" w:rsidP="008C4FE7">
            <w:pPr>
              <w:spacing w:after="0"/>
              <w:rPr>
                <w:snapToGrid w:val="0"/>
                <w:sz w:val="18"/>
                <w:szCs w:val="18"/>
                <w:vertAlign w:val="superscript"/>
              </w:rPr>
            </w:pPr>
            <w:r>
              <w:rPr>
                <w:snapToGrid w:val="0"/>
                <w:sz w:val="18"/>
                <w:szCs w:val="18"/>
              </w:rPr>
              <w:t>Statlige eide helseforetak i Spekter-området</w:t>
            </w:r>
            <w:r>
              <w:rPr>
                <w:snapToGrid w:val="0"/>
                <w:sz w:val="18"/>
                <w:szCs w:val="18"/>
                <w:vertAlign w:val="superscript"/>
              </w:rPr>
              <w:t>11</w:t>
            </w:r>
          </w:p>
        </w:tc>
        <w:tc>
          <w:tcPr>
            <w:tcW w:w="281" w:type="pct"/>
            <w:vAlign w:val="bottom"/>
          </w:tcPr>
          <w:p w14:paraId="18707270" w14:textId="77777777" w:rsidR="005F400D" w:rsidRPr="00E4515F" w:rsidRDefault="005F400D" w:rsidP="008C4FE7">
            <w:pPr>
              <w:spacing w:after="0"/>
              <w:jc w:val="center"/>
              <w:rPr>
                <w:sz w:val="18"/>
                <w:szCs w:val="18"/>
              </w:rPr>
            </w:pPr>
            <w:r>
              <w:rPr>
                <w:sz w:val="18"/>
                <w:szCs w:val="18"/>
              </w:rPr>
              <w:t>78,2</w:t>
            </w:r>
          </w:p>
        </w:tc>
        <w:tc>
          <w:tcPr>
            <w:tcW w:w="282" w:type="pct"/>
            <w:vAlign w:val="bottom"/>
          </w:tcPr>
          <w:p w14:paraId="2CE2F18E" w14:textId="77777777" w:rsidR="005F400D" w:rsidRPr="00E4515F" w:rsidRDefault="005F400D" w:rsidP="008C4FE7">
            <w:pPr>
              <w:spacing w:after="0"/>
              <w:jc w:val="center"/>
              <w:rPr>
                <w:snapToGrid w:val="0"/>
                <w:sz w:val="18"/>
                <w:szCs w:val="18"/>
              </w:rPr>
            </w:pPr>
            <w:r>
              <w:rPr>
                <w:snapToGrid w:val="0"/>
                <w:sz w:val="18"/>
                <w:szCs w:val="18"/>
              </w:rPr>
              <w:t>78,2</w:t>
            </w:r>
          </w:p>
        </w:tc>
        <w:tc>
          <w:tcPr>
            <w:tcW w:w="282" w:type="pct"/>
            <w:vAlign w:val="bottom"/>
          </w:tcPr>
          <w:p w14:paraId="19599746" w14:textId="77777777" w:rsidR="005F400D" w:rsidRPr="00E4515F" w:rsidRDefault="005F400D" w:rsidP="008C4FE7">
            <w:pPr>
              <w:spacing w:after="0"/>
              <w:jc w:val="center"/>
              <w:rPr>
                <w:snapToGrid w:val="0"/>
                <w:sz w:val="18"/>
                <w:szCs w:val="18"/>
              </w:rPr>
            </w:pPr>
            <w:r>
              <w:rPr>
                <w:snapToGrid w:val="0"/>
                <w:sz w:val="18"/>
                <w:szCs w:val="18"/>
              </w:rPr>
              <w:t>79,5</w:t>
            </w:r>
          </w:p>
        </w:tc>
        <w:tc>
          <w:tcPr>
            <w:tcW w:w="282" w:type="pct"/>
            <w:vAlign w:val="bottom"/>
          </w:tcPr>
          <w:p w14:paraId="1D0D253C" w14:textId="77777777" w:rsidR="005F400D" w:rsidRPr="00E4515F" w:rsidRDefault="005F400D" w:rsidP="008C4FE7">
            <w:pPr>
              <w:spacing w:after="0"/>
              <w:jc w:val="center"/>
              <w:rPr>
                <w:snapToGrid w:val="0"/>
                <w:sz w:val="18"/>
                <w:szCs w:val="18"/>
              </w:rPr>
            </w:pPr>
            <w:r>
              <w:rPr>
                <w:snapToGrid w:val="0"/>
                <w:sz w:val="18"/>
                <w:szCs w:val="18"/>
              </w:rPr>
              <w:t>80,8</w:t>
            </w:r>
          </w:p>
        </w:tc>
        <w:tc>
          <w:tcPr>
            <w:tcW w:w="288" w:type="pct"/>
            <w:vAlign w:val="bottom"/>
          </w:tcPr>
          <w:p w14:paraId="1C5A293E" w14:textId="77777777" w:rsidR="005F400D" w:rsidRPr="00E4515F" w:rsidRDefault="005F400D" w:rsidP="008C4FE7">
            <w:pPr>
              <w:spacing w:after="0"/>
              <w:jc w:val="center"/>
              <w:rPr>
                <w:snapToGrid w:val="0"/>
                <w:sz w:val="18"/>
                <w:szCs w:val="18"/>
              </w:rPr>
            </w:pPr>
            <w:r>
              <w:rPr>
                <w:snapToGrid w:val="0"/>
                <w:sz w:val="18"/>
                <w:szCs w:val="18"/>
              </w:rPr>
              <w:t>81,7</w:t>
            </w:r>
          </w:p>
        </w:tc>
        <w:tc>
          <w:tcPr>
            <w:tcW w:w="288" w:type="pct"/>
            <w:vAlign w:val="bottom"/>
          </w:tcPr>
          <w:p w14:paraId="49ECFD13" w14:textId="77777777" w:rsidR="005F400D" w:rsidRPr="00E4515F" w:rsidRDefault="005F400D" w:rsidP="008C4FE7">
            <w:pPr>
              <w:spacing w:after="0"/>
              <w:jc w:val="center"/>
              <w:rPr>
                <w:snapToGrid w:val="0"/>
                <w:sz w:val="18"/>
                <w:szCs w:val="18"/>
              </w:rPr>
            </w:pPr>
            <w:r>
              <w:rPr>
                <w:snapToGrid w:val="0"/>
                <w:sz w:val="18"/>
                <w:szCs w:val="18"/>
              </w:rPr>
              <w:t>81,5</w:t>
            </w:r>
          </w:p>
        </w:tc>
        <w:tc>
          <w:tcPr>
            <w:tcW w:w="282" w:type="pct"/>
            <w:vAlign w:val="bottom"/>
          </w:tcPr>
          <w:p w14:paraId="23B59BAB" w14:textId="77777777" w:rsidR="005F400D" w:rsidRPr="00E4515F" w:rsidRDefault="005F400D" w:rsidP="008C4FE7">
            <w:pPr>
              <w:spacing w:after="0"/>
              <w:jc w:val="center"/>
              <w:rPr>
                <w:snapToGrid w:val="0"/>
                <w:sz w:val="18"/>
                <w:szCs w:val="18"/>
              </w:rPr>
            </w:pPr>
            <w:r>
              <w:rPr>
                <w:snapToGrid w:val="0"/>
                <w:sz w:val="18"/>
                <w:szCs w:val="18"/>
              </w:rPr>
              <w:t>82,2</w:t>
            </w:r>
          </w:p>
        </w:tc>
        <w:tc>
          <w:tcPr>
            <w:tcW w:w="282" w:type="pct"/>
            <w:vAlign w:val="bottom"/>
          </w:tcPr>
          <w:p w14:paraId="0921B9D4" w14:textId="77777777" w:rsidR="005F400D" w:rsidRPr="00E4515F" w:rsidRDefault="005F400D" w:rsidP="008C4FE7">
            <w:pPr>
              <w:spacing w:after="0"/>
              <w:jc w:val="center"/>
              <w:rPr>
                <w:snapToGrid w:val="0"/>
                <w:sz w:val="18"/>
                <w:szCs w:val="18"/>
              </w:rPr>
            </w:pPr>
            <w:r>
              <w:rPr>
                <w:snapToGrid w:val="0"/>
                <w:sz w:val="18"/>
                <w:szCs w:val="18"/>
              </w:rPr>
              <w:t>82,2</w:t>
            </w:r>
          </w:p>
        </w:tc>
        <w:tc>
          <w:tcPr>
            <w:tcW w:w="282" w:type="pct"/>
            <w:vAlign w:val="bottom"/>
          </w:tcPr>
          <w:p w14:paraId="6DE2B129" w14:textId="77777777" w:rsidR="005F400D" w:rsidRDefault="005F400D" w:rsidP="008C4FE7">
            <w:pPr>
              <w:spacing w:after="0"/>
              <w:jc w:val="center"/>
              <w:rPr>
                <w:sz w:val="18"/>
                <w:szCs w:val="18"/>
              </w:rPr>
            </w:pPr>
            <w:r w:rsidRPr="0007719C">
              <w:rPr>
                <w:sz w:val="18"/>
                <w:szCs w:val="18"/>
              </w:rPr>
              <w:t>83,0</w:t>
            </w:r>
          </w:p>
        </w:tc>
        <w:tc>
          <w:tcPr>
            <w:tcW w:w="382" w:type="pct"/>
            <w:vAlign w:val="bottom"/>
          </w:tcPr>
          <w:p w14:paraId="2CB3661C" w14:textId="77777777" w:rsidR="005F400D" w:rsidRPr="00644471" w:rsidRDefault="005F400D" w:rsidP="008C4FE7">
            <w:pPr>
              <w:spacing w:after="0"/>
              <w:jc w:val="center"/>
              <w:rPr>
                <w:sz w:val="18"/>
                <w:szCs w:val="18"/>
              </w:rPr>
            </w:pPr>
            <w:r w:rsidRPr="00644471">
              <w:rPr>
                <w:sz w:val="18"/>
                <w:szCs w:val="18"/>
              </w:rPr>
              <w:t>83,6</w:t>
            </w:r>
          </w:p>
        </w:tc>
        <w:tc>
          <w:tcPr>
            <w:tcW w:w="382" w:type="pct"/>
            <w:vAlign w:val="bottom"/>
          </w:tcPr>
          <w:p w14:paraId="79610F85" w14:textId="77777777" w:rsidR="005F400D" w:rsidRPr="00644471" w:rsidRDefault="005F400D" w:rsidP="008C4FE7">
            <w:pPr>
              <w:spacing w:after="0"/>
              <w:jc w:val="center"/>
              <w:rPr>
                <w:rFonts w:ascii="Times New Roman" w:hAnsi="Times New Roman"/>
                <w:snapToGrid w:val="0"/>
                <w:sz w:val="18"/>
                <w:szCs w:val="18"/>
              </w:rPr>
            </w:pPr>
            <w:r w:rsidRPr="00644471">
              <w:rPr>
                <w:sz w:val="18"/>
                <w:szCs w:val="18"/>
              </w:rPr>
              <w:t>598</w:t>
            </w:r>
            <w:r>
              <w:rPr>
                <w:sz w:val="18"/>
                <w:szCs w:val="18"/>
              </w:rPr>
              <w:t xml:space="preserve"> </w:t>
            </w:r>
            <w:r w:rsidRPr="00644471">
              <w:rPr>
                <w:sz w:val="18"/>
                <w:szCs w:val="18"/>
              </w:rPr>
              <w:t xml:space="preserve">800 </w:t>
            </w:r>
          </w:p>
        </w:tc>
        <w:tc>
          <w:tcPr>
            <w:tcW w:w="386" w:type="pct"/>
            <w:vAlign w:val="bottom"/>
          </w:tcPr>
          <w:p w14:paraId="1B9D48DF" w14:textId="77777777" w:rsidR="005F400D" w:rsidRPr="00644471" w:rsidRDefault="005F400D" w:rsidP="008C4FE7">
            <w:pPr>
              <w:spacing w:after="0"/>
              <w:jc w:val="center"/>
              <w:rPr>
                <w:rFonts w:ascii="Times New Roman" w:hAnsi="Times New Roman"/>
                <w:snapToGrid w:val="0"/>
                <w:sz w:val="18"/>
                <w:szCs w:val="18"/>
              </w:rPr>
            </w:pPr>
            <w:r w:rsidRPr="00644471">
              <w:rPr>
                <w:sz w:val="18"/>
                <w:szCs w:val="18"/>
              </w:rPr>
              <w:t>500</w:t>
            </w:r>
            <w:r>
              <w:rPr>
                <w:sz w:val="18"/>
                <w:szCs w:val="18"/>
              </w:rPr>
              <w:t xml:space="preserve"> </w:t>
            </w:r>
            <w:r w:rsidRPr="00644471">
              <w:rPr>
                <w:sz w:val="18"/>
                <w:szCs w:val="18"/>
              </w:rPr>
              <w:t xml:space="preserve">400 </w:t>
            </w:r>
          </w:p>
        </w:tc>
        <w:tc>
          <w:tcPr>
            <w:tcW w:w="384" w:type="pct"/>
            <w:vAlign w:val="bottom"/>
          </w:tcPr>
          <w:p w14:paraId="7C0147AF"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75</w:t>
            </w:r>
          </w:p>
        </w:tc>
      </w:tr>
      <w:tr w:rsidR="005F400D" w:rsidRPr="00E4515F" w14:paraId="0CA7BC00" w14:textId="77777777" w:rsidTr="000243B1">
        <w:trPr>
          <w:trHeight w:val="455"/>
        </w:trPr>
        <w:tc>
          <w:tcPr>
            <w:tcW w:w="916" w:type="pct"/>
            <w:vAlign w:val="bottom"/>
          </w:tcPr>
          <w:p w14:paraId="1088CC6C" w14:textId="77777777" w:rsidR="005F400D" w:rsidRPr="00E4515F" w:rsidRDefault="005F400D" w:rsidP="008C4FE7">
            <w:pPr>
              <w:spacing w:after="0"/>
              <w:rPr>
                <w:snapToGrid w:val="0"/>
                <w:sz w:val="18"/>
                <w:szCs w:val="18"/>
                <w:vertAlign w:val="superscript"/>
              </w:rPr>
            </w:pPr>
            <w:r>
              <w:rPr>
                <w:snapToGrid w:val="0"/>
                <w:sz w:val="18"/>
                <w:szCs w:val="18"/>
              </w:rPr>
              <w:t>Spekter-området ekskl. statlige eide helseforetak</w:t>
            </w:r>
          </w:p>
        </w:tc>
        <w:tc>
          <w:tcPr>
            <w:tcW w:w="281" w:type="pct"/>
            <w:vAlign w:val="bottom"/>
          </w:tcPr>
          <w:p w14:paraId="6B170706" w14:textId="77777777" w:rsidR="005F400D" w:rsidRPr="00E4515F" w:rsidRDefault="005F400D" w:rsidP="008C4FE7">
            <w:pPr>
              <w:spacing w:after="0"/>
              <w:jc w:val="center"/>
              <w:rPr>
                <w:snapToGrid w:val="0"/>
                <w:sz w:val="18"/>
                <w:szCs w:val="18"/>
              </w:rPr>
            </w:pPr>
            <w:r>
              <w:rPr>
                <w:snapToGrid w:val="0"/>
                <w:sz w:val="18"/>
                <w:szCs w:val="18"/>
              </w:rPr>
              <w:t>93,1</w:t>
            </w:r>
          </w:p>
        </w:tc>
        <w:tc>
          <w:tcPr>
            <w:tcW w:w="282" w:type="pct"/>
            <w:vAlign w:val="bottom"/>
          </w:tcPr>
          <w:p w14:paraId="6D756F6E" w14:textId="77777777" w:rsidR="005F400D" w:rsidRPr="00E4515F" w:rsidRDefault="005F400D" w:rsidP="008C4FE7">
            <w:pPr>
              <w:spacing w:after="0"/>
              <w:jc w:val="center"/>
              <w:rPr>
                <w:snapToGrid w:val="0"/>
                <w:sz w:val="18"/>
                <w:szCs w:val="18"/>
              </w:rPr>
            </w:pPr>
            <w:r>
              <w:rPr>
                <w:snapToGrid w:val="0"/>
                <w:sz w:val="18"/>
                <w:szCs w:val="18"/>
              </w:rPr>
              <w:t>94,1</w:t>
            </w:r>
          </w:p>
        </w:tc>
        <w:tc>
          <w:tcPr>
            <w:tcW w:w="282" w:type="pct"/>
            <w:vAlign w:val="bottom"/>
          </w:tcPr>
          <w:p w14:paraId="4D40D1B6" w14:textId="77777777" w:rsidR="005F400D" w:rsidRPr="00E4515F" w:rsidRDefault="005F400D" w:rsidP="008C4FE7">
            <w:pPr>
              <w:spacing w:after="0"/>
              <w:jc w:val="center"/>
              <w:rPr>
                <w:snapToGrid w:val="0"/>
                <w:sz w:val="18"/>
                <w:szCs w:val="18"/>
              </w:rPr>
            </w:pPr>
            <w:r>
              <w:rPr>
                <w:snapToGrid w:val="0"/>
                <w:sz w:val="18"/>
                <w:szCs w:val="18"/>
              </w:rPr>
              <w:t>94,3</w:t>
            </w:r>
          </w:p>
        </w:tc>
        <w:tc>
          <w:tcPr>
            <w:tcW w:w="282" w:type="pct"/>
            <w:vAlign w:val="bottom"/>
          </w:tcPr>
          <w:p w14:paraId="4ABA0B9B" w14:textId="77777777" w:rsidR="005F400D" w:rsidRPr="00E4515F" w:rsidRDefault="005F400D" w:rsidP="008C4FE7">
            <w:pPr>
              <w:spacing w:after="0"/>
              <w:jc w:val="center"/>
              <w:rPr>
                <w:snapToGrid w:val="0"/>
                <w:sz w:val="18"/>
                <w:szCs w:val="18"/>
              </w:rPr>
            </w:pPr>
            <w:r>
              <w:rPr>
                <w:snapToGrid w:val="0"/>
                <w:sz w:val="18"/>
                <w:szCs w:val="18"/>
              </w:rPr>
              <w:t>93,6</w:t>
            </w:r>
          </w:p>
        </w:tc>
        <w:tc>
          <w:tcPr>
            <w:tcW w:w="288" w:type="pct"/>
            <w:vAlign w:val="bottom"/>
          </w:tcPr>
          <w:p w14:paraId="5E5C2701" w14:textId="77777777" w:rsidR="005F400D" w:rsidRPr="00E4515F" w:rsidRDefault="005F400D" w:rsidP="008C4FE7">
            <w:pPr>
              <w:spacing w:after="0"/>
              <w:jc w:val="center"/>
              <w:rPr>
                <w:snapToGrid w:val="0"/>
                <w:sz w:val="18"/>
                <w:szCs w:val="18"/>
              </w:rPr>
            </w:pPr>
            <w:r>
              <w:rPr>
                <w:snapToGrid w:val="0"/>
                <w:sz w:val="18"/>
                <w:szCs w:val="18"/>
              </w:rPr>
              <w:t>94,2</w:t>
            </w:r>
          </w:p>
        </w:tc>
        <w:tc>
          <w:tcPr>
            <w:tcW w:w="288" w:type="pct"/>
            <w:vAlign w:val="bottom"/>
          </w:tcPr>
          <w:p w14:paraId="10512835" w14:textId="77777777" w:rsidR="005F400D" w:rsidRPr="00E4515F" w:rsidRDefault="005F400D" w:rsidP="008C4FE7">
            <w:pPr>
              <w:spacing w:after="0"/>
              <w:jc w:val="center"/>
              <w:rPr>
                <w:snapToGrid w:val="0"/>
                <w:sz w:val="18"/>
                <w:szCs w:val="18"/>
              </w:rPr>
            </w:pPr>
            <w:r>
              <w:rPr>
                <w:snapToGrid w:val="0"/>
                <w:sz w:val="18"/>
                <w:szCs w:val="18"/>
              </w:rPr>
              <w:t>95,1</w:t>
            </w:r>
          </w:p>
        </w:tc>
        <w:tc>
          <w:tcPr>
            <w:tcW w:w="282" w:type="pct"/>
            <w:vAlign w:val="bottom"/>
          </w:tcPr>
          <w:p w14:paraId="148040BD" w14:textId="77777777" w:rsidR="005F400D" w:rsidRPr="00E4515F" w:rsidRDefault="005F400D" w:rsidP="008C4FE7">
            <w:pPr>
              <w:spacing w:after="0"/>
              <w:jc w:val="center"/>
              <w:rPr>
                <w:snapToGrid w:val="0"/>
                <w:sz w:val="18"/>
                <w:szCs w:val="18"/>
              </w:rPr>
            </w:pPr>
            <w:r>
              <w:rPr>
                <w:snapToGrid w:val="0"/>
                <w:sz w:val="18"/>
                <w:szCs w:val="18"/>
              </w:rPr>
              <w:t>96,0</w:t>
            </w:r>
          </w:p>
        </w:tc>
        <w:tc>
          <w:tcPr>
            <w:tcW w:w="282" w:type="pct"/>
            <w:vAlign w:val="bottom"/>
          </w:tcPr>
          <w:p w14:paraId="17405114" w14:textId="77777777" w:rsidR="005F400D" w:rsidRPr="00E4515F" w:rsidRDefault="005F400D" w:rsidP="008C4FE7">
            <w:pPr>
              <w:spacing w:after="0"/>
              <w:jc w:val="center"/>
              <w:rPr>
                <w:snapToGrid w:val="0"/>
                <w:sz w:val="18"/>
                <w:szCs w:val="18"/>
              </w:rPr>
            </w:pPr>
            <w:r>
              <w:rPr>
                <w:snapToGrid w:val="0"/>
                <w:sz w:val="18"/>
                <w:szCs w:val="18"/>
              </w:rPr>
              <w:t>96,3</w:t>
            </w:r>
          </w:p>
        </w:tc>
        <w:tc>
          <w:tcPr>
            <w:tcW w:w="282" w:type="pct"/>
            <w:vAlign w:val="bottom"/>
          </w:tcPr>
          <w:p w14:paraId="19732B82" w14:textId="77777777" w:rsidR="005F400D" w:rsidRDefault="005F400D" w:rsidP="008C4FE7">
            <w:pPr>
              <w:spacing w:after="0"/>
              <w:jc w:val="center"/>
              <w:rPr>
                <w:snapToGrid w:val="0"/>
                <w:sz w:val="18"/>
                <w:szCs w:val="18"/>
              </w:rPr>
            </w:pPr>
            <w:r>
              <w:rPr>
                <w:snapToGrid w:val="0"/>
                <w:sz w:val="18"/>
                <w:szCs w:val="18"/>
              </w:rPr>
              <w:t>96,8</w:t>
            </w:r>
          </w:p>
        </w:tc>
        <w:tc>
          <w:tcPr>
            <w:tcW w:w="382" w:type="pct"/>
            <w:vAlign w:val="bottom"/>
          </w:tcPr>
          <w:p w14:paraId="7258D963" w14:textId="77777777" w:rsidR="005F400D" w:rsidRDefault="005F400D" w:rsidP="008C4FE7">
            <w:pPr>
              <w:spacing w:after="0"/>
              <w:jc w:val="center"/>
              <w:rPr>
                <w:snapToGrid w:val="0"/>
                <w:sz w:val="18"/>
                <w:szCs w:val="18"/>
              </w:rPr>
            </w:pPr>
            <w:r>
              <w:rPr>
                <w:snapToGrid w:val="0"/>
                <w:sz w:val="18"/>
                <w:szCs w:val="18"/>
              </w:rPr>
              <w:t>96,8</w:t>
            </w:r>
          </w:p>
        </w:tc>
        <w:tc>
          <w:tcPr>
            <w:tcW w:w="382" w:type="pct"/>
            <w:vAlign w:val="bottom"/>
          </w:tcPr>
          <w:p w14:paraId="5598AFE3"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503 600</w:t>
            </w:r>
          </w:p>
        </w:tc>
        <w:tc>
          <w:tcPr>
            <w:tcW w:w="386" w:type="pct"/>
            <w:vAlign w:val="bottom"/>
          </w:tcPr>
          <w:p w14:paraId="5DA07A4B"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487 500</w:t>
            </w:r>
          </w:p>
        </w:tc>
        <w:tc>
          <w:tcPr>
            <w:tcW w:w="384" w:type="pct"/>
            <w:vAlign w:val="bottom"/>
          </w:tcPr>
          <w:p w14:paraId="70807F7C" w14:textId="77777777" w:rsidR="005F400D" w:rsidRPr="00C015D7" w:rsidRDefault="005F400D" w:rsidP="008C4FE7">
            <w:pPr>
              <w:spacing w:after="0"/>
              <w:jc w:val="center"/>
              <w:rPr>
                <w:rFonts w:ascii="Times New Roman" w:hAnsi="Times New Roman"/>
                <w:snapToGrid w:val="0"/>
                <w:sz w:val="18"/>
                <w:szCs w:val="18"/>
              </w:rPr>
            </w:pPr>
            <w:r>
              <w:rPr>
                <w:rFonts w:ascii="Times New Roman" w:hAnsi="Times New Roman"/>
                <w:snapToGrid w:val="0"/>
                <w:sz w:val="18"/>
                <w:szCs w:val="18"/>
              </w:rPr>
              <w:t>36</w:t>
            </w:r>
          </w:p>
        </w:tc>
      </w:tr>
    </w:tbl>
    <w:p w14:paraId="19E3FA88" w14:textId="77777777" w:rsidR="005F400D" w:rsidRDefault="005F400D" w:rsidP="00201293">
      <w:pPr>
        <w:pStyle w:val="tabell-noter"/>
        <w:numPr>
          <w:ilvl w:val="0"/>
          <w:numId w:val="51"/>
        </w:numPr>
        <w:tabs>
          <w:tab w:val="clear" w:pos="284"/>
          <w:tab w:val="clear" w:pos="720"/>
          <w:tab w:val="num" w:pos="360"/>
        </w:tabs>
        <w:spacing w:before="0" w:after="0"/>
        <w:ind w:left="360"/>
        <w:rPr>
          <w:iCs/>
          <w:snapToGrid w:val="0"/>
        </w:rPr>
      </w:pPr>
      <w:r w:rsidRPr="00125F77">
        <w:rPr>
          <w:iCs/>
          <w:snapToGrid w:val="0"/>
        </w:rPr>
        <w:t>Årslønn eksklusive overtidstillegg, men inklusive andre tillegg.</w:t>
      </w:r>
    </w:p>
    <w:p w14:paraId="5A0F0587" w14:textId="77777777" w:rsidR="005F400D" w:rsidRDefault="005F400D" w:rsidP="00201293">
      <w:pPr>
        <w:pStyle w:val="tabell-noter"/>
        <w:numPr>
          <w:ilvl w:val="0"/>
          <w:numId w:val="51"/>
        </w:numPr>
        <w:tabs>
          <w:tab w:val="clear" w:pos="284"/>
          <w:tab w:val="clear" w:pos="720"/>
          <w:tab w:val="num" w:pos="360"/>
        </w:tabs>
        <w:spacing w:after="0"/>
        <w:ind w:left="360"/>
        <w:rPr>
          <w:iCs/>
          <w:snapToGrid w:val="0"/>
        </w:rPr>
      </w:pPr>
      <w:r w:rsidRPr="00125F77">
        <w:rPr>
          <w:iCs/>
          <w:snapToGrid w:val="0"/>
        </w:rPr>
        <w:t>Andel heltidsansatte kvinner/årsverk kvinner innenfor det enkelte område</w:t>
      </w:r>
      <w:r>
        <w:rPr>
          <w:iCs/>
          <w:snapToGrid w:val="0"/>
        </w:rPr>
        <w:t>t.</w:t>
      </w:r>
    </w:p>
    <w:p w14:paraId="0D53E8E2" w14:textId="77777777" w:rsidR="005F400D" w:rsidRPr="00822A66" w:rsidRDefault="005F400D" w:rsidP="00201293">
      <w:pPr>
        <w:pStyle w:val="tabell-noter"/>
        <w:numPr>
          <w:ilvl w:val="0"/>
          <w:numId w:val="51"/>
        </w:numPr>
        <w:tabs>
          <w:tab w:val="clear" w:pos="284"/>
          <w:tab w:val="clear" w:pos="720"/>
          <w:tab w:val="num" w:pos="360"/>
        </w:tabs>
        <w:spacing w:after="0"/>
        <w:ind w:left="360"/>
        <w:rPr>
          <w:iCs/>
          <w:snapToGrid w:val="0"/>
        </w:rPr>
      </w:pPr>
      <w:r w:rsidRPr="00822A66">
        <w:t>Tallene er beregnet etter ny næringsstandard fra og med dette året. Sammenlignet med tidligere år vil det være et brudd i tidsserien.</w:t>
      </w:r>
    </w:p>
    <w:p w14:paraId="6719DB99" w14:textId="77777777" w:rsidR="005F400D" w:rsidRDefault="005F400D" w:rsidP="00201293">
      <w:pPr>
        <w:pStyle w:val="tabell-noter"/>
        <w:numPr>
          <w:ilvl w:val="0"/>
          <w:numId w:val="51"/>
        </w:numPr>
        <w:tabs>
          <w:tab w:val="clear" w:pos="284"/>
          <w:tab w:val="clear" w:pos="720"/>
          <w:tab w:val="num" w:pos="360"/>
        </w:tabs>
        <w:spacing w:before="0" w:after="0"/>
        <w:ind w:left="360"/>
        <w:rPr>
          <w:iCs/>
        </w:rPr>
      </w:pPr>
      <w:r>
        <w:rPr>
          <w:iCs/>
          <w:snapToGrid w:val="0"/>
        </w:rPr>
        <w:t>Gjelder heltidsansatte</w:t>
      </w:r>
      <w:r w:rsidRPr="00125F77">
        <w:rPr>
          <w:iCs/>
          <w:snapToGrid w:val="0"/>
        </w:rPr>
        <w:t>.</w:t>
      </w:r>
    </w:p>
    <w:p w14:paraId="660A70F2" w14:textId="77777777" w:rsidR="005F400D" w:rsidRDefault="005F400D" w:rsidP="00201293">
      <w:pPr>
        <w:pStyle w:val="tabell-noter"/>
        <w:numPr>
          <w:ilvl w:val="0"/>
          <w:numId w:val="51"/>
        </w:numPr>
        <w:tabs>
          <w:tab w:val="clear" w:pos="284"/>
          <w:tab w:val="clear" w:pos="720"/>
          <w:tab w:val="num" w:pos="360"/>
        </w:tabs>
        <w:spacing w:before="0" w:after="0"/>
        <w:ind w:left="360"/>
        <w:rPr>
          <w:iCs/>
        </w:rPr>
      </w:pPr>
      <w:r w:rsidRPr="00125F77">
        <w:rPr>
          <w:iCs/>
        </w:rPr>
        <w:t>Omfatter heltidsansatte i bank og forsikring, (Norges Bank er ikke inkludert). Statistikken omfatter noe mer enn tariffområdet for bank og forsikring.</w:t>
      </w:r>
    </w:p>
    <w:p w14:paraId="399BD120" w14:textId="43460667" w:rsidR="005F400D" w:rsidRDefault="005F400D" w:rsidP="00201293">
      <w:pPr>
        <w:pStyle w:val="tabell-noter"/>
        <w:numPr>
          <w:ilvl w:val="0"/>
          <w:numId w:val="51"/>
        </w:numPr>
        <w:tabs>
          <w:tab w:val="clear" w:pos="284"/>
          <w:tab w:val="clear" w:pos="720"/>
          <w:tab w:val="num" w:pos="360"/>
        </w:tabs>
        <w:spacing w:after="0"/>
        <w:ind w:left="360"/>
        <w:rPr>
          <w:iCs/>
        </w:rPr>
      </w:pPr>
      <w:r>
        <w:rPr>
          <w:iCs/>
        </w:rPr>
        <w:t>Undervisningspersonale i skoleverket ble overført fra det statlige tariffområdet til det kommunal</w:t>
      </w:r>
      <w:r w:rsidR="001A34C7">
        <w:rPr>
          <w:iCs/>
        </w:rPr>
        <w:t>e</w:t>
      </w:r>
      <w:r>
        <w:rPr>
          <w:iCs/>
        </w:rPr>
        <w:t>/fylkes</w:t>
      </w:r>
      <w:r w:rsidR="00201293">
        <w:rPr>
          <w:iCs/>
        </w:rPr>
        <w:t>-</w:t>
      </w:r>
      <w:r>
        <w:rPr>
          <w:iCs/>
        </w:rPr>
        <w:t xml:space="preserve">kommunale tariffområdet fra og med 1. mai 2004. </w:t>
      </w:r>
      <w:r w:rsidRPr="00125F77">
        <w:rPr>
          <w:iCs/>
        </w:rPr>
        <w:t>Oslo kommune er inkludert fra og med 2006</w:t>
      </w:r>
      <w:r>
        <w:rPr>
          <w:iCs/>
        </w:rPr>
        <w:t>.</w:t>
      </w:r>
    </w:p>
    <w:p w14:paraId="29B290F8" w14:textId="77777777" w:rsidR="005F400D" w:rsidRDefault="005F400D" w:rsidP="00201293">
      <w:pPr>
        <w:pStyle w:val="tabell-noter"/>
        <w:numPr>
          <w:ilvl w:val="0"/>
          <w:numId w:val="51"/>
        </w:numPr>
        <w:tabs>
          <w:tab w:val="clear" w:pos="284"/>
          <w:tab w:val="clear" w:pos="720"/>
          <w:tab w:val="num" w:pos="360"/>
        </w:tabs>
        <w:spacing w:after="0"/>
        <w:ind w:left="360"/>
        <w:rPr>
          <w:iCs/>
        </w:rPr>
      </w:pPr>
      <w:r w:rsidRPr="00125F77">
        <w:rPr>
          <w:iCs/>
        </w:rPr>
        <w:t xml:space="preserve">Månedslønn per </w:t>
      </w:r>
      <w:r>
        <w:rPr>
          <w:iCs/>
        </w:rPr>
        <w:t>oktober</w:t>
      </w:r>
      <w:r w:rsidRPr="00125F77">
        <w:rPr>
          <w:iCs/>
        </w:rPr>
        <w:t>*12</w:t>
      </w:r>
      <w:r>
        <w:rPr>
          <w:iCs/>
        </w:rPr>
        <w:t xml:space="preserve"> fra og med 2007.</w:t>
      </w:r>
    </w:p>
    <w:p w14:paraId="4270337D" w14:textId="77777777" w:rsidR="005F400D" w:rsidRDefault="005F400D" w:rsidP="00201293">
      <w:pPr>
        <w:pStyle w:val="tabell-noter"/>
        <w:numPr>
          <w:ilvl w:val="0"/>
          <w:numId w:val="51"/>
        </w:numPr>
        <w:tabs>
          <w:tab w:val="clear" w:pos="284"/>
          <w:tab w:val="clear" w:pos="720"/>
          <w:tab w:val="num" w:pos="360"/>
        </w:tabs>
        <w:spacing w:after="0"/>
        <w:ind w:left="360"/>
      </w:pPr>
      <w:r>
        <w:rPr>
          <w:iCs/>
        </w:rPr>
        <w:t xml:space="preserve">Månedslønn per </w:t>
      </w:r>
      <w:r>
        <w:t>1. desember *12 fra og med 2008.</w:t>
      </w:r>
    </w:p>
    <w:p w14:paraId="6574217E" w14:textId="77777777" w:rsidR="005F400D" w:rsidRDefault="005F400D" w:rsidP="00201293">
      <w:pPr>
        <w:pStyle w:val="tabell-noter"/>
        <w:numPr>
          <w:ilvl w:val="0"/>
          <w:numId w:val="51"/>
        </w:numPr>
        <w:tabs>
          <w:tab w:val="clear" w:pos="284"/>
          <w:tab w:val="clear" w:pos="720"/>
          <w:tab w:val="num" w:pos="360"/>
        </w:tabs>
        <w:spacing w:after="0"/>
        <w:ind w:left="360"/>
      </w:pPr>
      <w:r w:rsidRPr="00400FDD">
        <w:t xml:space="preserve">Tallet for ansatte i </w:t>
      </w:r>
      <w:r>
        <w:t>Virke</w:t>
      </w:r>
      <w:r w:rsidRPr="00400FDD">
        <w:t xml:space="preserve">-bedrifter </w:t>
      </w:r>
      <w:r>
        <w:t>i varehandelen fra og med</w:t>
      </w:r>
      <w:r w:rsidRPr="00400FDD">
        <w:t xml:space="preserve"> 2008 er ikke sammenliknbart med tallene for foregående år. Lønnsstatistikken er lagt om ved at populasjonen er utvidet med nye ledergrupper fom 2008. Disse gruppene har en klar overvekt av menn. Inkludering av disse gruppene medfører et nivåskift i tabellen, dvs. at kvinners lønn som andel av menns lønn blir lavere som følge av denne omleggingen</w:t>
      </w:r>
      <w:r>
        <w:t>.</w:t>
      </w:r>
    </w:p>
    <w:p w14:paraId="3335CBDF" w14:textId="77777777" w:rsidR="005F400D" w:rsidRPr="00EA0201" w:rsidRDefault="005F400D" w:rsidP="00201293">
      <w:pPr>
        <w:pStyle w:val="tabell-noter"/>
        <w:numPr>
          <w:ilvl w:val="0"/>
          <w:numId w:val="51"/>
        </w:numPr>
        <w:tabs>
          <w:tab w:val="clear" w:pos="284"/>
          <w:tab w:val="clear" w:pos="720"/>
          <w:tab w:val="num" w:pos="360"/>
        </w:tabs>
        <w:spacing w:after="0"/>
        <w:ind w:left="360"/>
        <w:rPr>
          <w:iCs/>
        </w:rPr>
      </w:pPr>
      <w:r w:rsidRPr="00EA0201">
        <w:rPr>
          <w:iCs/>
        </w:rPr>
        <w:t xml:space="preserve">Kvinners andel av menns lønn er fra og med 2009 påvirket av ny beregningsmetode. Tallet for 2010 er påvirket av ny arbeidstidsavtale for politi- og lensmannsetaten. For 2013 og 2014 er det for statsansatte foretatt korrigeringer i lønnsdataene for forsvaret i forhold til publiserte lønnsdata fra </w:t>
      </w:r>
      <w:r w:rsidR="00573205" w:rsidRPr="00EA0201">
        <w:rPr>
          <w:iCs/>
        </w:rPr>
        <w:t>Statistisk sentralbyrå</w:t>
      </w:r>
      <w:r w:rsidRPr="00EA0201">
        <w:rPr>
          <w:iCs/>
        </w:rPr>
        <w:t>.</w:t>
      </w:r>
    </w:p>
    <w:p w14:paraId="31DAEF79" w14:textId="77777777" w:rsidR="005F400D" w:rsidRPr="00EA0201" w:rsidRDefault="005F400D" w:rsidP="00201293">
      <w:pPr>
        <w:pStyle w:val="tabell-noter"/>
        <w:numPr>
          <w:ilvl w:val="0"/>
          <w:numId w:val="51"/>
        </w:numPr>
        <w:tabs>
          <w:tab w:val="clear" w:pos="284"/>
          <w:tab w:val="clear" w:pos="720"/>
          <w:tab w:val="num" w:pos="360"/>
        </w:tabs>
        <w:spacing w:after="0"/>
        <w:ind w:left="360"/>
        <w:rPr>
          <w:iCs/>
        </w:rPr>
      </w:pPr>
      <w:r w:rsidRPr="00EA0201">
        <w:rPr>
          <w:iCs/>
        </w:rPr>
        <w:t xml:space="preserve">Månedslønn per 1. oktober*12 (heltidsekvivalenter). </w:t>
      </w:r>
    </w:p>
    <w:p w14:paraId="3721B70B" w14:textId="77777777" w:rsidR="0084147D" w:rsidRDefault="005F400D" w:rsidP="00EA0201">
      <w:pPr>
        <w:pStyle w:val="Kilde"/>
      </w:pPr>
      <w:r w:rsidRPr="002839AF">
        <w:rPr>
          <w:snapToGrid w:val="0"/>
        </w:rPr>
        <w:t>Kilde</w:t>
      </w:r>
      <w:r>
        <w:rPr>
          <w:snapToGrid w:val="0"/>
        </w:rPr>
        <w:t>r</w:t>
      </w:r>
      <w:r w:rsidRPr="002839AF">
        <w:rPr>
          <w:snapToGrid w:val="0"/>
        </w:rPr>
        <w:t>: Statistisk sentralbyrå og Beregningsutvalget</w:t>
      </w:r>
      <w:r>
        <w:rPr>
          <w:snapToGrid w:val="0"/>
        </w:rPr>
        <w:t>.</w:t>
      </w:r>
      <w:r>
        <w:rPr>
          <w:snapToGrid w:val="0"/>
        </w:rPr>
        <w:br/>
      </w:r>
    </w:p>
    <w:p w14:paraId="400A554F" w14:textId="77777777" w:rsidR="005F400D" w:rsidRDefault="005F400D" w:rsidP="005F400D">
      <w:pPr>
        <w:pStyle w:val="avsnitt-tit"/>
      </w:pPr>
      <w:r w:rsidRPr="002839AF">
        <w:rPr>
          <w:snapToGrid w:val="0"/>
        </w:rPr>
        <w:t>L</w:t>
      </w:r>
      <w:r>
        <w:t xml:space="preserve">ønnsforskjellen mellom alle sysselsatte kvinner og menn </w:t>
      </w:r>
    </w:p>
    <w:p w14:paraId="67778745" w14:textId="77777777" w:rsidR="005F400D" w:rsidRDefault="005F400D" w:rsidP="005F400D">
      <w:pPr>
        <w:rPr>
          <w:snapToGrid w:val="0"/>
        </w:rPr>
      </w:pPr>
      <w:r>
        <w:rPr>
          <w:snapToGrid w:val="0"/>
        </w:rPr>
        <w:t>Når en veier alle grupper sammen, får en et samletall som uttrykker de totale lønnsforskjellene mellom kvinner og menn i Norge. I tabell 1.14 presenteres tre ulike måter å beregne dette på: Gjennomsnittslønn for heltidsansatte, gjennomsnittlig lønn per årsverk og medianlønn for heltidsansatte. Median</w:t>
      </w:r>
      <w:r w:rsidRPr="0024528A">
        <w:rPr>
          <w:snapToGrid w:val="0"/>
        </w:rPr>
        <w:t xml:space="preserve">lønn finner en ved å sortere lønnen for lønnstakere etter størrelse </w:t>
      </w:r>
      <w:r>
        <w:rPr>
          <w:snapToGrid w:val="0"/>
        </w:rPr>
        <w:t xml:space="preserve">på lønnen </w:t>
      </w:r>
      <w:r w:rsidRPr="0024528A">
        <w:rPr>
          <w:snapToGrid w:val="0"/>
        </w:rPr>
        <w:t>og så finne lønnsnivået for den personen som blir liggende i midten.</w:t>
      </w:r>
      <w:r>
        <w:rPr>
          <w:snapToGrid w:val="0"/>
        </w:rPr>
        <w:t xml:space="preserve"> Ved en slik beregningsmetode vil de høyeste og laveste lønnsnivåene være uten betydning. </w:t>
      </w:r>
    </w:p>
    <w:p w14:paraId="6F8D5E85" w14:textId="77777777" w:rsidR="005F400D" w:rsidRDefault="005F400D" w:rsidP="005F400D">
      <w:pPr>
        <w:rPr>
          <w:snapToGrid w:val="0"/>
          <w:color w:val="000000"/>
        </w:rPr>
      </w:pPr>
      <w:r>
        <w:rPr>
          <w:snapToGrid w:val="0"/>
        </w:rPr>
        <w:t>Det har vært en reduksjon i forskjellen mellom kvinners og menns gjennomsnittlige lønn målt ved alle disse tre begrepene det siste året. Tilnærmingen reverserte tilbakegangen fra 2012 til 2013. Fra 2013 til 2014 ble lønnsforskjellen mellom heltidsansatte kvinner og menn redusert med 0,5 prosentpoeng.  Kvinnene tjente i gjennomsnitt 88,4 prosent av menns lønn i 2014 mot 87,9 prosent i 2013</w:t>
      </w:r>
      <w:r w:rsidR="00D71CBB">
        <w:rPr>
          <w:snapToGrid w:val="0"/>
        </w:rPr>
        <w:t xml:space="preserve"> </w:t>
      </w:r>
      <w:r>
        <w:rPr>
          <w:snapToGrid w:val="0"/>
        </w:rPr>
        <w:t xml:space="preserve">(tabell 1.14). </w:t>
      </w:r>
    </w:p>
    <w:p w14:paraId="1D700935" w14:textId="77777777" w:rsidR="005F400D" w:rsidRDefault="005F400D" w:rsidP="005F400D">
      <w:r>
        <w:rPr>
          <w:snapToGrid w:val="0"/>
          <w:color w:val="000000"/>
        </w:rPr>
        <w:t xml:space="preserve">Når deltid inkluderes, ble lønnsforskjellene redusert med 0,6 prosentpoeng fra 85,8 prosent til 86,4 prosent fra 2013 til 2014. </w:t>
      </w:r>
    </w:p>
    <w:p w14:paraId="6E1DF784" w14:textId="51D1CB21" w:rsidR="005F400D" w:rsidRDefault="005F400D" w:rsidP="005F400D">
      <w:pPr>
        <w:rPr>
          <w:snapToGrid w:val="0"/>
          <w:color w:val="000000"/>
        </w:rPr>
      </w:pPr>
      <w:r>
        <w:t xml:space="preserve">Målt ved medianlønn har de relative </w:t>
      </w:r>
      <w:r>
        <w:rPr>
          <w:snapToGrid w:val="0"/>
          <w:color w:val="000000"/>
        </w:rPr>
        <w:t xml:space="preserve">lønnsforskjellene mellom kvinner og menn blitt redusert med 0,9 prosentpoeng, fra 93,4 til 94,3 prosent. </w:t>
      </w:r>
      <w:r w:rsidRPr="001966C4">
        <w:t xml:space="preserve">Ved å sammenligne medianlønn i stedet for </w:t>
      </w:r>
      <w:r w:rsidR="00A864A2" w:rsidRPr="001966C4">
        <w:t>gjennomsnittslønn</w:t>
      </w:r>
      <w:r w:rsidRPr="001966C4">
        <w:t>, er forskjellene mellom kvinner og menn mindre</w:t>
      </w:r>
      <w:r>
        <w:t xml:space="preserve"> enn ved de andre målene</w:t>
      </w:r>
      <w:r w:rsidRPr="001966C4">
        <w:t xml:space="preserve">. Hovedårsakene til at vi har mindre lønnsforskjeller målt på denne måten, er at menn i større grad enn kvinner er å finne blant de med høyt lønnsnivå og at flere kvinner enn menn er å finne blant de med lavt lønnsnivå. </w:t>
      </w:r>
      <w:r>
        <w:t>Høye enkeltlønninger</w:t>
      </w:r>
      <w:r w:rsidRPr="001966C4">
        <w:t xml:space="preserve"> blant menn betyr mer enn lave </w:t>
      </w:r>
      <w:r>
        <w:t>enkeltlønninger blant</w:t>
      </w:r>
      <w:r w:rsidRPr="001966C4">
        <w:t xml:space="preserve"> kvinner</w:t>
      </w:r>
      <w:r>
        <w:t xml:space="preserve">. </w:t>
      </w:r>
    </w:p>
    <w:p w14:paraId="0EAD64D0" w14:textId="77777777" w:rsidR="005F400D" w:rsidRDefault="005F400D" w:rsidP="006E305B">
      <w:pPr>
        <w:pStyle w:val="tabell-tittel"/>
        <w:numPr>
          <w:ilvl w:val="6"/>
          <w:numId w:val="50"/>
        </w:numPr>
      </w:pPr>
      <w:r>
        <w:t>Kvinners gjennomsnitt</w:t>
      </w:r>
      <w:r w:rsidR="001E3B69">
        <w:t>s</w:t>
      </w:r>
      <w:r>
        <w:t>lønn per dato</w:t>
      </w:r>
      <w:r w:rsidRPr="00F72BF1">
        <w:rPr>
          <w:rStyle w:val="skrift-hevet"/>
        </w:rPr>
        <w:t>1</w:t>
      </w:r>
      <w:r>
        <w:t xml:space="preserve"> i forhold til menns for hhv. heltidsansatte, per årsverk og medianlønn</w:t>
      </w:r>
      <w:r w:rsidRPr="00F72BF1">
        <w:rPr>
          <w:rStyle w:val="skrift-hevet"/>
        </w:rPr>
        <w:t>2</w:t>
      </w:r>
      <w:r>
        <w:tab/>
      </w:r>
    </w:p>
    <w:tbl>
      <w:tblPr>
        <w:tblW w:w="5000" w:type="pct"/>
        <w:tblCellMar>
          <w:left w:w="28" w:type="dxa"/>
          <w:right w:w="28" w:type="dxa"/>
        </w:tblCellMar>
        <w:tblLook w:val="0000" w:firstRow="0" w:lastRow="0" w:firstColumn="0" w:lastColumn="0" w:noHBand="0" w:noVBand="0"/>
      </w:tblPr>
      <w:tblGrid>
        <w:gridCol w:w="1525"/>
        <w:gridCol w:w="556"/>
        <w:gridCol w:w="556"/>
        <w:gridCol w:w="556"/>
        <w:gridCol w:w="556"/>
        <w:gridCol w:w="555"/>
        <w:gridCol w:w="555"/>
        <w:gridCol w:w="555"/>
        <w:gridCol w:w="555"/>
        <w:gridCol w:w="555"/>
        <w:gridCol w:w="555"/>
        <w:gridCol w:w="417"/>
        <w:gridCol w:w="827"/>
        <w:gridCol w:w="29"/>
        <w:gridCol w:w="718"/>
      </w:tblGrid>
      <w:tr w:rsidR="005F400D" w:rsidRPr="003E3A34" w14:paraId="3CEFED3B" w14:textId="77777777" w:rsidTr="008C4FE7">
        <w:trPr>
          <w:trHeight w:val="308"/>
        </w:trPr>
        <w:tc>
          <w:tcPr>
            <w:tcW w:w="839" w:type="pct"/>
            <w:vMerge w:val="restart"/>
            <w:tcBorders>
              <w:top w:val="single" w:sz="4" w:space="0" w:color="auto"/>
            </w:tcBorders>
            <w:vAlign w:val="bottom"/>
          </w:tcPr>
          <w:p w14:paraId="2D013BBB" w14:textId="77777777" w:rsidR="005F400D" w:rsidRPr="003E3A34" w:rsidRDefault="005F400D" w:rsidP="008C4FE7">
            <w:pPr>
              <w:spacing w:after="100" w:afterAutospacing="1"/>
              <w:ind w:right="-206"/>
              <w:rPr>
                <w:rFonts w:ascii="Times New Roman" w:hAnsi="Times New Roman"/>
                <w:sz w:val="18"/>
                <w:szCs w:val="18"/>
              </w:rPr>
            </w:pPr>
          </w:p>
        </w:tc>
        <w:tc>
          <w:tcPr>
            <w:tcW w:w="306" w:type="pct"/>
            <w:vMerge w:val="restart"/>
            <w:tcBorders>
              <w:top w:val="single" w:sz="4" w:space="0" w:color="auto"/>
            </w:tcBorders>
            <w:vAlign w:val="bottom"/>
          </w:tcPr>
          <w:p w14:paraId="235D494E"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restart"/>
            <w:tcBorders>
              <w:top w:val="single" w:sz="4" w:space="0" w:color="auto"/>
            </w:tcBorders>
            <w:vAlign w:val="bottom"/>
          </w:tcPr>
          <w:p w14:paraId="4CD1FD0B"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restart"/>
            <w:tcBorders>
              <w:top w:val="single" w:sz="4" w:space="0" w:color="auto"/>
            </w:tcBorders>
            <w:vAlign w:val="bottom"/>
          </w:tcPr>
          <w:p w14:paraId="2EE56251"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restart"/>
            <w:tcBorders>
              <w:top w:val="single" w:sz="4" w:space="0" w:color="auto"/>
              <w:right w:val="single" w:sz="4" w:space="0" w:color="auto"/>
            </w:tcBorders>
            <w:vAlign w:val="bottom"/>
          </w:tcPr>
          <w:p w14:paraId="30F996AB"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restart"/>
            <w:tcBorders>
              <w:top w:val="single" w:sz="4" w:space="0" w:color="auto"/>
              <w:left w:val="single" w:sz="4" w:space="0" w:color="auto"/>
            </w:tcBorders>
            <w:vAlign w:val="bottom"/>
          </w:tcPr>
          <w:p w14:paraId="7215DE68"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restart"/>
            <w:tcBorders>
              <w:top w:val="single" w:sz="4" w:space="0" w:color="auto"/>
            </w:tcBorders>
            <w:vAlign w:val="bottom"/>
          </w:tcPr>
          <w:p w14:paraId="4C023624"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restart"/>
            <w:tcBorders>
              <w:top w:val="single" w:sz="4" w:space="0" w:color="auto"/>
            </w:tcBorders>
            <w:vAlign w:val="bottom"/>
          </w:tcPr>
          <w:p w14:paraId="0BE3CE62"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restart"/>
            <w:tcBorders>
              <w:top w:val="single" w:sz="4" w:space="0" w:color="auto"/>
            </w:tcBorders>
            <w:vAlign w:val="bottom"/>
          </w:tcPr>
          <w:p w14:paraId="3D714E22"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restart"/>
            <w:tcBorders>
              <w:top w:val="single" w:sz="4" w:space="0" w:color="auto"/>
            </w:tcBorders>
            <w:vAlign w:val="bottom"/>
          </w:tcPr>
          <w:p w14:paraId="3ECF4199"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restart"/>
            <w:tcBorders>
              <w:top w:val="single" w:sz="4" w:space="0" w:color="auto"/>
            </w:tcBorders>
            <w:vAlign w:val="bottom"/>
          </w:tcPr>
          <w:p w14:paraId="30145CDB" w14:textId="77777777" w:rsidR="005F400D" w:rsidRPr="003E3A34" w:rsidRDefault="005F400D" w:rsidP="008C4FE7">
            <w:pPr>
              <w:spacing w:after="0"/>
              <w:jc w:val="center"/>
              <w:rPr>
                <w:rFonts w:ascii="Times New Roman" w:hAnsi="Times New Roman"/>
                <w:sz w:val="18"/>
                <w:szCs w:val="18"/>
              </w:rPr>
            </w:pPr>
          </w:p>
        </w:tc>
        <w:tc>
          <w:tcPr>
            <w:tcW w:w="230" w:type="pct"/>
            <w:vMerge w:val="restart"/>
            <w:tcBorders>
              <w:top w:val="single" w:sz="4" w:space="0" w:color="auto"/>
            </w:tcBorders>
            <w:vAlign w:val="bottom"/>
          </w:tcPr>
          <w:p w14:paraId="183B01F9" w14:textId="77777777" w:rsidR="005F400D" w:rsidRPr="003E3A34" w:rsidRDefault="005F400D" w:rsidP="008C4FE7">
            <w:pPr>
              <w:spacing w:after="0"/>
              <w:jc w:val="center"/>
              <w:rPr>
                <w:rFonts w:ascii="Times New Roman" w:hAnsi="Times New Roman"/>
                <w:sz w:val="18"/>
                <w:szCs w:val="18"/>
              </w:rPr>
            </w:pPr>
          </w:p>
        </w:tc>
        <w:tc>
          <w:tcPr>
            <w:tcW w:w="868" w:type="pct"/>
            <w:gridSpan w:val="3"/>
            <w:tcBorders>
              <w:top w:val="single" w:sz="4" w:space="0" w:color="auto"/>
            </w:tcBorders>
            <w:vAlign w:val="bottom"/>
          </w:tcPr>
          <w:p w14:paraId="2AC75AB7" w14:textId="77777777" w:rsidR="005F400D" w:rsidRPr="00B14288" w:rsidRDefault="005F400D" w:rsidP="008C4FE7">
            <w:pPr>
              <w:spacing w:after="0"/>
              <w:jc w:val="center"/>
              <w:rPr>
                <w:rFonts w:ascii="Times New Roman" w:hAnsi="Times New Roman"/>
                <w:snapToGrid w:val="0"/>
                <w:sz w:val="18"/>
                <w:szCs w:val="18"/>
                <w:u w:val="single"/>
                <w:vertAlign w:val="superscript"/>
              </w:rPr>
            </w:pPr>
            <w:r w:rsidRPr="003E3A34">
              <w:rPr>
                <w:rFonts w:ascii="Times New Roman" w:hAnsi="Times New Roman"/>
                <w:sz w:val="18"/>
                <w:szCs w:val="18"/>
              </w:rPr>
              <w:t>Månedslønn per dato</w:t>
            </w:r>
            <w:r w:rsidRPr="003E3A34">
              <w:rPr>
                <w:rFonts w:ascii="Times New Roman" w:hAnsi="Times New Roman"/>
                <w:snapToGrid w:val="0"/>
                <w:sz w:val="18"/>
                <w:szCs w:val="18"/>
                <w:vertAlign w:val="superscript"/>
              </w:rPr>
              <w:t>1</w:t>
            </w:r>
            <w:r w:rsidRPr="003E3A34">
              <w:rPr>
                <w:rFonts w:ascii="Times New Roman" w:hAnsi="Times New Roman"/>
                <w:sz w:val="18"/>
                <w:szCs w:val="18"/>
              </w:rPr>
              <w:t>*12</w:t>
            </w:r>
          </w:p>
        </w:tc>
      </w:tr>
      <w:tr w:rsidR="005F400D" w:rsidRPr="003E3A34" w14:paraId="0003EF8B" w14:textId="77777777" w:rsidTr="008C4FE7">
        <w:trPr>
          <w:trHeight w:val="307"/>
        </w:trPr>
        <w:tc>
          <w:tcPr>
            <w:tcW w:w="839" w:type="pct"/>
            <w:vMerge/>
            <w:vAlign w:val="bottom"/>
          </w:tcPr>
          <w:p w14:paraId="5B6CC69A" w14:textId="77777777" w:rsidR="005F400D" w:rsidRPr="003E3A34" w:rsidRDefault="005F400D" w:rsidP="008C4FE7">
            <w:pPr>
              <w:spacing w:after="100" w:afterAutospacing="1"/>
              <w:ind w:right="-206"/>
              <w:rPr>
                <w:rFonts w:ascii="Times New Roman" w:hAnsi="Times New Roman"/>
                <w:sz w:val="18"/>
                <w:szCs w:val="18"/>
              </w:rPr>
            </w:pPr>
          </w:p>
        </w:tc>
        <w:tc>
          <w:tcPr>
            <w:tcW w:w="306" w:type="pct"/>
            <w:vMerge/>
            <w:vAlign w:val="bottom"/>
          </w:tcPr>
          <w:p w14:paraId="770BD76F"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ign w:val="bottom"/>
          </w:tcPr>
          <w:p w14:paraId="1C54C732"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ign w:val="bottom"/>
          </w:tcPr>
          <w:p w14:paraId="7B6A8507"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tcBorders>
              <w:right w:val="single" w:sz="4" w:space="0" w:color="auto"/>
            </w:tcBorders>
            <w:vAlign w:val="bottom"/>
          </w:tcPr>
          <w:p w14:paraId="407E62C4"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tcBorders>
              <w:left w:val="single" w:sz="4" w:space="0" w:color="auto"/>
            </w:tcBorders>
            <w:vAlign w:val="bottom"/>
          </w:tcPr>
          <w:p w14:paraId="4B9FD18B"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ign w:val="bottom"/>
          </w:tcPr>
          <w:p w14:paraId="4D36A141"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ign w:val="bottom"/>
          </w:tcPr>
          <w:p w14:paraId="43D519B3"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ign w:val="bottom"/>
          </w:tcPr>
          <w:p w14:paraId="6147AEC2"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ign w:val="bottom"/>
          </w:tcPr>
          <w:p w14:paraId="1608344D" w14:textId="77777777" w:rsidR="005F400D" w:rsidRPr="003E3A34" w:rsidRDefault="005F400D" w:rsidP="008C4FE7">
            <w:pPr>
              <w:spacing w:after="100" w:afterAutospacing="1"/>
              <w:rPr>
                <w:rFonts w:ascii="Times New Roman" w:hAnsi="Times New Roman"/>
                <w:color w:val="000000"/>
                <w:sz w:val="18"/>
                <w:szCs w:val="18"/>
              </w:rPr>
            </w:pPr>
          </w:p>
        </w:tc>
        <w:tc>
          <w:tcPr>
            <w:tcW w:w="306" w:type="pct"/>
            <w:vMerge/>
            <w:vAlign w:val="bottom"/>
          </w:tcPr>
          <w:p w14:paraId="53CB300F" w14:textId="77777777" w:rsidR="005F400D" w:rsidRPr="003E3A34" w:rsidRDefault="005F400D" w:rsidP="008C4FE7">
            <w:pPr>
              <w:spacing w:after="0"/>
              <w:jc w:val="center"/>
              <w:rPr>
                <w:rFonts w:ascii="Times New Roman" w:hAnsi="Times New Roman"/>
                <w:sz w:val="18"/>
                <w:szCs w:val="18"/>
              </w:rPr>
            </w:pPr>
          </w:p>
        </w:tc>
        <w:tc>
          <w:tcPr>
            <w:tcW w:w="230" w:type="pct"/>
            <w:vMerge/>
            <w:vAlign w:val="bottom"/>
          </w:tcPr>
          <w:p w14:paraId="34FF913B" w14:textId="77777777" w:rsidR="005F400D" w:rsidRPr="003E3A34" w:rsidRDefault="005F400D" w:rsidP="008C4FE7">
            <w:pPr>
              <w:spacing w:after="0"/>
              <w:jc w:val="center"/>
              <w:rPr>
                <w:rFonts w:ascii="Times New Roman" w:hAnsi="Times New Roman"/>
                <w:sz w:val="18"/>
                <w:szCs w:val="18"/>
              </w:rPr>
            </w:pPr>
          </w:p>
        </w:tc>
        <w:tc>
          <w:tcPr>
            <w:tcW w:w="472" w:type="pct"/>
            <w:gridSpan w:val="2"/>
            <w:tcBorders>
              <w:top w:val="single" w:sz="4" w:space="0" w:color="auto"/>
            </w:tcBorders>
            <w:vAlign w:val="bottom"/>
          </w:tcPr>
          <w:p w14:paraId="4B735FD9" w14:textId="77777777" w:rsidR="005F400D" w:rsidRPr="003E3A34" w:rsidRDefault="005F400D" w:rsidP="008C4FE7">
            <w:pPr>
              <w:spacing w:after="0"/>
              <w:jc w:val="center"/>
              <w:rPr>
                <w:rFonts w:ascii="Times New Roman" w:hAnsi="Times New Roman"/>
                <w:sz w:val="18"/>
                <w:szCs w:val="18"/>
              </w:rPr>
            </w:pPr>
            <w:r>
              <w:rPr>
                <w:rFonts w:ascii="Times New Roman" w:hAnsi="Times New Roman"/>
                <w:sz w:val="18"/>
                <w:szCs w:val="18"/>
              </w:rPr>
              <w:t>Menn</w:t>
            </w:r>
          </w:p>
        </w:tc>
        <w:tc>
          <w:tcPr>
            <w:tcW w:w="396" w:type="pct"/>
            <w:tcBorders>
              <w:top w:val="single" w:sz="4" w:space="0" w:color="auto"/>
            </w:tcBorders>
            <w:vAlign w:val="bottom"/>
          </w:tcPr>
          <w:p w14:paraId="2430D263" w14:textId="77777777" w:rsidR="005F400D" w:rsidRPr="003E3A34" w:rsidRDefault="005F400D" w:rsidP="008C4FE7">
            <w:pPr>
              <w:spacing w:after="0"/>
              <w:jc w:val="center"/>
              <w:rPr>
                <w:rFonts w:ascii="Times New Roman" w:hAnsi="Times New Roman"/>
                <w:sz w:val="18"/>
                <w:szCs w:val="18"/>
              </w:rPr>
            </w:pPr>
            <w:r>
              <w:rPr>
                <w:rFonts w:ascii="Times New Roman" w:hAnsi="Times New Roman"/>
                <w:sz w:val="18"/>
                <w:szCs w:val="18"/>
              </w:rPr>
              <w:t>Kvinner</w:t>
            </w:r>
          </w:p>
        </w:tc>
      </w:tr>
      <w:tr w:rsidR="005F400D" w:rsidRPr="003E3A34" w14:paraId="05AA2DA0" w14:textId="77777777" w:rsidTr="008C4FE7">
        <w:trPr>
          <w:trHeight w:val="230"/>
        </w:trPr>
        <w:tc>
          <w:tcPr>
            <w:tcW w:w="839" w:type="pct"/>
            <w:tcBorders>
              <w:bottom w:val="single" w:sz="4" w:space="0" w:color="auto"/>
            </w:tcBorders>
            <w:vAlign w:val="bottom"/>
          </w:tcPr>
          <w:p w14:paraId="3209573A" w14:textId="77777777" w:rsidR="005F400D" w:rsidRPr="003E3A34" w:rsidRDefault="005F400D" w:rsidP="008C4FE7">
            <w:pPr>
              <w:spacing w:after="0"/>
              <w:rPr>
                <w:rFonts w:ascii="Times New Roman" w:hAnsi="Times New Roman"/>
                <w:sz w:val="18"/>
                <w:szCs w:val="18"/>
              </w:rPr>
            </w:pPr>
          </w:p>
        </w:tc>
        <w:tc>
          <w:tcPr>
            <w:tcW w:w="306" w:type="pct"/>
            <w:tcBorders>
              <w:bottom w:val="single" w:sz="4" w:space="0" w:color="auto"/>
            </w:tcBorders>
            <w:vAlign w:val="bottom"/>
          </w:tcPr>
          <w:p w14:paraId="2B641A99"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2005</w:t>
            </w:r>
          </w:p>
        </w:tc>
        <w:tc>
          <w:tcPr>
            <w:tcW w:w="306" w:type="pct"/>
            <w:tcBorders>
              <w:bottom w:val="single" w:sz="4" w:space="0" w:color="auto"/>
            </w:tcBorders>
            <w:vAlign w:val="bottom"/>
          </w:tcPr>
          <w:p w14:paraId="3A5D2EAB"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2006</w:t>
            </w:r>
          </w:p>
        </w:tc>
        <w:tc>
          <w:tcPr>
            <w:tcW w:w="306" w:type="pct"/>
            <w:tcBorders>
              <w:bottom w:val="single" w:sz="4" w:space="0" w:color="auto"/>
            </w:tcBorders>
            <w:vAlign w:val="bottom"/>
          </w:tcPr>
          <w:p w14:paraId="23D43877"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2007</w:t>
            </w:r>
          </w:p>
        </w:tc>
        <w:tc>
          <w:tcPr>
            <w:tcW w:w="306" w:type="pct"/>
            <w:tcBorders>
              <w:bottom w:val="single" w:sz="4" w:space="0" w:color="auto"/>
              <w:right w:val="single" w:sz="4" w:space="0" w:color="auto"/>
            </w:tcBorders>
            <w:vAlign w:val="bottom"/>
          </w:tcPr>
          <w:p w14:paraId="1F870366" w14:textId="77777777" w:rsidR="005F400D" w:rsidRPr="003E3A34" w:rsidRDefault="005F400D" w:rsidP="008C4FE7">
            <w:pPr>
              <w:spacing w:after="0"/>
              <w:jc w:val="center"/>
              <w:rPr>
                <w:rFonts w:ascii="Times New Roman" w:hAnsi="Times New Roman"/>
                <w:sz w:val="18"/>
                <w:szCs w:val="18"/>
              </w:rPr>
            </w:pPr>
            <w:r w:rsidRPr="003E3A34">
              <w:rPr>
                <w:rFonts w:ascii="Times New Roman" w:hAnsi="Times New Roman"/>
                <w:color w:val="000000"/>
                <w:sz w:val="18"/>
                <w:szCs w:val="18"/>
              </w:rPr>
              <w:t>2008</w:t>
            </w:r>
          </w:p>
        </w:tc>
        <w:tc>
          <w:tcPr>
            <w:tcW w:w="306" w:type="pct"/>
            <w:tcBorders>
              <w:left w:val="single" w:sz="4" w:space="0" w:color="auto"/>
              <w:bottom w:val="single" w:sz="4" w:space="0" w:color="auto"/>
            </w:tcBorders>
            <w:vAlign w:val="bottom"/>
          </w:tcPr>
          <w:p w14:paraId="199A358D" w14:textId="77777777" w:rsidR="005F400D" w:rsidRPr="00EB1692" w:rsidRDefault="005F400D" w:rsidP="008C4FE7">
            <w:pPr>
              <w:spacing w:after="0"/>
              <w:jc w:val="right"/>
              <w:rPr>
                <w:rFonts w:ascii="Times New Roman" w:hAnsi="Times New Roman"/>
                <w:sz w:val="18"/>
                <w:szCs w:val="18"/>
                <w:vertAlign w:val="superscript"/>
              </w:rPr>
            </w:pPr>
            <w:r w:rsidRPr="003E3A34">
              <w:rPr>
                <w:rFonts w:ascii="Times New Roman" w:hAnsi="Times New Roman"/>
                <w:color w:val="000000"/>
                <w:sz w:val="18"/>
                <w:szCs w:val="18"/>
              </w:rPr>
              <w:t>2008</w:t>
            </w:r>
            <w:r>
              <w:rPr>
                <w:rFonts w:ascii="Times New Roman" w:hAnsi="Times New Roman"/>
                <w:color w:val="000000"/>
                <w:sz w:val="18"/>
                <w:szCs w:val="18"/>
                <w:vertAlign w:val="superscript"/>
              </w:rPr>
              <w:t>3</w:t>
            </w:r>
          </w:p>
        </w:tc>
        <w:tc>
          <w:tcPr>
            <w:tcW w:w="306" w:type="pct"/>
            <w:tcBorders>
              <w:bottom w:val="single" w:sz="4" w:space="0" w:color="auto"/>
            </w:tcBorders>
            <w:vAlign w:val="bottom"/>
          </w:tcPr>
          <w:p w14:paraId="4C051F5D"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2009</w:t>
            </w:r>
          </w:p>
        </w:tc>
        <w:tc>
          <w:tcPr>
            <w:tcW w:w="306" w:type="pct"/>
            <w:tcBorders>
              <w:bottom w:val="single" w:sz="4" w:space="0" w:color="auto"/>
            </w:tcBorders>
            <w:vAlign w:val="bottom"/>
          </w:tcPr>
          <w:p w14:paraId="7B911503"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2010</w:t>
            </w:r>
          </w:p>
        </w:tc>
        <w:tc>
          <w:tcPr>
            <w:tcW w:w="306" w:type="pct"/>
            <w:tcBorders>
              <w:bottom w:val="single" w:sz="4" w:space="0" w:color="auto"/>
            </w:tcBorders>
            <w:vAlign w:val="bottom"/>
          </w:tcPr>
          <w:p w14:paraId="07E01951"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2011</w:t>
            </w:r>
          </w:p>
        </w:tc>
        <w:tc>
          <w:tcPr>
            <w:tcW w:w="306" w:type="pct"/>
            <w:tcBorders>
              <w:bottom w:val="single" w:sz="4" w:space="0" w:color="auto"/>
            </w:tcBorders>
            <w:vAlign w:val="bottom"/>
          </w:tcPr>
          <w:p w14:paraId="3B37EA67" w14:textId="77777777" w:rsidR="005F400D" w:rsidRDefault="005F400D" w:rsidP="008C4FE7">
            <w:pPr>
              <w:spacing w:after="0"/>
              <w:jc w:val="right"/>
              <w:rPr>
                <w:rFonts w:ascii="Times New Roman" w:hAnsi="Times New Roman"/>
                <w:sz w:val="18"/>
                <w:szCs w:val="18"/>
              </w:rPr>
            </w:pPr>
            <w:r>
              <w:rPr>
                <w:rFonts w:ascii="Times New Roman" w:hAnsi="Times New Roman"/>
                <w:sz w:val="18"/>
                <w:szCs w:val="18"/>
              </w:rPr>
              <w:t>2012</w:t>
            </w:r>
          </w:p>
        </w:tc>
        <w:tc>
          <w:tcPr>
            <w:tcW w:w="306" w:type="pct"/>
            <w:tcBorders>
              <w:bottom w:val="single" w:sz="4" w:space="0" w:color="auto"/>
            </w:tcBorders>
            <w:vAlign w:val="bottom"/>
          </w:tcPr>
          <w:p w14:paraId="6B28512D" w14:textId="77777777" w:rsidR="005F400D" w:rsidRDefault="005F400D" w:rsidP="008C4FE7">
            <w:pPr>
              <w:spacing w:after="0"/>
              <w:jc w:val="center"/>
              <w:rPr>
                <w:rFonts w:ascii="Times New Roman" w:hAnsi="Times New Roman"/>
                <w:sz w:val="18"/>
                <w:szCs w:val="18"/>
              </w:rPr>
            </w:pPr>
            <w:r>
              <w:rPr>
                <w:rFonts w:ascii="Times New Roman" w:hAnsi="Times New Roman"/>
                <w:sz w:val="18"/>
                <w:szCs w:val="18"/>
              </w:rPr>
              <w:t>2013</w:t>
            </w:r>
          </w:p>
        </w:tc>
        <w:tc>
          <w:tcPr>
            <w:tcW w:w="230" w:type="pct"/>
            <w:tcBorders>
              <w:bottom w:val="single" w:sz="4" w:space="0" w:color="auto"/>
            </w:tcBorders>
            <w:vAlign w:val="bottom"/>
          </w:tcPr>
          <w:p w14:paraId="04BF0A70" w14:textId="77777777" w:rsidR="005F400D" w:rsidRDefault="005F400D" w:rsidP="008C4FE7">
            <w:pPr>
              <w:spacing w:after="0"/>
              <w:jc w:val="center"/>
              <w:rPr>
                <w:rFonts w:ascii="Times New Roman" w:hAnsi="Times New Roman"/>
                <w:sz w:val="18"/>
                <w:szCs w:val="18"/>
              </w:rPr>
            </w:pPr>
            <w:r>
              <w:rPr>
                <w:rFonts w:ascii="Times New Roman" w:hAnsi="Times New Roman"/>
                <w:sz w:val="18"/>
                <w:szCs w:val="18"/>
              </w:rPr>
              <w:t>2014</w:t>
            </w:r>
          </w:p>
        </w:tc>
        <w:tc>
          <w:tcPr>
            <w:tcW w:w="456" w:type="pct"/>
            <w:tcBorders>
              <w:bottom w:val="single" w:sz="4" w:space="0" w:color="auto"/>
            </w:tcBorders>
            <w:vAlign w:val="bottom"/>
          </w:tcPr>
          <w:p w14:paraId="30000B22" w14:textId="77777777" w:rsidR="005F400D" w:rsidRPr="003E3A34" w:rsidRDefault="005F400D" w:rsidP="008C4FE7">
            <w:pPr>
              <w:spacing w:after="0"/>
              <w:jc w:val="center"/>
              <w:rPr>
                <w:rFonts w:ascii="Times New Roman" w:hAnsi="Times New Roman"/>
                <w:sz w:val="18"/>
                <w:szCs w:val="18"/>
              </w:rPr>
            </w:pPr>
            <w:r>
              <w:rPr>
                <w:rFonts w:ascii="Times New Roman" w:hAnsi="Times New Roman"/>
                <w:sz w:val="18"/>
                <w:szCs w:val="18"/>
              </w:rPr>
              <w:t>2014</w:t>
            </w:r>
          </w:p>
        </w:tc>
        <w:tc>
          <w:tcPr>
            <w:tcW w:w="412" w:type="pct"/>
            <w:gridSpan w:val="2"/>
            <w:tcBorders>
              <w:bottom w:val="single" w:sz="4" w:space="0" w:color="auto"/>
            </w:tcBorders>
            <w:vAlign w:val="bottom"/>
          </w:tcPr>
          <w:p w14:paraId="0CB7E3C8" w14:textId="77777777" w:rsidR="005F400D" w:rsidRPr="003E3A34" w:rsidRDefault="005F400D" w:rsidP="008C4FE7">
            <w:pPr>
              <w:spacing w:after="0"/>
              <w:jc w:val="center"/>
              <w:rPr>
                <w:rFonts w:ascii="Times New Roman" w:hAnsi="Times New Roman"/>
                <w:sz w:val="18"/>
                <w:szCs w:val="18"/>
              </w:rPr>
            </w:pPr>
            <w:r>
              <w:rPr>
                <w:rFonts w:ascii="Times New Roman" w:hAnsi="Times New Roman"/>
                <w:sz w:val="18"/>
                <w:szCs w:val="18"/>
              </w:rPr>
              <w:t>2014</w:t>
            </w:r>
          </w:p>
        </w:tc>
      </w:tr>
      <w:tr w:rsidR="005F400D" w:rsidRPr="003E3A34" w14:paraId="7ECECFFE" w14:textId="77777777" w:rsidTr="008C4FE7">
        <w:trPr>
          <w:trHeight w:val="489"/>
        </w:trPr>
        <w:tc>
          <w:tcPr>
            <w:tcW w:w="839" w:type="pct"/>
            <w:tcBorders>
              <w:top w:val="single" w:sz="4" w:space="0" w:color="auto"/>
            </w:tcBorders>
            <w:vAlign w:val="bottom"/>
          </w:tcPr>
          <w:p w14:paraId="6CA50EEA" w14:textId="77777777" w:rsidR="005F400D" w:rsidRPr="00354514" w:rsidRDefault="005F400D" w:rsidP="008C4FE7">
            <w:pPr>
              <w:spacing w:after="0"/>
              <w:rPr>
                <w:rFonts w:ascii="Times New Roman" w:hAnsi="Times New Roman"/>
                <w:sz w:val="18"/>
                <w:szCs w:val="18"/>
              </w:rPr>
            </w:pPr>
            <w:r>
              <w:rPr>
                <w:rFonts w:ascii="Times New Roman" w:hAnsi="Times New Roman"/>
                <w:sz w:val="18"/>
                <w:szCs w:val="18"/>
              </w:rPr>
              <w:t>Gjennomsnittslønn per dato</w:t>
            </w:r>
            <w:r>
              <w:rPr>
                <w:rFonts w:ascii="Times New Roman" w:hAnsi="Times New Roman"/>
                <w:sz w:val="18"/>
                <w:szCs w:val="18"/>
                <w:vertAlign w:val="superscript"/>
              </w:rPr>
              <w:t>1</w:t>
            </w:r>
            <w:r>
              <w:rPr>
                <w:rFonts w:ascii="Times New Roman" w:hAnsi="Times New Roman"/>
                <w:sz w:val="18"/>
                <w:szCs w:val="18"/>
              </w:rPr>
              <w:t xml:space="preserve"> for heltidsansatte</w:t>
            </w:r>
          </w:p>
        </w:tc>
        <w:tc>
          <w:tcPr>
            <w:tcW w:w="306" w:type="pct"/>
            <w:tcBorders>
              <w:top w:val="single" w:sz="4" w:space="0" w:color="auto"/>
            </w:tcBorders>
            <w:vAlign w:val="bottom"/>
          </w:tcPr>
          <w:p w14:paraId="133A2544"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sz w:val="18"/>
                <w:szCs w:val="18"/>
              </w:rPr>
              <w:t>86,8</w:t>
            </w:r>
          </w:p>
        </w:tc>
        <w:tc>
          <w:tcPr>
            <w:tcW w:w="306" w:type="pct"/>
            <w:tcBorders>
              <w:top w:val="single" w:sz="4" w:space="0" w:color="auto"/>
            </w:tcBorders>
            <w:vAlign w:val="bottom"/>
          </w:tcPr>
          <w:p w14:paraId="38B457BA"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sz w:val="18"/>
                <w:szCs w:val="18"/>
              </w:rPr>
              <w:t>86,8</w:t>
            </w:r>
          </w:p>
        </w:tc>
        <w:tc>
          <w:tcPr>
            <w:tcW w:w="306" w:type="pct"/>
            <w:tcBorders>
              <w:top w:val="single" w:sz="4" w:space="0" w:color="auto"/>
            </w:tcBorders>
            <w:vAlign w:val="bottom"/>
          </w:tcPr>
          <w:p w14:paraId="799652FC"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sz w:val="18"/>
                <w:szCs w:val="18"/>
              </w:rPr>
              <w:t>86,5</w:t>
            </w:r>
          </w:p>
        </w:tc>
        <w:tc>
          <w:tcPr>
            <w:tcW w:w="306" w:type="pct"/>
            <w:tcBorders>
              <w:top w:val="single" w:sz="4" w:space="0" w:color="auto"/>
              <w:right w:val="single" w:sz="4" w:space="0" w:color="auto"/>
            </w:tcBorders>
            <w:vAlign w:val="bottom"/>
          </w:tcPr>
          <w:p w14:paraId="16FA7447" w14:textId="77777777" w:rsidR="005F400D" w:rsidRPr="003E3A34" w:rsidRDefault="005F400D" w:rsidP="008C4FE7">
            <w:pPr>
              <w:spacing w:after="0"/>
              <w:jc w:val="center"/>
              <w:rPr>
                <w:rFonts w:ascii="Times New Roman" w:hAnsi="Times New Roman"/>
                <w:sz w:val="18"/>
                <w:szCs w:val="18"/>
              </w:rPr>
            </w:pPr>
            <w:r w:rsidRPr="003E3A34">
              <w:rPr>
                <w:rFonts w:ascii="Times New Roman" w:hAnsi="Times New Roman"/>
                <w:sz w:val="18"/>
                <w:szCs w:val="18"/>
              </w:rPr>
              <w:t>87,1</w:t>
            </w:r>
          </w:p>
        </w:tc>
        <w:tc>
          <w:tcPr>
            <w:tcW w:w="306" w:type="pct"/>
            <w:tcBorders>
              <w:top w:val="single" w:sz="4" w:space="0" w:color="auto"/>
              <w:left w:val="single" w:sz="4" w:space="0" w:color="auto"/>
            </w:tcBorders>
            <w:vAlign w:val="bottom"/>
          </w:tcPr>
          <w:p w14:paraId="214B7C78"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86,3</w:t>
            </w:r>
          </w:p>
        </w:tc>
        <w:tc>
          <w:tcPr>
            <w:tcW w:w="306" w:type="pct"/>
            <w:tcBorders>
              <w:top w:val="single" w:sz="4" w:space="0" w:color="auto"/>
            </w:tcBorders>
            <w:vAlign w:val="bottom"/>
          </w:tcPr>
          <w:p w14:paraId="67F2D5AB"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86,7</w:t>
            </w:r>
          </w:p>
        </w:tc>
        <w:tc>
          <w:tcPr>
            <w:tcW w:w="306" w:type="pct"/>
            <w:tcBorders>
              <w:top w:val="single" w:sz="4" w:space="0" w:color="auto"/>
            </w:tcBorders>
            <w:vAlign w:val="bottom"/>
          </w:tcPr>
          <w:p w14:paraId="69FBE54C" w14:textId="77777777" w:rsidR="005F400D" w:rsidRPr="003E3A34" w:rsidRDefault="005F400D" w:rsidP="008C4FE7">
            <w:pPr>
              <w:spacing w:after="0"/>
              <w:ind w:left="-130"/>
              <w:jc w:val="right"/>
              <w:rPr>
                <w:rFonts w:ascii="Times New Roman" w:hAnsi="Times New Roman"/>
                <w:color w:val="000000"/>
                <w:sz w:val="18"/>
                <w:szCs w:val="18"/>
              </w:rPr>
            </w:pPr>
            <w:r w:rsidRPr="003E3A34">
              <w:rPr>
                <w:rFonts w:ascii="Times New Roman" w:hAnsi="Times New Roman"/>
                <w:color w:val="000000"/>
                <w:sz w:val="18"/>
                <w:szCs w:val="18"/>
              </w:rPr>
              <w:t>87,2</w:t>
            </w:r>
          </w:p>
        </w:tc>
        <w:tc>
          <w:tcPr>
            <w:tcW w:w="306" w:type="pct"/>
            <w:tcBorders>
              <w:top w:val="single" w:sz="4" w:space="0" w:color="auto"/>
            </w:tcBorders>
            <w:vAlign w:val="bottom"/>
          </w:tcPr>
          <w:p w14:paraId="7F988F30" w14:textId="77777777" w:rsidR="005F400D" w:rsidRPr="003E3A34" w:rsidRDefault="005F400D" w:rsidP="008C4FE7">
            <w:pPr>
              <w:spacing w:after="0"/>
              <w:jc w:val="right"/>
              <w:rPr>
                <w:rFonts w:ascii="Times New Roman" w:hAnsi="Times New Roman"/>
                <w:color w:val="000000"/>
                <w:sz w:val="18"/>
                <w:szCs w:val="18"/>
              </w:rPr>
            </w:pPr>
            <w:r w:rsidRPr="003E3A34">
              <w:rPr>
                <w:rFonts w:ascii="Times New Roman" w:hAnsi="Times New Roman"/>
                <w:color w:val="000000"/>
                <w:sz w:val="18"/>
                <w:szCs w:val="18"/>
              </w:rPr>
              <w:t>87,2</w:t>
            </w:r>
          </w:p>
        </w:tc>
        <w:tc>
          <w:tcPr>
            <w:tcW w:w="306" w:type="pct"/>
            <w:tcBorders>
              <w:top w:val="single" w:sz="4" w:space="0" w:color="auto"/>
            </w:tcBorders>
            <w:vAlign w:val="bottom"/>
          </w:tcPr>
          <w:p w14:paraId="1ABA2AF0" w14:textId="77777777" w:rsidR="005F400D" w:rsidRPr="008D1D56" w:rsidRDefault="005F400D" w:rsidP="008C4FE7">
            <w:pPr>
              <w:spacing w:after="0"/>
              <w:jc w:val="right"/>
              <w:rPr>
                <w:sz w:val="18"/>
                <w:szCs w:val="18"/>
              </w:rPr>
            </w:pPr>
            <w:r w:rsidRPr="008D1D56">
              <w:rPr>
                <w:sz w:val="18"/>
                <w:szCs w:val="18"/>
              </w:rPr>
              <w:t>88,3</w:t>
            </w:r>
          </w:p>
        </w:tc>
        <w:tc>
          <w:tcPr>
            <w:tcW w:w="306" w:type="pct"/>
            <w:tcBorders>
              <w:top w:val="single" w:sz="4" w:space="0" w:color="auto"/>
            </w:tcBorders>
            <w:vAlign w:val="bottom"/>
          </w:tcPr>
          <w:p w14:paraId="730DEE75" w14:textId="77777777" w:rsidR="005F400D" w:rsidRPr="009B74B6" w:rsidRDefault="005F400D" w:rsidP="008C4FE7">
            <w:pPr>
              <w:spacing w:after="0"/>
              <w:jc w:val="center"/>
              <w:rPr>
                <w:sz w:val="18"/>
                <w:szCs w:val="18"/>
              </w:rPr>
            </w:pPr>
            <w:r w:rsidRPr="009B74B6">
              <w:rPr>
                <w:sz w:val="18"/>
                <w:szCs w:val="18"/>
              </w:rPr>
              <w:t>87,9</w:t>
            </w:r>
          </w:p>
        </w:tc>
        <w:tc>
          <w:tcPr>
            <w:tcW w:w="230" w:type="pct"/>
            <w:tcBorders>
              <w:top w:val="single" w:sz="4" w:space="0" w:color="auto"/>
            </w:tcBorders>
            <w:vAlign w:val="bottom"/>
          </w:tcPr>
          <w:p w14:paraId="78820453" w14:textId="77777777" w:rsidR="005F400D" w:rsidRPr="005E77CB" w:rsidRDefault="005F400D" w:rsidP="008C4FE7">
            <w:pPr>
              <w:spacing w:after="0"/>
              <w:jc w:val="right"/>
              <w:rPr>
                <w:rFonts w:ascii="Times New Roman" w:hAnsi="Times New Roman"/>
                <w:color w:val="000000"/>
                <w:sz w:val="18"/>
                <w:szCs w:val="18"/>
              </w:rPr>
            </w:pPr>
            <w:r w:rsidRPr="005E77CB">
              <w:rPr>
                <w:rFonts w:ascii="Times New Roman" w:hAnsi="Times New Roman"/>
                <w:color w:val="000000"/>
                <w:sz w:val="18"/>
                <w:szCs w:val="18"/>
              </w:rPr>
              <w:t>88,4</w:t>
            </w:r>
          </w:p>
        </w:tc>
        <w:tc>
          <w:tcPr>
            <w:tcW w:w="456" w:type="pct"/>
            <w:tcBorders>
              <w:top w:val="single" w:sz="4" w:space="0" w:color="auto"/>
            </w:tcBorders>
            <w:vAlign w:val="bottom"/>
          </w:tcPr>
          <w:p w14:paraId="2EECCDE1" w14:textId="77777777" w:rsidR="005F400D" w:rsidRPr="005E77CB" w:rsidRDefault="005F400D" w:rsidP="008C4FE7">
            <w:pPr>
              <w:spacing w:after="0"/>
              <w:rPr>
                <w:rFonts w:ascii="Times New Roman" w:hAnsi="Times New Roman"/>
                <w:color w:val="000000"/>
                <w:sz w:val="18"/>
                <w:szCs w:val="18"/>
              </w:rPr>
            </w:pPr>
            <w:r w:rsidRPr="005E77CB">
              <w:rPr>
                <w:rFonts w:ascii="Times New Roman" w:hAnsi="Times New Roman"/>
                <w:color w:val="000000"/>
                <w:sz w:val="18"/>
                <w:szCs w:val="18"/>
              </w:rPr>
              <w:t xml:space="preserve">548 400 </w:t>
            </w:r>
          </w:p>
        </w:tc>
        <w:tc>
          <w:tcPr>
            <w:tcW w:w="412" w:type="pct"/>
            <w:gridSpan w:val="2"/>
            <w:tcBorders>
              <w:top w:val="single" w:sz="4" w:space="0" w:color="auto"/>
            </w:tcBorders>
            <w:vAlign w:val="bottom"/>
          </w:tcPr>
          <w:p w14:paraId="4DA2EF9A" w14:textId="77777777" w:rsidR="005F400D" w:rsidRPr="005E77CB" w:rsidRDefault="005F400D" w:rsidP="008C4FE7">
            <w:pPr>
              <w:spacing w:after="0"/>
              <w:rPr>
                <w:rFonts w:ascii="Times New Roman" w:hAnsi="Times New Roman"/>
                <w:color w:val="000000"/>
                <w:sz w:val="18"/>
                <w:szCs w:val="18"/>
              </w:rPr>
            </w:pPr>
            <w:r w:rsidRPr="005E77CB">
              <w:rPr>
                <w:rFonts w:ascii="Times New Roman" w:hAnsi="Times New Roman"/>
                <w:color w:val="000000"/>
                <w:sz w:val="18"/>
                <w:szCs w:val="18"/>
              </w:rPr>
              <w:t xml:space="preserve">484 800 </w:t>
            </w:r>
          </w:p>
        </w:tc>
      </w:tr>
      <w:tr w:rsidR="005F400D" w:rsidRPr="003E3A34" w14:paraId="4A115823" w14:textId="77777777" w:rsidTr="008C4FE7">
        <w:trPr>
          <w:trHeight w:val="224"/>
        </w:trPr>
        <w:tc>
          <w:tcPr>
            <w:tcW w:w="839" w:type="pct"/>
            <w:vAlign w:val="bottom"/>
          </w:tcPr>
          <w:p w14:paraId="5F0E3670" w14:textId="77777777" w:rsidR="005F400D" w:rsidRPr="009372B1" w:rsidRDefault="005F400D" w:rsidP="008C4FE7">
            <w:pPr>
              <w:spacing w:after="0"/>
              <w:rPr>
                <w:rFonts w:ascii="Times New Roman" w:hAnsi="Times New Roman"/>
                <w:sz w:val="18"/>
                <w:szCs w:val="18"/>
                <w:vertAlign w:val="superscript"/>
              </w:rPr>
            </w:pPr>
            <w:r>
              <w:rPr>
                <w:rFonts w:ascii="Times New Roman" w:hAnsi="Times New Roman"/>
                <w:sz w:val="18"/>
                <w:szCs w:val="18"/>
              </w:rPr>
              <w:t>Gjennomsnittslønn per dato</w:t>
            </w:r>
            <w:r>
              <w:rPr>
                <w:rFonts w:ascii="Times New Roman" w:hAnsi="Times New Roman"/>
                <w:sz w:val="18"/>
                <w:szCs w:val="18"/>
                <w:vertAlign w:val="superscript"/>
              </w:rPr>
              <w:t>1</w:t>
            </w:r>
            <w:r>
              <w:rPr>
                <w:rFonts w:ascii="Times New Roman" w:hAnsi="Times New Roman"/>
                <w:sz w:val="18"/>
                <w:szCs w:val="18"/>
              </w:rPr>
              <w:t xml:space="preserve"> per årsverk</w:t>
            </w:r>
            <w:r>
              <w:rPr>
                <w:rFonts w:ascii="Times New Roman" w:hAnsi="Times New Roman"/>
                <w:sz w:val="18"/>
                <w:szCs w:val="18"/>
                <w:vertAlign w:val="superscript"/>
              </w:rPr>
              <w:t>4</w:t>
            </w:r>
          </w:p>
        </w:tc>
        <w:tc>
          <w:tcPr>
            <w:tcW w:w="306" w:type="pct"/>
            <w:vAlign w:val="bottom"/>
          </w:tcPr>
          <w:p w14:paraId="3F4B4792"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84,7</w:t>
            </w:r>
          </w:p>
        </w:tc>
        <w:tc>
          <w:tcPr>
            <w:tcW w:w="306" w:type="pct"/>
            <w:vAlign w:val="bottom"/>
          </w:tcPr>
          <w:p w14:paraId="4605808F"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84,6</w:t>
            </w:r>
          </w:p>
        </w:tc>
        <w:tc>
          <w:tcPr>
            <w:tcW w:w="306" w:type="pct"/>
            <w:vAlign w:val="bottom"/>
          </w:tcPr>
          <w:p w14:paraId="5C21C397"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84,3</w:t>
            </w:r>
          </w:p>
        </w:tc>
        <w:tc>
          <w:tcPr>
            <w:tcW w:w="306" w:type="pct"/>
            <w:tcBorders>
              <w:right w:val="single" w:sz="4" w:space="0" w:color="auto"/>
            </w:tcBorders>
            <w:vAlign w:val="bottom"/>
          </w:tcPr>
          <w:p w14:paraId="1659694D" w14:textId="77777777" w:rsidR="005F400D" w:rsidRPr="003E3A34" w:rsidRDefault="005F400D" w:rsidP="008C4FE7">
            <w:pPr>
              <w:spacing w:after="0"/>
              <w:jc w:val="center"/>
              <w:rPr>
                <w:rFonts w:ascii="Times New Roman" w:hAnsi="Times New Roman"/>
                <w:sz w:val="18"/>
                <w:szCs w:val="18"/>
              </w:rPr>
            </w:pPr>
            <w:r w:rsidRPr="003E3A34">
              <w:rPr>
                <w:rFonts w:ascii="Times New Roman" w:hAnsi="Times New Roman"/>
                <w:sz w:val="18"/>
                <w:szCs w:val="18"/>
              </w:rPr>
              <w:t>85,0</w:t>
            </w:r>
          </w:p>
        </w:tc>
        <w:tc>
          <w:tcPr>
            <w:tcW w:w="306" w:type="pct"/>
            <w:tcBorders>
              <w:left w:val="single" w:sz="4" w:space="0" w:color="auto"/>
            </w:tcBorders>
            <w:vAlign w:val="bottom"/>
          </w:tcPr>
          <w:p w14:paraId="7F296298"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sz w:val="18"/>
                <w:szCs w:val="18"/>
              </w:rPr>
              <w:t>83,9</w:t>
            </w:r>
          </w:p>
        </w:tc>
        <w:tc>
          <w:tcPr>
            <w:tcW w:w="306" w:type="pct"/>
            <w:vAlign w:val="bottom"/>
          </w:tcPr>
          <w:p w14:paraId="71B86730"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sz w:val="18"/>
                <w:szCs w:val="18"/>
              </w:rPr>
              <w:t>84,7</w:t>
            </w:r>
          </w:p>
        </w:tc>
        <w:tc>
          <w:tcPr>
            <w:tcW w:w="306" w:type="pct"/>
            <w:vAlign w:val="bottom"/>
          </w:tcPr>
          <w:p w14:paraId="4A5B93F3"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85,0</w:t>
            </w:r>
          </w:p>
        </w:tc>
        <w:tc>
          <w:tcPr>
            <w:tcW w:w="306" w:type="pct"/>
            <w:vAlign w:val="bottom"/>
          </w:tcPr>
          <w:p w14:paraId="3647A054" w14:textId="77777777" w:rsidR="005F400D" w:rsidRPr="003E3A34" w:rsidRDefault="005F400D" w:rsidP="008C4FE7">
            <w:pPr>
              <w:spacing w:after="0"/>
              <w:jc w:val="right"/>
              <w:rPr>
                <w:rFonts w:ascii="Times New Roman" w:hAnsi="Times New Roman"/>
                <w:color w:val="000000"/>
                <w:sz w:val="18"/>
                <w:szCs w:val="18"/>
              </w:rPr>
            </w:pPr>
            <w:r w:rsidRPr="003E3A34">
              <w:rPr>
                <w:rFonts w:ascii="Times New Roman" w:hAnsi="Times New Roman"/>
                <w:color w:val="000000"/>
                <w:sz w:val="18"/>
                <w:szCs w:val="18"/>
              </w:rPr>
              <w:t>85,3</w:t>
            </w:r>
          </w:p>
        </w:tc>
        <w:tc>
          <w:tcPr>
            <w:tcW w:w="306" w:type="pct"/>
            <w:vAlign w:val="bottom"/>
          </w:tcPr>
          <w:p w14:paraId="74DE8231" w14:textId="77777777" w:rsidR="005F400D" w:rsidRPr="008D1D56" w:rsidRDefault="005F400D" w:rsidP="008C4FE7">
            <w:pPr>
              <w:spacing w:after="0"/>
              <w:jc w:val="right"/>
              <w:rPr>
                <w:sz w:val="18"/>
                <w:szCs w:val="18"/>
              </w:rPr>
            </w:pPr>
            <w:r w:rsidRPr="008D1D56">
              <w:rPr>
                <w:sz w:val="18"/>
                <w:szCs w:val="18"/>
              </w:rPr>
              <w:t>86,5</w:t>
            </w:r>
          </w:p>
        </w:tc>
        <w:tc>
          <w:tcPr>
            <w:tcW w:w="306" w:type="pct"/>
            <w:vAlign w:val="bottom"/>
          </w:tcPr>
          <w:p w14:paraId="17357D2D" w14:textId="77777777" w:rsidR="005F400D" w:rsidRPr="009B74B6" w:rsidRDefault="005F400D" w:rsidP="008C4FE7">
            <w:pPr>
              <w:spacing w:after="0"/>
              <w:jc w:val="center"/>
              <w:rPr>
                <w:sz w:val="18"/>
                <w:szCs w:val="18"/>
              </w:rPr>
            </w:pPr>
            <w:r w:rsidRPr="009B74B6">
              <w:rPr>
                <w:sz w:val="18"/>
                <w:szCs w:val="18"/>
              </w:rPr>
              <w:t>85,8</w:t>
            </w:r>
          </w:p>
        </w:tc>
        <w:tc>
          <w:tcPr>
            <w:tcW w:w="230" w:type="pct"/>
            <w:vAlign w:val="bottom"/>
          </w:tcPr>
          <w:p w14:paraId="7A0FE60F" w14:textId="77777777" w:rsidR="005F400D" w:rsidRPr="005E77CB" w:rsidRDefault="005F400D" w:rsidP="008C4FE7">
            <w:pPr>
              <w:spacing w:after="0"/>
              <w:jc w:val="right"/>
              <w:rPr>
                <w:rFonts w:ascii="Times New Roman" w:hAnsi="Times New Roman"/>
                <w:color w:val="000000"/>
                <w:sz w:val="18"/>
                <w:szCs w:val="18"/>
              </w:rPr>
            </w:pPr>
            <w:r w:rsidRPr="005E77CB">
              <w:rPr>
                <w:rFonts w:ascii="Times New Roman" w:hAnsi="Times New Roman"/>
                <w:color w:val="000000"/>
                <w:sz w:val="18"/>
                <w:szCs w:val="18"/>
              </w:rPr>
              <w:t>86,4</w:t>
            </w:r>
          </w:p>
        </w:tc>
        <w:tc>
          <w:tcPr>
            <w:tcW w:w="456" w:type="pct"/>
            <w:vAlign w:val="bottom"/>
          </w:tcPr>
          <w:p w14:paraId="4EF9CEED" w14:textId="77777777" w:rsidR="005F400D" w:rsidRPr="005E77CB" w:rsidRDefault="005F400D" w:rsidP="008C4FE7">
            <w:pPr>
              <w:spacing w:after="0"/>
              <w:rPr>
                <w:rFonts w:ascii="Times New Roman" w:hAnsi="Times New Roman"/>
                <w:color w:val="000000"/>
                <w:sz w:val="18"/>
                <w:szCs w:val="18"/>
              </w:rPr>
            </w:pPr>
            <w:r w:rsidRPr="005E77CB">
              <w:rPr>
                <w:rFonts w:ascii="Times New Roman" w:hAnsi="Times New Roman"/>
                <w:color w:val="000000"/>
                <w:sz w:val="18"/>
                <w:szCs w:val="18"/>
              </w:rPr>
              <w:t xml:space="preserve">538 800 </w:t>
            </w:r>
          </w:p>
        </w:tc>
        <w:tc>
          <w:tcPr>
            <w:tcW w:w="412" w:type="pct"/>
            <w:gridSpan w:val="2"/>
            <w:vAlign w:val="bottom"/>
          </w:tcPr>
          <w:p w14:paraId="60842F24" w14:textId="77777777" w:rsidR="005F400D" w:rsidRPr="005E77CB" w:rsidRDefault="005F400D" w:rsidP="008C4FE7">
            <w:pPr>
              <w:spacing w:after="0"/>
              <w:rPr>
                <w:rFonts w:ascii="Times New Roman" w:hAnsi="Times New Roman"/>
                <w:color w:val="000000"/>
                <w:sz w:val="18"/>
                <w:szCs w:val="18"/>
              </w:rPr>
            </w:pPr>
            <w:r w:rsidRPr="005E77CB">
              <w:rPr>
                <w:rFonts w:ascii="Times New Roman" w:hAnsi="Times New Roman"/>
                <w:color w:val="000000"/>
                <w:sz w:val="18"/>
                <w:szCs w:val="18"/>
              </w:rPr>
              <w:t xml:space="preserve">465 600 </w:t>
            </w:r>
          </w:p>
        </w:tc>
      </w:tr>
      <w:tr w:rsidR="005F400D" w:rsidRPr="003E3A34" w14:paraId="275BEC24" w14:textId="77777777" w:rsidTr="008C4FE7">
        <w:trPr>
          <w:trHeight w:val="133"/>
        </w:trPr>
        <w:tc>
          <w:tcPr>
            <w:tcW w:w="839" w:type="pct"/>
            <w:tcBorders>
              <w:bottom w:val="single" w:sz="4" w:space="0" w:color="auto"/>
            </w:tcBorders>
            <w:vAlign w:val="bottom"/>
          </w:tcPr>
          <w:p w14:paraId="166F0B50" w14:textId="77777777" w:rsidR="005F400D" w:rsidRPr="003E3A34" w:rsidRDefault="005F400D" w:rsidP="008C4FE7">
            <w:pPr>
              <w:spacing w:after="0"/>
              <w:rPr>
                <w:rFonts w:ascii="Times New Roman" w:hAnsi="Times New Roman"/>
                <w:sz w:val="18"/>
                <w:szCs w:val="18"/>
              </w:rPr>
            </w:pPr>
            <w:r>
              <w:rPr>
                <w:rFonts w:ascii="Times New Roman" w:hAnsi="Times New Roman"/>
                <w:sz w:val="18"/>
                <w:szCs w:val="18"/>
              </w:rPr>
              <w:t>M</w:t>
            </w:r>
            <w:r w:rsidRPr="003E3A34">
              <w:rPr>
                <w:rFonts w:ascii="Times New Roman" w:hAnsi="Times New Roman"/>
                <w:sz w:val="18"/>
                <w:szCs w:val="18"/>
              </w:rPr>
              <w:t>edian lønn</w:t>
            </w:r>
            <w:r>
              <w:rPr>
                <w:rFonts w:ascii="Times New Roman" w:hAnsi="Times New Roman"/>
                <w:sz w:val="18"/>
                <w:szCs w:val="18"/>
                <w:vertAlign w:val="superscript"/>
              </w:rPr>
              <w:t>2</w:t>
            </w:r>
            <w:r>
              <w:rPr>
                <w:rFonts w:ascii="Times New Roman" w:hAnsi="Times New Roman"/>
                <w:sz w:val="18"/>
                <w:szCs w:val="18"/>
              </w:rPr>
              <w:t xml:space="preserve"> per dato</w:t>
            </w:r>
            <w:r>
              <w:rPr>
                <w:rFonts w:ascii="Times New Roman" w:hAnsi="Times New Roman"/>
                <w:sz w:val="18"/>
                <w:szCs w:val="18"/>
                <w:vertAlign w:val="superscript"/>
              </w:rPr>
              <w:t>1</w:t>
            </w:r>
            <w:r>
              <w:rPr>
                <w:rFonts w:ascii="Times New Roman" w:hAnsi="Times New Roman"/>
                <w:sz w:val="18"/>
                <w:szCs w:val="18"/>
              </w:rPr>
              <w:t xml:space="preserve"> for heltidsansatte</w:t>
            </w:r>
            <w:r w:rsidRPr="003E3A34">
              <w:rPr>
                <w:rFonts w:ascii="Times New Roman" w:hAnsi="Times New Roman"/>
                <w:sz w:val="18"/>
                <w:szCs w:val="18"/>
              </w:rPr>
              <w:t xml:space="preserve"> </w:t>
            </w:r>
          </w:p>
        </w:tc>
        <w:tc>
          <w:tcPr>
            <w:tcW w:w="306" w:type="pct"/>
            <w:tcBorders>
              <w:bottom w:val="single" w:sz="4" w:space="0" w:color="auto"/>
            </w:tcBorders>
            <w:vAlign w:val="bottom"/>
          </w:tcPr>
          <w:p w14:paraId="3D11B250"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91,4</w:t>
            </w:r>
          </w:p>
        </w:tc>
        <w:tc>
          <w:tcPr>
            <w:tcW w:w="306" w:type="pct"/>
            <w:tcBorders>
              <w:bottom w:val="single" w:sz="4" w:space="0" w:color="auto"/>
            </w:tcBorders>
            <w:vAlign w:val="bottom"/>
          </w:tcPr>
          <w:p w14:paraId="6AF26E04"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91,8</w:t>
            </w:r>
          </w:p>
        </w:tc>
        <w:tc>
          <w:tcPr>
            <w:tcW w:w="306" w:type="pct"/>
            <w:tcBorders>
              <w:bottom w:val="single" w:sz="4" w:space="0" w:color="auto"/>
            </w:tcBorders>
            <w:vAlign w:val="bottom"/>
          </w:tcPr>
          <w:p w14:paraId="7173902D"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91,2</w:t>
            </w:r>
          </w:p>
        </w:tc>
        <w:tc>
          <w:tcPr>
            <w:tcW w:w="306" w:type="pct"/>
            <w:tcBorders>
              <w:bottom w:val="single" w:sz="4" w:space="0" w:color="auto"/>
              <w:right w:val="single" w:sz="4" w:space="0" w:color="auto"/>
            </w:tcBorders>
            <w:vAlign w:val="bottom"/>
          </w:tcPr>
          <w:p w14:paraId="796F10F2" w14:textId="77777777" w:rsidR="005F400D" w:rsidRPr="003E3A34" w:rsidRDefault="005F400D" w:rsidP="008C4FE7">
            <w:pPr>
              <w:spacing w:after="0"/>
              <w:jc w:val="center"/>
              <w:rPr>
                <w:rFonts w:ascii="Times New Roman" w:hAnsi="Times New Roman"/>
                <w:sz w:val="18"/>
                <w:szCs w:val="18"/>
              </w:rPr>
            </w:pPr>
            <w:r w:rsidRPr="003E3A34">
              <w:rPr>
                <w:rFonts w:ascii="Times New Roman" w:hAnsi="Times New Roman"/>
                <w:color w:val="000000"/>
                <w:sz w:val="18"/>
                <w:szCs w:val="18"/>
              </w:rPr>
              <w:t>92,1</w:t>
            </w:r>
          </w:p>
        </w:tc>
        <w:tc>
          <w:tcPr>
            <w:tcW w:w="306" w:type="pct"/>
            <w:tcBorders>
              <w:left w:val="single" w:sz="4" w:space="0" w:color="auto"/>
              <w:bottom w:val="single" w:sz="4" w:space="0" w:color="auto"/>
            </w:tcBorders>
            <w:vAlign w:val="bottom"/>
          </w:tcPr>
          <w:p w14:paraId="34EA04D5"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91,2</w:t>
            </w:r>
          </w:p>
        </w:tc>
        <w:tc>
          <w:tcPr>
            <w:tcW w:w="306" w:type="pct"/>
            <w:tcBorders>
              <w:bottom w:val="single" w:sz="4" w:space="0" w:color="auto"/>
            </w:tcBorders>
            <w:vAlign w:val="bottom"/>
          </w:tcPr>
          <w:p w14:paraId="10C82F08"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91,8</w:t>
            </w:r>
          </w:p>
        </w:tc>
        <w:tc>
          <w:tcPr>
            <w:tcW w:w="306" w:type="pct"/>
            <w:tcBorders>
              <w:bottom w:val="single" w:sz="4" w:space="0" w:color="auto"/>
            </w:tcBorders>
            <w:vAlign w:val="bottom"/>
          </w:tcPr>
          <w:p w14:paraId="6AC0FC9A"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92,9</w:t>
            </w:r>
          </w:p>
        </w:tc>
        <w:tc>
          <w:tcPr>
            <w:tcW w:w="306" w:type="pct"/>
            <w:tcBorders>
              <w:bottom w:val="single" w:sz="4" w:space="0" w:color="auto"/>
            </w:tcBorders>
            <w:vAlign w:val="bottom"/>
          </w:tcPr>
          <w:p w14:paraId="08A790B7" w14:textId="77777777" w:rsidR="005F400D" w:rsidRPr="003E3A34" w:rsidRDefault="005F400D" w:rsidP="008C4FE7">
            <w:pPr>
              <w:spacing w:after="0"/>
              <w:jc w:val="right"/>
              <w:rPr>
                <w:rFonts w:ascii="Times New Roman" w:hAnsi="Times New Roman"/>
                <w:sz w:val="18"/>
                <w:szCs w:val="18"/>
              </w:rPr>
            </w:pPr>
            <w:r w:rsidRPr="003E3A34">
              <w:rPr>
                <w:rFonts w:ascii="Times New Roman" w:hAnsi="Times New Roman"/>
                <w:color w:val="000000"/>
                <w:sz w:val="18"/>
                <w:szCs w:val="18"/>
              </w:rPr>
              <w:t>92,9</w:t>
            </w:r>
          </w:p>
        </w:tc>
        <w:tc>
          <w:tcPr>
            <w:tcW w:w="306" w:type="pct"/>
            <w:tcBorders>
              <w:bottom w:val="single" w:sz="4" w:space="0" w:color="auto"/>
            </w:tcBorders>
            <w:vAlign w:val="bottom"/>
          </w:tcPr>
          <w:p w14:paraId="1F677E1F" w14:textId="77777777" w:rsidR="005F400D" w:rsidRPr="008D1D56" w:rsidRDefault="005F400D" w:rsidP="008C4FE7">
            <w:pPr>
              <w:spacing w:after="0"/>
              <w:jc w:val="right"/>
              <w:rPr>
                <w:sz w:val="18"/>
                <w:szCs w:val="18"/>
              </w:rPr>
            </w:pPr>
            <w:r w:rsidRPr="008D1D56">
              <w:rPr>
                <w:sz w:val="18"/>
                <w:szCs w:val="18"/>
              </w:rPr>
              <w:t>94,2</w:t>
            </w:r>
          </w:p>
        </w:tc>
        <w:tc>
          <w:tcPr>
            <w:tcW w:w="306" w:type="pct"/>
            <w:tcBorders>
              <w:bottom w:val="single" w:sz="4" w:space="0" w:color="auto"/>
            </w:tcBorders>
            <w:vAlign w:val="bottom"/>
          </w:tcPr>
          <w:p w14:paraId="605E233B" w14:textId="77777777" w:rsidR="005F400D" w:rsidRPr="009B74B6" w:rsidRDefault="005F400D" w:rsidP="008C4FE7">
            <w:pPr>
              <w:spacing w:after="0"/>
              <w:jc w:val="center"/>
              <w:rPr>
                <w:sz w:val="18"/>
                <w:szCs w:val="18"/>
              </w:rPr>
            </w:pPr>
            <w:r w:rsidRPr="009B74B6">
              <w:rPr>
                <w:sz w:val="18"/>
                <w:szCs w:val="18"/>
              </w:rPr>
              <w:t>93,4</w:t>
            </w:r>
          </w:p>
        </w:tc>
        <w:tc>
          <w:tcPr>
            <w:tcW w:w="230" w:type="pct"/>
            <w:tcBorders>
              <w:bottom w:val="single" w:sz="4" w:space="0" w:color="auto"/>
            </w:tcBorders>
            <w:vAlign w:val="bottom"/>
          </w:tcPr>
          <w:p w14:paraId="167A8293" w14:textId="77777777" w:rsidR="005F400D" w:rsidRPr="005E77CB" w:rsidRDefault="005F400D" w:rsidP="008C4FE7">
            <w:pPr>
              <w:spacing w:after="0"/>
              <w:jc w:val="right"/>
              <w:rPr>
                <w:rFonts w:ascii="Times New Roman" w:hAnsi="Times New Roman"/>
                <w:color w:val="000000"/>
                <w:sz w:val="18"/>
                <w:szCs w:val="18"/>
              </w:rPr>
            </w:pPr>
            <w:r w:rsidRPr="005E77CB">
              <w:rPr>
                <w:rFonts w:ascii="Times New Roman" w:hAnsi="Times New Roman"/>
                <w:color w:val="000000"/>
                <w:sz w:val="18"/>
                <w:szCs w:val="18"/>
              </w:rPr>
              <w:t>94,3</w:t>
            </w:r>
          </w:p>
        </w:tc>
        <w:tc>
          <w:tcPr>
            <w:tcW w:w="456" w:type="pct"/>
            <w:tcBorders>
              <w:bottom w:val="single" w:sz="4" w:space="0" w:color="auto"/>
            </w:tcBorders>
            <w:vAlign w:val="bottom"/>
          </w:tcPr>
          <w:p w14:paraId="74F009B5" w14:textId="77777777" w:rsidR="005F400D" w:rsidRPr="005E77CB" w:rsidRDefault="005F400D" w:rsidP="008C4FE7">
            <w:pPr>
              <w:spacing w:after="0"/>
              <w:rPr>
                <w:rFonts w:ascii="Times New Roman" w:hAnsi="Times New Roman"/>
                <w:color w:val="000000"/>
                <w:sz w:val="18"/>
                <w:szCs w:val="18"/>
              </w:rPr>
            </w:pPr>
            <w:r w:rsidRPr="005E77CB">
              <w:rPr>
                <w:rFonts w:ascii="Times New Roman" w:hAnsi="Times New Roman"/>
                <w:color w:val="000000"/>
                <w:sz w:val="18"/>
                <w:szCs w:val="18"/>
              </w:rPr>
              <w:t xml:space="preserve">483 600 </w:t>
            </w:r>
          </w:p>
        </w:tc>
        <w:tc>
          <w:tcPr>
            <w:tcW w:w="412" w:type="pct"/>
            <w:gridSpan w:val="2"/>
            <w:tcBorders>
              <w:bottom w:val="single" w:sz="4" w:space="0" w:color="auto"/>
            </w:tcBorders>
            <w:vAlign w:val="bottom"/>
          </w:tcPr>
          <w:p w14:paraId="37B14975" w14:textId="77777777" w:rsidR="005F400D" w:rsidRPr="005E77CB" w:rsidRDefault="005F400D" w:rsidP="008C4FE7">
            <w:pPr>
              <w:spacing w:after="0"/>
              <w:rPr>
                <w:rFonts w:ascii="Times New Roman" w:hAnsi="Times New Roman"/>
                <w:color w:val="000000"/>
                <w:sz w:val="18"/>
                <w:szCs w:val="18"/>
              </w:rPr>
            </w:pPr>
            <w:r w:rsidRPr="005E77CB">
              <w:rPr>
                <w:rFonts w:ascii="Times New Roman" w:hAnsi="Times New Roman"/>
                <w:color w:val="000000"/>
                <w:sz w:val="18"/>
                <w:szCs w:val="18"/>
              </w:rPr>
              <w:t xml:space="preserve">456 000 </w:t>
            </w:r>
          </w:p>
        </w:tc>
      </w:tr>
    </w:tbl>
    <w:p w14:paraId="16A80374" w14:textId="77777777" w:rsidR="00B94FB0" w:rsidRDefault="005F400D" w:rsidP="00891CA1">
      <w:pPr>
        <w:pStyle w:val="tabell-noter"/>
        <w:numPr>
          <w:ilvl w:val="0"/>
          <w:numId w:val="54"/>
        </w:numPr>
        <w:spacing w:after="0"/>
      </w:pPr>
      <w:r>
        <w:t>Månedslønn per september/oktober/desember.</w:t>
      </w:r>
    </w:p>
    <w:p w14:paraId="7B0BA1F7" w14:textId="71F51163" w:rsidR="005F400D" w:rsidRPr="00B94FB0" w:rsidRDefault="005F400D" w:rsidP="00B94FB0">
      <w:pPr>
        <w:pStyle w:val="tabell-noter"/>
        <w:numPr>
          <w:ilvl w:val="0"/>
          <w:numId w:val="54"/>
        </w:numPr>
        <w:spacing w:after="0"/>
      </w:pPr>
      <w:r>
        <w:t xml:space="preserve">Median lønn finner en ved å sortere lønnen for lønnstakere etter størrelse </w:t>
      </w:r>
      <w:r w:rsidR="00B94FB0">
        <w:t xml:space="preserve">og så finne lønnsnivået for den </w:t>
      </w:r>
      <w:r w:rsidRPr="00B94FB0">
        <w:t xml:space="preserve">personen som blir liggende i midten. </w:t>
      </w:r>
    </w:p>
    <w:p w14:paraId="08518D4D" w14:textId="77777777" w:rsidR="005F400D" w:rsidRDefault="005F400D" w:rsidP="006E305B">
      <w:pPr>
        <w:pStyle w:val="tabell-noter"/>
        <w:numPr>
          <w:ilvl w:val="0"/>
          <w:numId w:val="54"/>
        </w:numPr>
        <w:spacing w:after="0"/>
      </w:pPr>
      <w:r>
        <w:t>Tallene er beregnet etter ny næringsstandard.</w:t>
      </w:r>
    </w:p>
    <w:p w14:paraId="3BA66D28" w14:textId="77777777" w:rsidR="005F400D" w:rsidRPr="009372B1" w:rsidRDefault="005F400D" w:rsidP="006E305B">
      <w:pPr>
        <w:pStyle w:val="tabell-noter"/>
        <w:numPr>
          <w:ilvl w:val="0"/>
          <w:numId w:val="54"/>
        </w:numPr>
        <w:spacing w:after="0"/>
      </w:pPr>
      <w:r>
        <w:t>Heltids- og deltidsansatte hvor deltidsansatte er omgjort til heltidsekvivalenter.</w:t>
      </w:r>
    </w:p>
    <w:p w14:paraId="7AB67B7B" w14:textId="77777777" w:rsidR="005F400D" w:rsidRDefault="005F400D" w:rsidP="005F400D">
      <w:pPr>
        <w:pStyle w:val="tabell-noter"/>
        <w:rPr>
          <w:snapToGrid w:val="0"/>
        </w:rPr>
      </w:pPr>
      <w:r>
        <w:t>Kilder: Statistisk sentralbyrå og Beregningsutvalget</w:t>
      </w:r>
    </w:p>
    <w:p w14:paraId="45AC29B9" w14:textId="77777777" w:rsidR="005F400D" w:rsidRDefault="005F400D" w:rsidP="0084147D">
      <w:pPr>
        <w:pStyle w:val="avsnitt-tit"/>
        <w:spacing w:before="240"/>
      </w:pPr>
      <w:r>
        <w:t xml:space="preserve">Lønnsforskjeller etter næring </w:t>
      </w:r>
    </w:p>
    <w:p w14:paraId="78C98AC6" w14:textId="77777777" w:rsidR="005F400D" w:rsidRDefault="005F400D" w:rsidP="005F400D">
      <w:r>
        <w:t xml:space="preserve">Tabell 1.15 viser heltidsansatte kvinners lønn som andel av menns fordelt etter næring. Det er her tatt utgangspunkt i Statistisk sentralbyrås næringsklassifisering og offisielle månedslønnsstatistikk (per september/oktober/desember). I boks 1.3 forklares forskjellene i datagrunnlaget mellom tabell 1.13 og 1.15. </w:t>
      </w:r>
    </w:p>
    <w:p w14:paraId="66DDD5B3" w14:textId="7B34805F" w:rsidR="005F400D" w:rsidRDefault="005F400D" w:rsidP="005F400D">
      <w:r w:rsidRPr="004A31AD">
        <w:t>I tiårsperioden 200</w:t>
      </w:r>
      <w:r>
        <w:t>5</w:t>
      </w:r>
      <w:r w:rsidRPr="004A31AD">
        <w:t xml:space="preserve"> til 201</w:t>
      </w:r>
      <w:r>
        <w:t xml:space="preserve">4 </w:t>
      </w:r>
      <w:r w:rsidRPr="004A31AD">
        <w:t xml:space="preserve">ble lønnsforskjellene mellom kvinner og menn redusert eller var uendret for de fleste </w:t>
      </w:r>
      <w:r>
        <w:t>næringene</w:t>
      </w:r>
      <w:r w:rsidRPr="004A31AD">
        <w:t xml:space="preserve"> med unntak </w:t>
      </w:r>
      <w:r>
        <w:t xml:space="preserve">for </w:t>
      </w:r>
      <w:r w:rsidRPr="004A31AD">
        <w:t>ansatte i finanstjenester</w:t>
      </w:r>
      <w:r>
        <w:t xml:space="preserve"> og personlige tjenester. </w:t>
      </w:r>
    </w:p>
    <w:p w14:paraId="675C12F6" w14:textId="204E8DCE" w:rsidR="005F400D" w:rsidRDefault="005F400D" w:rsidP="005F400D">
      <w:r>
        <w:t xml:space="preserve">For utviklingen av lønnsforskjeller mellom kvinner og menn fordelt etter næring (2005-2014) og hvor deltid er inkludert, vises det til tabell </w:t>
      </w:r>
      <w:r w:rsidR="00B94FB0">
        <w:t xml:space="preserve">2.2 </w:t>
      </w:r>
      <w:r>
        <w:t xml:space="preserve">i vedlegg </w:t>
      </w:r>
      <w:r w:rsidR="00B94FB0">
        <w:t>2</w:t>
      </w:r>
      <w:r>
        <w:t xml:space="preserve">. Generelt er lønnsforskjellene større når deltid inkluderes. Dette har sammenheng med at mange deltidsansatte er å finne i lavere stillinger. Et unntak er helseforetakene og private helse- og sosialtjenester hvor lønnsforskjellene </w:t>
      </w:r>
      <w:r w:rsidR="00336E39">
        <w:t xml:space="preserve">mellom kvinner og menn </w:t>
      </w:r>
      <w:r>
        <w:t>blir mindre når deltid inkluderes.</w:t>
      </w:r>
      <w:r w:rsidRPr="00F73EAB">
        <w:t xml:space="preserve"> </w:t>
      </w:r>
    </w:p>
    <w:p w14:paraId="52504686" w14:textId="77777777" w:rsidR="005F400D" w:rsidRDefault="005F400D" w:rsidP="005F400D">
      <w:pPr>
        <w:pStyle w:val="tabell-tittel"/>
      </w:pPr>
      <w:r w:rsidRPr="001B0D52">
        <w:rPr>
          <w:snapToGrid w:val="0"/>
        </w:rPr>
        <w:t xml:space="preserve">Kvinners gjennomsnittslønn </w:t>
      </w:r>
      <w:r>
        <w:rPr>
          <w:snapToGrid w:val="0"/>
        </w:rPr>
        <w:t>per dato</w:t>
      </w:r>
      <w:r w:rsidRPr="00164346">
        <w:rPr>
          <w:snapToGrid w:val="0"/>
          <w:vertAlign w:val="superscript"/>
        </w:rPr>
        <w:t>1</w:t>
      </w:r>
      <w:r>
        <w:rPr>
          <w:snapToGrid w:val="0"/>
        </w:rPr>
        <w:t xml:space="preserve"> i forhold til</w:t>
      </w:r>
      <w:r w:rsidRPr="001B0D52">
        <w:rPr>
          <w:snapToGrid w:val="0"/>
        </w:rPr>
        <w:t xml:space="preserve"> menns gjennomsnittslønn etter næring. Heltidsansatte</w:t>
      </w:r>
      <w:r>
        <w:rPr>
          <w:snapToGrid w:val="0"/>
        </w:rPr>
        <w:t>.</w:t>
      </w:r>
    </w:p>
    <w:tbl>
      <w:tblPr>
        <w:tblW w:w="5068" w:type="pct"/>
        <w:tblCellMar>
          <w:left w:w="28" w:type="dxa"/>
          <w:right w:w="28" w:type="dxa"/>
        </w:tblCellMar>
        <w:tblLook w:val="0000" w:firstRow="0" w:lastRow="0" w:firstColumn="0" w:lastColumn="0" w:noHBand="0" w:noVBand="0"/>
      </w:tblPr>
      <w:tblGrid>
        <w:gridCol w:w="2086"/>
        <w:gridCol w:w="495"/>
        <w:gridCol w:w="495"/>
        <w:gridCol w:w="494"/>
        <w:gridCol w:w="495"/>
        <w:gridCol w:w="496"/>
        <w:gridCol w:w="496"/>
        <w:gridCol w:w="496"/>
        <w:gridCol w:w="495"/>
        <w:gridCol w:w="495"/>
        <w:gridCol w:w="495"/>
        <w:gridCol w:w="741"/>
        <w:gridCol w:w="697"/>
        <w:gridCol w:w="717"/>
      </w:tblGrid>
      <w:tr w:rsidR="005F400D" w:rsidRPr="00F63F5E" w14:paraId="5E3F9EFE" w14:textId="77777777" w:rsidTr="008C4FE7">
        <w:trPr>
          <w:trHeight w:val="401"/>
          <w:tblHeader/>
        </w:trPr>
        <w:tc>
          <w:tcPr>
            <w:tcW w:w="1132" w:type="pct"/>
            <w:tcBorders>
              <w:top w:val="single" w:sz="4" w:space="0" w:color="auto"/>
            </w:tcBorders>
            <w:vAlign w:val="bottom"/>
          </w:tcPr>
          <w:p w14:paraId="6CAE76BE" w14:textId="77777777" w:rsidR="005F400D" w:rsidRPr="00F63F5E" w:rsidRDefault="005F400D" w:rsidP="008C4FE7">
            <w:pPr>
              <w:spacing w:before="40" w:after="0" w:line="276" w:lineRule="auto"/>
              <w:rPr>
                <w:rFonts w:ascii="Times Roman" w:hAnsi="Times Roman"/>
                <w:sz w:val="18"/>
                <w:szCs w:val="18"/>
              </w:rPr>
            </w:pPr>
          </w:p>
        </w:tc>
        <w:tc>
          <w:tcPr>
            <w:tcW w:w="270" w:type="pct"/>
            <w:tcBorders>
              <w:top w:val="single" w:sz="4" w:space="0" w:color="auto"/>
            </w:tcBorders>
            <w:vAlign w:val="bottom"/>
          </w:tcPr>
          <w:p w14:paraId="7C0E3EB9" w14:textId="77777777" w:rsidR="005F400D" w:rsidRPr="00F63F5E" w:rsidRDefault="005F400D" w:rsidP="008C4FE7">
            <w:pPr>
              <w:spacing w:before="40" w:after="0" w:line="276" w:lineRule="auto"/>
              <w:jc w:val="right"/>
              <w:rPr>
                <w:rFonts w:ascii="Times Roman" w:hAnsi="Times Roman"/>
                <w:sz w:val="18"/>
                <w:szCs w:val="18"/>
              </w:rPr>
            </w:pPr>
          </w:p>
        </w:tc>
        <w:tc>
          <w:tcPr>
            <w:tcW w:w="270" w:type="pct"/>
            <w:tcBorders>
              <w:top w:val="single" w:sz="4" w:space="0" w:color="auto"/>
            </w:tcBorders>
            <w:vAlign w:val="bottom"/>
          </w:tcPr>
          <w:p w14:paraId="49892808" w14:textId="77777777" w:rsidR="005F400D" w:rsidRPr="00F63F5E" w:rsidRDefault="005F400D" w:rsidP="008C4FE7">
            <w:pPr>
              <w:spacing w:before="40" w:after="0" w:line="276" w:lineRule="auto"/>
              <w:jc w:val="right"/>
              <w:rPr>
                <w:rFonts w:ascii="Times Roman" w:hAnsi="Times Roman"/>
                <w:sz w:val="18"/>
                <w:szCs w:val="18"/>
              </w:rPr>
            </w:pPr>
          </w:p>
        </w:tc>
        <w:tc>
          <w:tcPr>
            <w:tcW w:w="269" w:type="pct"/>
            <w:tcBorders>
              <w:top w:val="single" w:sz="4" w:space="0" w:color="auto"/>
            </w:tcBorders>
            <w:tcMar>
              <w:left w:w="34" w:type="dxa"/>
            </w:tcMar>
            <w:vAlign w:val="bottom"/>
          </w:tcPr>
          <w:p w14:paraId="2DD1993E" w14:textId="77777777" w:rsidR="005F400D" w:rsidRPr="00F63F5E" w:rsidRDefault="005F400D" w:rsidP="008C4FE7">
            <w:pPr>
              <w:spacing w:before="40" w:after="0" w:line="276" w:lineRule="auto"/>
              <w:jc w:val="right"/>
              <w:rPr>
                <w:rFonts w:ascii="Times Roman" w:hAnsi="Times Roman"/>
                <w:sz w:val="18"/>
                <w:szCs w:val="18"/>
              </w:rPr>
            </w:pPr>
          </w:p>
        </w:tc>
        <w:tc>
          <w:tcPr>
            <w:tcW w:w="269" w:type="pct"/>
            <w:tcBorders>
              <w:top w:val="single" w:sz="4" w:space="0" w:color="auto"/>
            </w:tcBorders>
            <w:vAlign w:val="bottom"/>
          </w:tcPr>
          <w:p w14:paraId="5CF0AD4C" w14:textId="77777777" w:rsidR="005F400D" w:rsidRPr="00F63F5E" w:rsidRDefault="005F400D" w:rsidP="008C4FE7">
            <w:pPr>
              <w:spacing w:before="40" w:after="0" w:line="276" w:lineRule="auto"/>
              <w:jc w:val="center"/>
              <w:rPr>
                <w:rFonts w:ascii="Times Roman" w:hAnsi="Times Roman"/>
                <w:sz w:val="18"/>
                <w:szCs w:val="18"/>
              </w:rPr>
            </w:pPr>
          </w:p>
        </w:tc>
        <w:tc>
          <w:tcPr>
            <w:tcW w:w="270" w:type="pct"/>
            <w:tcBorders>
              <w:top w:val="single" w:sz="4" w:space="0" w:color="auto"/>
            </w:tcBorders>
            <w:vAlign w:val="bottom"/>
          </w:tcPr>
          <w:p w14:paraId="18352B48" w14:textId="77777777" w:rsidR="005F400D" w:rsidRPr="00F63F5E" w:rsidRDefault="005F400D" w:rsidP="008C4FE7">
            <w:pPr>
              <w:spacing w:before="40" w:after="0" w:line="276" w:lineRule="auto"/>
              <w:jc w:val="right"/>
              <w:rPr>
                <w:rFonts w:ascii="Times Roman" w:hAnsi="Times Roman"/>
                <w:sz w:val="18"/>
                <w:szCs w:val="18"/>
              </w:rPr>
            </w:pPr>
          </w:p>
        </w:tc>
        <w:tc>
          <w:tcPr>
            <w:tcW w:w="270" w:type="pct"/>
            <w:tcBorders>
              <w:top w:val="single" w:sz="4" w:space="0" w:color="auto"/>
            </w:tcBorders>
            <w:vAlign w:val="bottom"/>
          </w:tcPr>
          <w:p w14:paraId="4ACA277F" w14:textId="77777777" w:rsidR="005F400D" w:rsidRPr="00F63F5E" w:rsidRDefault="005F400D" w:rsidP="008C4FE7">
            <w:pPr>
              <w:spacing w:before="40" w:after="0" w:line="276" w:lineRule="auto"/>
              <w:jc w:val="center"/>
              <w:rPr>
                <w:rFonts w:ascii="Times Roman" w:hAnsi="Times Roman"/>
                <w:sz w:val="18"/>
                <w:szCs w:val="18"/>
              </w:rPr>
            </w:pPr>
          </w:p>
        </w:tc>
        <w:tc>
          <w:tcPr>
            <w:tcW w:w="270" w:type="pct"/>
            <w:tcBorders>
              <w:top w:val="single" w:sz="4" w:space="0" w:color="auto"/>
            </w:tcBorders>
            <w:vAlign w:val="bottom"/>
          </w:tcPr>
          <w:p w14:paraId="485A11C5" w14:textId="77777777" w:rsidR="005F400D" w:rsidRPr="00F63F5E" w:rsidRDefault="005F400D" w:rsidP="008C4FE7">
            <w:pPr>
              <w:spacing w:before="40" w:after="0" w:line="276" w:lineRule="auto"/>
              <w:jc w:val="center"/>
              <w:rPr>
                <w:rFonts w:ascii="Times Roman" w:hAnsi="Times Roman"/>
                <w:sz w:val="18"/>
                <w:szCs w:val="18"/>
              </w:rPr>
            </w:pPr>
          </w:p>
        </w:tc>
        <w:tc>
          <w:tcPr>
            <w:tcW w:w="269" w:type="pct"/>
            <w:tcBorders>
              <w:top w:val="single" w:sz="4" w:space="0" w:color="auto"/>
            </w:tcBorders>
            <w:vAlign w:val="bottom"/>
          </w:tcPr>
          <w:p w14:paraId="42689C37" w14:textId="77777777" w:rsidR="005F400D" w:rsidRPr="00F63F5E" w:rsidRDefault="005F400D" w:rsidP="008C4FE7">
            <w:pPr>
              <w:spacing w:before="40" w:after="0" w:line="276" w:lineRule="auto"/>
              <w:ind w:left="-130"/>
              <w:jc w:val="right"/>
              <w:rPr>
                <w:rFonts w:ascii="Times Roman" w:hAnsi="Times Roman"/>
                <w:sz w:val="18"/>
                <w:szCs w:val="18"/>
              </w:rPr>
            </w:pPr>
          </w:p>
        </w:tc>
        <w:tc>
          <w:tcPr>
            <w:tcW w:w="269" w:type="pct"/>
            <w:tcBorders>
              <w:top w:val="single" w:sz="4" w:space="0" w:color="auto"/>
            </w:tcBorders>
            <w:vAlign w:val="bottom"/>
          </w:tcPr>
          <w:p w14:paraId="423DC82A" w14:textId="77777777" w:rsidR="005F400D" w:rsidRPr="00F63F5E" w:rsidRDefault="005F400D" w:rsidP="008C4FE7">
            <w:pPr>
              <w:spacing w:before="40" w:after="0" w:line="276" w:lineRule="auto"/>
              <w:jc w:val="center"/>
              <w:rPr>
                <w:rFonts w:ascii="Times Roman" w:hAnsi="Times Roman"/>
                <w:sz w:val="18"/>
                <w:szCs w:val="18"/>
              </w:rPr>
            </w:pPr>
          </w:p>
        </w:tc>
        <w:tc>
          <w:tcPr>
            <w:tcW w:w="269" w:type="pct"/>
            <w:tcBorders>
              <w:top w:val="single" w:sz="4" w:space="0" w:color="auto"/>
            </w:tcBorders>
          </w:tcPr>
          <w:p w14:paraId="5734D975" w14:textId="77777777" w:rsidR="005F400D" w:rsidRPr="00F63F5E" w:rsidRDefault="005F400D" w:rsidP="008C4FE7">
            <w:pPr>
              <w:spacing w:before="40" w:after="0" w:line="276" w:lineRule="auto"/>
              <w:jc w:val="center"/>
              <w:rPr>
                <w:rFonts w:ascii="Times Roman" w:hAnsi="Times Roman"/>
                <w:sz w:val="18"/>
                <w:szCs w:val="18"/>
              </w:rPr>
            </w:pPr>
          </w:p>
        </w:tc>
        <w:tc>
          <w:tcPr>
            <w:tcW w:w="782" w:type="pct"/>
            <w:gridSpan w:val="2"/>
            <w:tcBorders>
              <w:top w:val="single" w:sz="4" w:space="0" w:color="auto"/>
            </w:tcBorders>
            <w:vAlign w:val="bottom"/>
          </w:tcPr>
          <w:p w14:paraId="2187546B" w14:textId="77777777" w:rsidR="005F400D" w:rsidRPr="00F63F5E" w:rsidRDefault="005F400D" w:rsidP="008C4FE7">
            <w:pPr>
              <w:spacing w:before="40" w:after="0" w:line="276" w:lineRule="auto"/>
              <w:jc w:val="center"/>
              <w:rPr>
                <w:rFonts w:ascii="Times Roman" w:hAnsi="Times Roman"/>
                <w:sz w:val="18"/>
                <w:szCs w:val="18"/>
              </w:rPr>
            </w:pPr>
            <w:r w:rsidRPr="00F63F5E">
              <w:rPr>
                <w:rFonts w:ascii="Times Roman" w:hAnsi="Times Roman"/>
                <w:sz w:val="18"/>
                <w:szCs w:val="18"/>
              </w:rPr>
              <w:t>Månedslønn</w:t>
            </w:r>
          </w:p>
          <w:p w14:paraId="5FBE4A76" w14:textId="77777777" w:rsidR="005F400D" w:rsidRPr="00F63F5E" w:rsidRDefault="005F400D" w:rsidP="008C4FE7">
            <w:pPr>
              <w:spacing w:before="40" w:after="0" w:line="276" w:lineRule="auto"/>
              <w:ind w:left="21" w:hanging="21"/>
              <w:jc w:val="center"/>
              <w:rPr>
                <w:rFonts w:ascii="Times Roman" w:hAnsi="Times Roman"/>
                <w:sz w:val="18"/>
                <w:szCs w:val="18"/>
                <w:vertAlign w:val="superscript"/>
              </w:rPr>
            </w:pPr>
            <w:r w:rsidRPr="00F63F5E">
              <w:rPr>
                <w:rFonts w:ascii="Times Roman" w:hAnsi="Times Roman"/>
                <w:sz w:val="18"/>
                <w:szCs w:val="18"/>
              </w:rPr>
              <w:t>per dato</w:t>
            </w:r>
            <w:r w:rsidRPr="00F63F5E">
              <w:rPr>
                <w:rFonts w:ascii="Times Roman" w:hAnsi="Times Roman"/>
                <w:snapToGrid w:val="0"/>
                <w:sz w:val="18"/>
                <w:szCs w:val="18"/>
                <w:vertAlign w:val="superscript"/>
              </w:rPr>
              <w:t>1</w:t>
            </w:r>
            <w:r w:rsidRPr="00F63F5E">
              <w:rPr>
                <w:rFonts w:ascii="Times Roman" w:hAnsi="Times Roman"/>
                <w:sz w:val="18"/>
                <w:szCs w:val="18"/>
              </w:rPr>
              <w:t>*12</w:t>
            </w:r>
          </w:p>
        </w:tc>
        <w:tc>
          <w:tcPr>
            <w:tcW w:w="390" w:type="pct"/>
            <w:tcBorders>
              <w:top w:val="single" w:sz="4" w:space="0" w:color="auto"/>
            </w:tcBorders>
            <w:vAlign w:val="bottom"/>
          </w:tcPr>
          <w:p w14:paraId="223B768C" w14:textId="77777777" w:rsidR="005F400D" w:rsidRPr="00F63F5E" w:rsidRDefault="005F400D" w:rsidP="008C4FE7">
            <w:pPr>
              <w:spacing w:before="40" w:after="0" w:line="276" w:lineRule="auto"/>
              <w:jc w:val="center"/>
              <w:rPr>
                <w:rFonts w:ascii="Times Roman" w:hAnsi="Times Roman"/>
                <w:sz w:val="18"/>
                <w:szCs w:val="18"/>
              </w:rPr>
            </w:pPr>
            <w:r w:rsidRPr="00F63F5E">
              <w:rPr>
                <w:rFonts w:ascii="Times Roman" w:hAnsi="Times Roman"/>
                <w:sz w:val="18"/>
                <w:szCs w:val="18"/>
              </w:rPr>
              <w:t xml:space="preserve">Andel kvinner </w:t>
            </w:r>
            <w:r w:rsidRPr="00F63F5E">
              <w:rPr>
                <w:rFonts w:ascii="Times Roman" w:hAnsi="Times Roman"/>
                <w:sz w:val="18"/>
                <w:szCs w:val="18"/>
                <w:vertAlign w:val="superscript"/>
              </w:rPr>
              <w:t>4</w:t>
            </w:r>
          </w:p>
        </w:tc>
      </w:tr>
      <w:tr w:rsidR="005F400D" w:rsidRPr="00F63F5E" w14:paraId="2E0D547E" w14:textId="77777777" w:rsidTr="008C4FE7">
        <w:trPr>
          <w:trHeight w:val="147"/>
          <w:tblHeader/>
        </w:trPr>
        <w:tc>
          <w:tcPr>
            <w:tcW w:w="1132" w:type="pct"/>
            <w:tcBorders>
              <w:bottom w:val="single" w:sz="4" w:space="0" w:color="auto"/>
            </w:tcBorders>
            <w:vAlign w:val="bottom"/>
          </w:tcPr>
          <w:p w14:paraId="49C350B6" w14:textId="77777777" w:rsidR="005F400D" w:rsidRPr="00F63F5E" w:rsidRDefault="005F400D" w:rsidP="008C4FE7">
            <w:pPr>
              <w:spacing w:before="40" w:after="0" w:line="276" w:lineRule="auto"/>
              <w:rPr>
                <w:rFonts w:ascii="Times Roman" w:hAnsi="Times Roman"/>
                <w:sz w:val="18"/>
                <w:szCs w:val="18"/>
              </w:rPr>
            </w:pPr>
          </w:p>
        </w:tc>
        <w:tc>
          <w:tcPr>
            <w:tcW w:w="270" w:type="pct"/>
            <w:tcBorders>
              <w:bottom w:val="single" w:sz="4" w:space="0" w:color="auto"/>
            </w:tcBorders>
            <w:vAlign w:val="bottom"/>
          </w:tcPr>
          <w:p w14:paraId="64FC392C" w14:textId="77777777" w:rsidR="005F400D" w:rsidRPr="00F63F5E" w:rsidRDefault="005F400D" w:rsidP="008C4FE7">
            <w:pPr>
              <w:spacing w:before="40" w:after="0" w:line="276" w:lineRule="auto"/>
              <w:jc w:val="right"/>
              <w:rPr>
                <w:rFonts w:ascii="Times Roman" w:hAnsi="Times Roman"/>
                <w:sz w:val="18"/>
                <w:szCs w:val="18"/>
              </w:rPr>
            </w:pPr>
          </w:p>
        </w:tc>
        <w:tc>
          <w:tcPr>
            <w:tcW w:w="270" w:type="pct"/>
            <w:tcBorders>
              <w:bottom w:val="single" w:sz="4" w:space="0" w:color="auto"/>
            </w:tcBorders>
            <w:vAlign w:val="bottom"/>
          </w:tcPr>
          <w:p w14:paraId="3B2A2BC5" w14:textId="77777777" w:rsidR="005F400D" w:rsidRPr="00F63F5E" w:rsidRDefault="005F400D" w:rsidP="008C4FE7">
            <w:pPr>
              <w:spacing w:before="40" w:after="0" w:line="276" w:lineRule="auto"/>
              <w:jc w:val="right"/>
              <w:rPr>
                <w:rFonts w:ascii="Times Roman" w:hAnsi="Times Roman"/>
                <w:sz w:val="18"/>
                <w:szCs w:val="18"/>
              </w:rPr>
            </w:pPr>
          </w:p>
        </w:tc>
        <w:tc>
          <w:tcPr>
            <w:tcW w:w="269" w:type="pct"/>
            <w:tcBorders>
              <w:bottom w:val="single" w:sz="4" w:space="0" w:color="auto"/>
            </w:tcBorders>
            <w:tcMar>
              <w:left w:w="34" w:type="dxa"/>
            </w:tcMar>
            <w:vAlign w:val="bottom"/>
          </w:tcPr>
          <w:p w14:paraId="5BDDF5CA" w14:textId="77777777" w:rsidR="005F400D" w:rsidRPr="00F63F5E" w:rsidRDefault="005F400D" w:rsidP="008C4FE7">
            <w:pPr>
              <w:spacing w:before="40" w:after="0" w:line="276" w:lineRule="auto"/>
              <w:jc w:val="right"/>
              <w:rPr>
                <w:rFonts w:ascii="Times Roman" w:hAnsi="Times Roman"/>
                <w:sz w:val="18"/>
                <w:szCs w:val="18"/>
              </w:rPr>
            </w:pPr>
          </w:p>
        </w:tc>
        <w:tc>
          <w:tcPr>
            <w:tcW w:w="269" w:type="pct"/>
            <w:tcBorders>
              <w:bottom w:val="single" w:sz="4" w:space="0" w:color="auto"/>
            </w:tcBorders>
            <w:vAlign w:val="bottom"/>
          </w:tcPr>
          <w:p w14:paraId="6D2B1C53" w14:textId="77777777" w:rsidR="005F400D" w:rsidRPr="00F63F5E" w:rsidRDefault="005F400D" w:rsidP="008C4FE7">
            <w:pPr>
              <w:spacing w:before="40" w:after="0" w:line="276" w:lineRule="auto"/>
              <w:jc w:val="center"/>
              <w:rPr>
                <w:rFonts w:ascii="Times Roman" w:hAnsi="Times Roman"/>
                <w:sz w:val="18"/>
                <w:szCs w:val="18"/>
              </w:rPr>
            </w:pPr>
          </w:p>
        </w:tc>
        <w:tc>
          <w:tcPr>
            <w:tcW w:w="270" w:type="pct"/>
            <w:tcBorders>
              <w:bottom w:val="single" w:sz="4" w:space="0" w:color="auto"/>
            </w:tcBorders>
            <w:vAlign w:val="bottom"/>
          </w:tcPr>
          <w:p w14:paraId="29EA831B" w14:textId="77777777" w:rsidR="005F400D" w:rsidRPr="00F63F5E" w:rsidRDefault="005F400D" w:rsidP="008C4FE7">
            <w:pPr>
              <w:spacing w:before="40" w:after="0" w:line="276" w:lineRule="auto"/>
              <w:jc w:val="right"/>
              <w:rPr>
                <w:rFonts w:ascii="Times Roman" w:hAnsi="Times Roman"/>
                <w:sz w:val="18"/>
                <w:szCs w:val="18"/>
              </w:rPr>
            </w:pPr>
          </w:p>
        </w:tc>
        <w:tc>
          <w:tcPr>
            <w:tcW w:w="270" w:type="pct"/>
            <w:tcBorders>
              <w:bottom w:val="single" w:sz="4" w:space="0" w:color="auto"/>
            </w:tcBorders>
            <w:vAlign w:val="bottom"/>
          </w:tcPr>
          <w:p w14:paraId="24B46C77" w14:textId="77777777" w:rsidR="005F400D" w:rsidRPr="00F63F5E" w:rsidRDefault="005F400D" w:rsidP="008C4FE7">
            <w:pPr>
              <w:spacing w:before="40" w:after="0" w:line="276" w:lineRule="auto"/>
              <w:jc w:val="center"/>
              <w:rPr>
                <w:rFonts w:ascii="Times Roman" w:hAnsi="Times Roman"/>
                <w:sz w:val="18"/>
                <w:szCs w:val="18"/>
              </w:rPr>
            </w:pPr>
          </w:p>
        </w:tc>
        <w:tc>
          <w:tcPr>
            <w:tcW w:w="270" w:type="pct"/>
            <w:tcBorders>
              <w:bottom w:val="single" w:sz="4" w:space="0" w:color="auto"/>
            </w:tcBorders>
            <w:vAlign w:val="bottom"/>
          </w:tcPr>
          <w:p w14:paraId="38B1D9E9" w14:textId="77777777" w:rsidR="005F400D" w:rsidRPr="00F63F5E" w:rsidRDefault="005F400D" w:rsidP="008C4FE7">
            <w:pPr>
              <w:spacing w:before="40" w:after="0" w:line="276" w:lineRule="auto"/>
              <w:jc w:val="center"/>
              <w:rPr>
                <w:rFonts w:ascii="Times Roman" w:hAnsi="Times Roman"/>
                <w:sz w:val="18"/>
                <w:szCs w:val="18"/>
              </w:rPr>
            </w:pPr>
          </w:p>
        </w:tc>
        <w:tc>
          <w:tcPr>
            <w:tcW w:w="269" w:type="pct"/>
            <w:tcBorders>
              <w:bottom w:val="single" w:sz="4" w:space="0" w:color="auto"/>
            </w:tcBorders>
            <w:vAlign w:val="bottom"/>
          </w:tcPr>
          <w:p w14:paraId="1A01A0D4" w14:textId="77777777" w:rsidR="005F400D" w:rsidRPr="00F63F5E" w:rsidRDefault="005F400D" w:rsidP="008C4FE7">
            <w:pPr>
              <w:spacing w:before="40" w:after="0" w:line="276" w:lineRule="auto"/>
              <w:ind w:left="-130"/>
              <w:jc w:val="right"/>
              <w:rPr>
                <w:rFonts w:ascii="Times Roman" w:hAnsi="Times Roman"/>
                <w:sz w:val="18"/>
                <w:szCs w:val="18"/>
              </w:rPr>
            </w:pPr>
          </w:p>
        </w:tc>
        <w:tc>
          <w:tcPr>
            <w:tcW w:w="269" w:type="pct"/>
            <w:tcBorders>
              <w:bottom w:val="single" w:sz="4" w:space="0" w:color="auto"/>
            </w:tcBorders>
            <w:vAlign w:val="bottom"/>
          </w:tcPr>
          <w:p w14:paraId="4B83AF0B" w14:textId="77777777" w:rsidR="005F400D" w:rsidRPr="00F63F5E" w:rsidRDefault="005F400D" w:rsidP="008C4FE7">
            <w:pPr>
              <w:spacing w:before="40" w:after="0" w:line="276" w:lineRule="auto"/>
              <w:jc w:val="center"/>
              <w:rPr>
                <w:rFonts w:ascii="Times Roman" w:hAnsi="Times Roman"/>
                <w:sz w:val="18"/>
                <w:szCs w:val="18"/>
              </w:rPr>
            </w:pPr>
          </w:p>
        </w:tc>
        <w:tc>
          <w:tcPr>
            <w:tcW w:w="269" w:type="pct"/>
            <w:tcBorders>
              <w:bottom w:val="single" w:sz="4" w:space="0" w:color="auto"/>
            </w:tcBorders>
          </w:tcPr>
          <w:p w14:paraId="15DF2485" w14:textId="77777777" w:rsidR="005F400D" w:rsidRPr="00F63F5E" w:rsidRDefault="005F400D" w:rsidP="008C4FE7">
            <w:pPr>
              <w:spacing w:before="40" w:after="0" w:line="276" w:lineRule="auto"/>
              <w:jc w:val="center"/>
              <w:rPr>
                <w:rFonts w:ascii="Times Roman" w:hAnsi="Times Roman"/>
                <w:sz w:val="18"/>
                <w:szCs w:val="18"/>
              </w:rPr>
            </w:pPr>
          </w:p>
        </w:tc>
        <w:tc>
          <w:tcPr>
            <w:tcW w:w="403" w:type="pct"/>
            <w:tcBorders>
              <w:bottom w:val="single" w:sz="4" w:space="0" w:color="auto"/>
            </w:tcBorders>
            <w:vAlign w:val="bottom"/>
          </w:tcPr>
          <w:p w14:paraId="2C88CEE5" w14:textId="77777777" w:rsidR="005F400D" w:rsidRPr="00F63F5E" w:rsidRDefault="005F400D" w:rsidP="008C4FE7">
            <w:pPr>
              <w:spacing w:before="40" w:after="0" w:line="276" w:lineRule="auto"/>
              <w:jc w:val="center"/>
              <w:rPr>
                <w:rFonts w:ascii="Times Roman" w:hAnsi="Times Roman"/>
                <w:sz w:val="18"/>
                <w:szCs w:val="18"/>
              </w:rPr>
            </w:pPr>
            <w:r w:rsidRPr="00F63F5E">
              <w:rPr>
                <w:rFonts w:ascii="Times Roman" w:hAnsi="Times Roman"/>
                <w:sz w:val="18"/>
                <w:szCs w:val="18"/>
              </w:rPr>
              <w:t>Menn</w:t>
            </w:r>
          </w:p>
        </w:tc>
        <w:tc>
          <w:tcPr>
            <w:tcW w:w="379" w:type="pct"/>
            <w:tcBorders>
              <w:bottom w:val="single" w:sz="4" w:space="0" w:color="auto"/>
            </w:tcBorders>
            <w:vAlign w:val="bottom"/>
          </w:tcPr>
          <w:p w14:paraId="1775F319" w14:textId="77777777" w:rsidR="005F400D" w:rsidRPr="00F63F5E" w:rsidRDefault="005F400D" w:rsidP="008C4FE7">
            <w:pPr>
              <w:spacing w:before="40" w:after="0" w:line="276" w:lineRule="auto"/>
              <w:ind w:right="-22"/>
              <w:rPr>
                <w:rFonts w:ascii="Times Roman" w:hAnsi="Times Roman"/>
                <w:sz w:val="18"/>
                <w:szCs w:val="18"/>
              </w:rPr>
            </w:pPr>
            <w:r w:rsidRPr="00F63F5E">
              <w:rPr>
                <w:rFonts w:ascii="Times Roman" w:hAnsi="Times Roman"/>
                <w:sz w:val="18"/>
                <w:szCs w:val="18"/>
              </w:rPr>
              <w:t>Kvinner</w:t>
            </w:r>
          </w:p>
        </w:tc>
        <w:tc>
          <w:tcPr>
            <w:tcW w:w="390" w:type="pct"/>
            <w:tcBorders>
              <w:bottom w:val="single" w:sz="4" w:space="0" w:color="auto"/>
            </w:tcBorders>
            <w:vAlign w:val="bottom"/>
          </w:tcPr>
          <w:p w14:paraId="22FBB9A3" w14:textId="77777777" w:rsidR="005F400D" w:rsidRPr="00F63F5E" w:rsidRDefault="005F400D" w:rsidP="001E3B69">
            <w:pPr>
              <w:spacing w:before="40" w:after="0" w:line="276" w:lineRule="auto"/>
              <w:rPr>
                <w:rFonts w:ascii="Times Roman" w:hAnsi="Times Roman"/>
                <w:sz w:val="18"/>
                <w:szCs w:val="18"/>
                <w:vertAlign w:val="superscript"/>
              </w:rPr>
            </w:pPr>
          </w:p>
        </w:tc>
      </w:tr>
      <w:tr w:rsidR="005F400D" w:rsidRPr="00F63F5E" w14:paraId="4D4FA688" w14:textId="77777777" w:rsidTr="008C4FE7">
        <w:trPr>
          <w:trHeight w:val="281"/>
          <w:tblHeader/>
        </w:trPr>
        <w:tc>
          <w:tcPr>
            <w:tcW w:w="1132" w:type="pct"/>
            <w:tcBorders>
              <w:top w:val="single" w:sz="4" w:space="0" w:color="auto"/>
              <w:bottom w:val="single" w:sz="4" w:space="0" w:color="auto"/>
            </w:tcBorders>
            <w:vAlign w:val="bottom"/>
          </w:tcPr>
          <w:p w14:paraId="506F3B0B" w14:textId="77777777" w:rsidR="005F400D" w:rsidRPr="00F63F5E" w:rsidRDefault="005F400D" w:rsidP="008C4FE7">
            <w:pPr>
              <w:spacing w:before="40" w:after="0" w:line="276" w:lineRule="auto"/>
              <w:jc w:val="right"/>
              <w:rPr>
                <w:rFonts w:ascii="Times Roman" w:hAnsi="Times Roman"/>
                <w:sz w:val="18"/>
                <w:szCs w:val="18"/>
              </w:rPr>
            </w:pPr>
          </w:p>
        </w:tc>
        <w:tc>
          <w:tcPr>
            <w:tcW w:w="270" w:type="pct"/>
            <w:tcBorders>
              <w:top w:val="single" w:sz="4" w:space="0" w:color="auto"/>
              <w:bottom w:val="single" w:sz="4" w:space="0" w:color="auto"/>
            </w:tcBorders>
            <w:vAlign w:val="bottom"/>
          </w:tcPr>
          <w:p w14:paraId="5638E398" w14:textId="77777777" w:rsidR="005F400D" w:rsidRPr="00F63F5E" w:rsidRDefault="005F400D" w:rsidP="008C4FE7">
            <w:pPr>
              <w:spacing w:before="40" w:after="0" w:line="276" w:lineRule="auto"/>
              <w:jc w:val="right"/>
              <w:rPr>
                <w:rFonts w:ascii="Times Roman" w:hAnsi="Times Roman"/>
                <w:sz w:val="18"/>
                <w:szCs w:val="18"/>
              </w:rPr>
            </w:pPr>
            <w:r w:rsidRPr="00F63F5E">
              <w:rPr>
                <w:rFonts w:ascii="Times Roman" w:hAnsi="Times Roman"/>
                <w:sz w:val="18"/>
                <w:szCs w:val="18"/>
              </w:rPr>
              <w:t>2005</w:t>
            </w:r>
          </w:p>
        </w:tc>
        <w:tc>
          <w:tcPr>
            <w:tcW w:w="270" w:type="pct"/>
            <w:tcBorders>
              <w:top w:val="single" w:sz="4" w:space="0" w:color="auto"/>
              <w:bottom w:val="single" w:sz="4" w:space="0" w:color="auto"/>
            </w:tcBorders>
            <w:vAlign w:val="bottom"/>
          </w:tcPr>
          <w:p w14:paraId="5F802CD0" w14:textId="77777777" w:rsidR="005F400D" w:rsidRPr="00F63F5E" w:rsidRDefault="005F400D" w:rsidP="008C4FE7">
            <w:pPr>
              <w:spacing w:before="40" w:after="0" w:line="276" w:lineRule="auto"/>
              <w:jc w:val="right"/>
              <w:rPr>
                <w:rFonts w:ascii="Times Roman" w:hAnsi="Times Roman"/>
                <w:sz w:val="18"/>
                <w:szCs w:val="18"/>
              </w:rPr>
            </w:pPr>
            <w:r w:rsidRPr="00F63F5E">
              <w:rPr>
                <w:rFonts w:ascii="Times Roman" w:hAnsi="Times Roman"/>
                <w:sz w:val="18"/>
                <w:szCs w:val="18"/>
              </w:rPr>
              <w:t>2006</w:t>
            </w:r>
          </w:p>
        </w:tc>
        <w:tc>
          <w:tcPr>
            <w:tcW w:w="269" w:type="pct"/>
            <w:tcBorders>
              <w:top w:val="single" w:sz="4" w:space="0" w:color="auto"/>
              <w:bottom w:val="single" w:sz="4" w:space="0" w:color="auto"/>
            </w:tcBorders>
            <w:tcMar>
              <w:left w:w="34" w:type="dxa"/>
            </w:tcMar>
            <w:vAlign w:val="bottom"/>
          </w:tcPr>
          <w:p w14:paraId="5344054C" w14:textId="77777777" w:rsidR="005F400D" w:rsidRPr="00F63F5E" w:rsidRDefault="005F400D" w:rsidP="008C4FE7">
            <w:pPr>
              <w:spacing w:before="40" w:after="0" w:line="276" w:lineRule="auto"/>
              <w:jc w:val="right"/>
              <w:rPr>
                <w:rFonts w:ascii="Times Roman" w:hAnsi="Times Roman"/>
                <w:sz w:val="18"/>
                <w:szCs w:val="18"/>
              </w:rPr>
            </w:pPr>
            <w:r w:rsidRPr="00F63F5E">
              <w:rPr>
                <w:rFonts w:ascii="Times Roman" w:hAnsi="Times Roman"/>
                <w:sz w:val="18"/>
                <w:szCs w:val="18"/>
              </w:rPr>
              <w:t>2007</w:t>
            </w:r>
          </w:p>
        </w:tc>
        <w:tc>
          <w:tcPr>
            <w:tcW w:w="269" w:type="pct"/>
            <w:tcBorders>
              <w:top w:val="single" w:sz="4" w:space="0" w:color="auto"/>
              <w:bottom w:val="single" w:sz="4" w:space="0" w:color="auto"/>
            </w:tcBorders>
            <w:vAlign w:val="bottom"/>
          </w:tcPr>
          <w:p w14:paraId="738C175D" w14:textId="77777777" w:rsidR="005F400D" w:rsidRPr="00F63F5E" w:rsidRDefault="005F400D" w:rsidP="008C4FE7">
            <w:pPr>
              <w:spacing w:before="40" w:after="0" w:line="276" w:lineRule="auto"/>
              <w:jc w:val="right"/>
              <w:rPr>
                <w:rFonts w:ascii="Times Roman" w:hAnsi="Times Roman"/>
                <w:sz w:val="18"/>
                <w:szCs w:val="18"/>
              </w:rPr>
            </w:pPr>
            <w:r w:rsidRPr="00F63F5E">
              <w:rPr>
                <w:rFonts w:ascii="Times Roman" w:hAnsi="Times Roman"/>
                <w:sz w:val="18"/>
                <w:szCs w:val="18"/>
              </w:rPr>
              <w:t>2008</w:t>
            </w:r>
            <w:r w:rsidRPr="00F63F5E">
              <w:rPr>
                <w:rFonts w:ascii="Times Roman" w:hAnsi="Times Roman"/>
                <w:sz w:val="18"/>
                <w:szCs w:val="18"/>
                <w:vertAlign w:val="superscript"/>
              </w:rPr>
              <w:t>3</w:t>
            </w:r>
          </w:p>
        </w:tc>
        <w:tc>
          <w:tcPr>
            <w:tcW w:w="270" w:type="pct"/>
            <w:tcBorders>
              <w:top w:val="single" w:sz="4" w:space="0" w:color="auto"/>
              <w:bottom w:val="single" w:sz="4" w:space="0" w:color="auto"/>
            </w:tcBorders>
            <w:vAlign w:val="bottom"/>
          </w:tcPr>
          <w:p w14:paraId="6069340F" w14:textId="77777777" w:rsidR="005F400D" w:rsidRPr="00F63F5E" w:rsidRDefault="005F400D" w:rsidP="008C4FE7">
            <w:pPr>
              <w:spacing w:before="40" w:after="0" w:line="276" w:lineRule="auto"/>
              <w:jc w:val="right"/>
              <w:rPr>
                <w:rFonts w:ascii="Times Roman" w:hAnsi="Times Roman"/>
                <w:sz w:val="18"/>
                <w:szCs w:val="18"/>
                <w:vertAlign w:val="superscript"/>
              </w:rPr>
            </w:pPr>
            <w:r w:rsidRPr="00F63F5E">
              <w:rPr>
                <w:rFonts w:ascii="Times Roman" w:hAnsi="Times Roman"/>
                <w:sz w:val="18"/>
                <w:szCs w:val="18"/>
              </w:rPr>
              <w:t>2009</w:t>
            </w:r>
          </w:p>
        </w:tc>
        <w:tc>
          <w:tcPr>
            <w:tcW w:w="270" w:type="pct"/>
            <w:tcBorders>
              <w:top w:val="single" w:sz="4" w:space="0" w:color="auto"/>
              <w:bottom w:val="single" w:sz="4" w:space="0" w:color="auto"/>
            </w:tcBorders>
            <w:vAlign w:val="bottom"/>
          </w:tcPr>
          <w:p w14:paraId="3EFF053B" w14:textId="77777777" w:rsidR="005F400D" w:rsidRPr="00F63F5E" w:rsidRDefault="005F400D" w:rsidP="008C4FE7">
            <w:pPr>
              <w:spacing w:before="40" w:after="0" w:line="276" w:lineRule="auto"/>
              <w:ind w:left="-130"/>
              <w:jc w:val="right"/>
              <w:rPr>
                <w:rFonts w:ascii="Times Roman" w:hAnsi="Times Roman"/>
                <w:sz w:val="18"/>
                <w:szCs w:val="18"/>
              </w:rPr>
            </w:pPr>
            <w:r w:rsidRPr="00F63F5E">
              <w:rPr>
                <w:rFonts w:ascii="Times Roman" w:hAnsi="Times Roman"/>
                <w:sz w:val="18"/>
                <w:szCs w:val="18"/>
              </w:rPr>
              <w:t>2010</w:t>
            </w:r>
          </w:p>
        </w:tc>
        <w:tc>
          <w:tcPr>
            <w:tcW w:w="270" w:type="pct"/>
            <w:tcBorders>
              <w:top w:val="single" w:sz="4" w:space="0" w:color="auto"/>
              <w:bottom w:val="single" w:sz="4" w:space="0" w:color="auto"/>
            </w:tcBorders>
            <w:vAlign w:val="bottom"/>
          </w:tcPr>
          <w:p w14:paraId="587883D8" w14:textId="77777777" w:rsidR="005F400D" w:rsidRPr="00F63F5E" w:rsidRDefault="005F400D" w:rsidP="008C4FE7">
            <w:pPr>
              <w:spacing w:before="40" w:after="0" w:line="276" w:lineRule="auto"/>
              <w:ind w:left="-130"/>
              <w:jc w:val="right"/>
              <w:rPr>
                <w:rFonts w:ascii="Times Roman" w:hAnsi="Times Roman"/>
                <w:sz w:val="18"/>
                <w:szCs w:val="18"/>
              </w:rPr>
            </w:pPr>
            <w:r w:rsidRPr="00F63F5E">
              <w:rPr>
                <w:rFonts w:ascii="Times Roman" w:hAnsi="Times Roman"/>
                <w:sz w:val="18"/>
                <w:szCs w:val="18"/>
              </w:rPr>
              <w:t>2011</w:t>
            </w:r>
          </w:p>
        </w:tc>
        <w:tc>
          <w:tcPr>
            <w:tcW w:w="269" w:type="pct"/>
            <w:tcBorders>
              <w:top w:val="single" w:sz="4" w:space="0" w:color="auto"/>
              <w:bottom w:val="single" w:sz="4" w:space="0" w:color="auto"/>
            </w:tcBorders>
            <w:vAlign w:val="bottom"/>
          </w:tcPr>
          <w:p w14:paraId="2266E663" w14:textId="77777777" w:rsidR="005F400D" w:rsidRPr="00F63F5E" w:rsidRDefault="005F400D" w:rsidP="008C4FE7">
            <w:pPr>
              <w:spacing w:before="40" w:after="0" w:line="276" w:lineRule="auto"/>
              <w:jc w:val="right"/>
              <w:rPr>
                <w:rFonts w:ascii="Times Roman" w:hAnsi="Times Roman"/>
                <w:sz w:val="18"/>
                <w:szCs w:val="18"/>
              </w:rPr>
            </w:pPr>
            <w:r w:rsidRPr="00F63F5E">
              <w:rPr>
                <w:rFonts w:ascii="Times Roman" w:hAnsi="Times Roman"/>
                <w:sz w:val="18"/>
                <w:szCs w:val="18"/>
              </w:rPr>
              <w:t>2012</w:t>
            </w:r>
          </w:p>
        </w:tc>
        <w:tc>
          <w:tcPr>
            <w:tcW w:w="269" w:type="pct"/>
            <w:tcBorders>
              <w:top w:val="single" w:sz="4" w:space="0" w:color="auto"/>
              <w:bottom w:val="single" w:sz="4" w:space="0" w:color="auto"/>
            </w:tcBorders>
            <w:vAlign w:val="bottom"/>
          </w:tcPr>
          <w:p w14:paraId="60A13389" w14:textId="77777777" w:rsidR="005F400D" w:rsidRPr="00F63F5E" w:rsidRDefault="005F400D" w:rsidP="008C4FE7">
            <w:pPr>
              <w:spacing w:before="40" w:after="0" w:line="276" w:lineRule="auto"/>
              <w:jc w:val="right"/>
              <w:rPr>
                <w:rFonts w:ascii="Times Roman" w:hAnsi="Times Roman"/>
                <w:sz w:val="18"/>
                <w:szCs w:val="18"/>
              </w:rPr>
            </w:pPr>
            <w:r w:rsidRPr="00F63F5E">
              <w:rPr>
                <w:rFonts w:ascii="Times Roman" w:hAnsi="Times Roman"/>
                <w:sz w:val="18"/>
                <w:szCs w:val="18"/>
              </w:rPr>
              <w:t>2013</w:t>
            </w:r>
          </w:p>
        </w:tc>
        <w:tc>
          <w:tcPr>
            <w:tcW w:w="269" w:type="pct"/>
            <w:tcBorders>
              <w:top w:val="single" w:sz="4" w:space="0" w:color="auto"/>
              <w:bottom w:val="single" w:sz="4" w:space="0" w:color="auto"/>
            </w:tcBorders>
            <w:vAlign w:val="bottom"/>
          </w:tcPr>
          <w:p w14:paraId="23430B3A" w14:textId="77777777" w:rsidR="005F400D" w:rsidRPr="00F63F5E" w:rsidRDefault="005F400D" w:rsidP="008C4FE7">
            <w:pPr>
              <w:spacing w:before="40" w:after="0" w:line="276" w:lineRule="auto"/>
              <w:ind w:right="-96"/>
              <w:jc w:val="center"/>
              <w:rPr>
                <w:rFonts w:ascii="Times Roman" w:hAnsi="Times Roman"/>
                <w:sz w:val="18"/>
                <w:szCs w:val="18"/>
              </w:rPr>
            </w:pPr>
            <w:r w:rsidRPr="00F63F5E">
              <w:rPr>
                <w:rFonts w:ascii="Times Roman" w:hAnsi="Times Roman"/>
                <w:sz w:val="18"/>
                <w:szCs w:val="18"/>
              </w:rPr>
              <w:t>2014</w:t>
            </w:r>
          </w:p>
        </w:tc>
        <w:tc>
          <w:tcPr>
            <w:tcW w:w="403" w:type="pct"/>
            <w:tcBorders>
              <w:top w:val="single" w:sz="4" w:space="0" w:color="auto"/>
              <w:bottom w:val="single" w:sz="4" w:space="0" w:color="auto"/>
            </w:tcBorders>
            <w:vAlign w:val="bottom"/>
          </w:tcPr>
          <w:p w14:paraId="5E127E98" w14:textId="77777777" w:rsidR="005F400D" w:rsidRPr="00F63F5E" w:rsidRDefault="005F400D" w:rsidP="008C4FE7">
            <w:pPr>
              <w:spacing w:before="40" w:after="0" w:line="276" w:lineRule="auto"/>
              <w:ind w:right="-96"/>
              <w:jc w:val="center"/>
              <w:rPr>
                <w:rFonts w:ascii="Times Roman" w:hAnsi="Times Roman"/>
                <w:sz w:val="18"/>
                <w:szCs w:val="18"/>
              </w:rPr>
            </w:pPr>
            <w:r w:rsidRPr="00F63F5E">
              <w:rPr>
                <w:rFonts w:ascii="Times Roman" w:hAnsi="Times Roman"/>
                <w:sz w:val="18"/>
                <w:szCs w:val="18"/>
              </w:rPr>
              <w:t>2014</w:t>
            </w:r>
          </w:p>
        </w:tc>
        <w:tc>
          <w:tcPr>
            <w:tcW w:w="379" w:type="pct"/>
            <w:tcBorders>
              <w:top w:val="single" w:sz="4" w:space="0" w:color="auto"/>
              <w:bottom w:val="single" w:sz="4" w:space="0" w:color="auto"/>
            </w:tcBorders>
            <w:vAlign w:val="bottom"/>
          </w:tcPr>
          <w:p w14:paraId="068F74D9" w14:textId="77777777" w:rsidR="005F400D" w:rsidRPr="00F63F5E" w:rsidRDefault="005F400D" w:rsidP="008C4FE7">
            <w:pPr>
              <w:spacing w:before="40" w:after="0" w:line="276" w:lineRule="auto"/>
              <w:ind w:right="-96"/>
              <w:jc w:val="center"/>
              <w:rPr>
                <w:rFonts w:ascii="Times Roman" w:hAnsi="Times Roman"/>
                <w:sz w:val="18"/>
                <w:szCs w:val="18"/>
              </w:rPr>
            </w:pPr>
            <w:r w:rsidRPr="00F63F5E">
              <w:rPr>
                <w:rFonts w:ascii="Times Roman" w:hAnsi="Times Roman"/>
                <w:sz w:val="18"/>
                <w:szCs w:val="18"/>
              </w:rPr>
              <w:t>2014</w:t>
            </w:r>
          </w:p>
        </w:tc>
        <w:tc>
          <w:tcPr>
            <w:tcW w:w="390" w:type="pct"/>
            <w:tcBorders>
              <w:top w:val="single" w:sz="4" w:space="0" w:color="auto"/>
              <w:bottom w:val="single" w:sz="4" w:space="0" w:color="auto"/>
            </w:tcBorders>
            <w:vAlign w:val="bottom"/>
          </w:tcPr>
          <w:p w14:paraId="48826453" w14:textId="77777777" w:rsidR="005F400D" w:rsidRPr="00F63F5E" w:rsidRDefault="005F400D" w:rsidP="008C4FE7">
            <w:pPr>
              <w:spacing w:before="40" w:after="0" w:line="276" w:lineRule="auto"/>
              <w:jc w:val="center"/>
              <w:rPr>
                <w:rFonts w:ascii="Times Roman" w:hAnsi="Times Roman"/>
                <w:sz w:val="18"/>
                <w:szCs w:val="18"/>
              </w:rPr>
            </w:pPr>
            <w:r w:rsidRPr="00F63F5E">
              <w:rPr>
                <w:rFonts w:ascii="Times Roman" w:hAnsi="Times Roman"/>
                <w:sz w:val="18"/>
                <w:szCs w:val="18"/>
              </w:rPr>
              <w:t>2014</w:t>
            </w:r>
          </w:p>
        </w:tc>
      </w:tr>
      <w:tr w:rsidR="005F400D" w:rsidRPr="00F63F5E" w14:paraId="073CE29B" w14:textId="77777777" w:rsidTr="008C4FE7">
        <w:trPr>
          <w:trHeight w:val="241"/>
        </w:trPr>
        <w:tc>
          <w:tcPr>
            <w:tcW w:w="1132" w:type="pct"/>
            <w:tcBorders>
              <w:top w:val="single" w:sz="4" w:space="0" w:color="auto"/>
            </w:tcBorders>
            <w:vAlign w:val="bottom"/>
          </w:tcPr>
          <w:p w14:paraId="03B49C35"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Olje- gass og bergverksdrift</w:t>
            </w:r>
          </w:p>
        </w:tc>
        <w:tc>
          <w:tcPr>
            <w:tcW w:w="270" w:type="pct"/>
            <w:tcBorders>
              <w:top w:val="single" w:sz="4" w:space="0" w:color="auto"/>
            </w:tcBorders>
            <w:vAlign w:val="bottom"/>
          </w:tcPr>
          <w:p w14:paraId="42D946D7"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87,7</w:t>
            </w:r>
          </w:p>
        </w:tc>
        <w:tc>
          <w:tcPr>
            <w:tcW w:w="270" w:type="pct"/>
            <w:tcBorders>
              <w:top w:val="single" w:sz="4" w:space="0" w:color="auto"/>
            </w:tcBorders>
            <w:vAlign w:val="bottom"/>
          </w:tcPr>
          <w:p w14:paraId="247F78AE"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89,1</w:t>
            </w:r>
          </w:p>
        </w:tc>
        <w:tc>
          <w:tcPr>
            <w:tcW w:w="269" w:type="pct"/>
            <w:tcBorders>
              <w:top w:val="single" w:sz="4" w:space="0" w:color="auto"/>
            </w:tcBorders>
            <w:tcMar>
              <w:left w:w="34" w:type="dxa"/>
            </w:tcMar>
            <w:vAlign w:val="bottom"/>
          </w:tcPr>
          <w:p w14:paraId="4945652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90,9</w:t>
            </w:r>
          </w:p>
        </w:tc>
        <w:tc>
          <w:tcPr>
            <w:tcW w:w="269" w:type="pct"/>
            <w:tcBorders>
              <w:top w:val="single" w:sz="4" w:space="0" w:color="auto"/>
            </w:tcBorders>
            <w:vAlign w:val="bottom"/>
          </w:tcPr>
          <w:p w14:paraId="06458C7E"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89,7</w:t>
            </w:r>
          </w:p>
        </w:tc>
        <w:tc>
          <w:tcPr>
            <w:tcW w:w="270" w:type="pct"/>
            <w:tcBorders>
              <w:top w:val="single" w:sz="4" w:space="0" w:color="auto"/>
            </w:tcBorders>
            <w:vAlign w:val="bottom"/>
          </w:tcPr>
          <w:p w14:paraId="352B67A9"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91,0</w:t>
            </w:r>
          </w:p>
        </w:tc>
        <w:tc>
          <w:tcPr>
            <w:tcW w:w="270" w:type="pct"/>
            <w:tcBorders>
              <w:top w:val="single" w:sz="4" w:space="0" w:color="auto"/>
            </w:tcBorders>
            <w:vAlign w:val="bottom"/>
          </w:tcPr>
          <w:p w14:paraId="5D348679"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92,1</w:t>
            </w:r>
          </w:p>
        </w:tc>
        <w:tc>
          <w:tcPr>
            <w:tcW w:w="270" w:type="pct"/>
            <w:tcBorders>
              <w:top w:val="single" w:sz="4" w:space="0" w:color="auto"/>
            </w:tcBorders>
            <w:vAlign w:val="bottom"/>
          </w:tcPr>
          <w:p w14:paraId="4317C61E"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93,3</w:t>
            </w:r>
          </w:p>
        </w:tc>
        <w:tc>
          <w:tcPr>
            <w:tcW w:w="269" w:type="pct"/>
            <w:tcBorders>
              <w:top w:val="single" w:sz="4" w:space="0" w:color="auto"/>
            </w:tcBorders>
            <w:vAlign w:val="bottom"/>
          </w:tcPr>
          <w:p w14:paraId="021857E6"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93,8</w:t>
            </w:r>
          </w:p>
        </w:tc>
        <w:tc>
          <w:tcPr>
            <w:tcW w:w="269" w:type="pct"/>
            <w:tcBorders>
              <w:top w:val="single" w:sz="4" w:space="0" w:color="auto"/>
            </w:tcBorders>
            <w:vAlign w:val="bottom"/>
          </w:tcPr>
          <w:p w14:paraId="7AF0D4B7"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94,1</w:t>
            </w:r>
          </w:p>
        </w:tc>
        <w:tc>
          <w:tcPr>
            <w:tcW w:w="269" w:type="pct"/>
            <w:tcBorders>
              <w:top w:val="single" w:sz="4" w:space="0" w:color="auto"/>
            </w:tcBorders>
            <w:vAlign w:val="bottom"/>
          </w:tcPr>
          <w:p w14:paraId="041D593D"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92,2</w:t>
            </w:r>
          </w:p>
        </w:tc>
        <w:tc>
          <w:tcPr>
            <w:tcW w:w="403" w:type="pct"/>
            <w:tcBorders>
              <w:top w:val="single" w:sz="4" w:space="0" w:color="auto"/>
            </w:tcBorders>
            <w:vAlign w:val="bottom"/>
          </w:tcPr>
          <w:p w14:paraId="74F51ACD"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796 800</w:t>
            </w:r>
          </w:p>
        </w:tc>
        <w:tc>
          <w:tcPr>
            <w:tcW w:w="379" w:type="pct"/>
            <w:tcBorders>
              <w:top w:val="single" w:sz="4" w:space="0" w:color="auto"/>
            </w:tcBorders>
            <w:vAlign w:val="bottom"/>
          </w:tcPr>
          <w:p w14:paraId="7A1219AA"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734 400</w:t>
            </w:r>
          </w:p>
        </w:tc>
        <w:tc>
          <w:tcPr>
            <w:tcW w:w="390" w:type="pct"/>
            <w:tcBorders>
              <w:top w:val="single" w:sz="4" w:space="0" w:color="auto"/>
            </w:tcBorders>
            <w:vAlign w:val="bottom"/>
          </w:tcPr>
          <w:p w14:paraId="236F7DE1"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20</w:t>
            </w:r>
          </w:p>
        </w:tc>
      </w:tr>
      <w:tr w:rsidR="005F400D" w:rsidRPr="00F63F5E" w14:paraId="4142DC1E" w14:textId="77777777" w:rsidTr="008C4FE7">
        <w:trPr>
          <w:trHeight w:val="232"/>
        </w:trPr>
        <w:tc>
          <w:tcPr>
            <w:tcW w:w="1132" w:type="pct"/>
            <w:vAlign w:val="bottom"/>
          </w:tcPr>
          <w:p w14:paraId="45CDFAD2"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Industri</w:t>
            </w:r>
          </w:p>
        </w:tc>
        <w:tc>
          <w:tcPr>
            <w:tcW w:w="270" w:type="pct"/>
            <w:vAlign w:val="bottom"/>
          </w:tcPr>
          <w:p w14:paraId="0A1C3212"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89,6</w:t>
            </w:r>
          </w:p>
        </w:tc>
        <w:tc>
          <w:tcPr>
            <w:tcW w:w="270" w:type="pct"/>
            <w:vAlign w:val="bottom"/>
          </w:tcPr>
          <w:p w14:paraId="76B97F9A"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89,9</w:t>
            </w:r>
          </w:p>
        </w:tc>
        <w:tc>
          <w:tcPr>
            <w:tcW w:w="269" w:type="pct"/>
            <w:tcMar>
              <w:left w:w="34" w:type="dxa"/>
            </w:tcMar>
            <w:vAlign w:val="bottom"/>
          </w:tcPr>
          <w:p w14:paraId="45613773"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89,0</w:t>
            </w:r>
          </w:p>
        </w:tc>
        <w:tc>
          <w:tcPr>
            <w:tcW w:w="269" w:type="pct"/>
            <w:vAlign w:val="bottom"/>
          </w:tcPr>
          <w:p w14:paraId="3D98FE09"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88,5</w:t>
            </w:r>
          </w:p>
        </w:tc>
        <w:tc>
          <w:tcPr>
            <w:tcW w:w="270" w:type="pct"/>
            <w:vAlign w:val="bottom"/>
          </w:tcPr>
          <w:p w14:paraId="31566F25"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89,0</w:t>
            </w:r>
          </w:p>
        </w:tc>
        <w:tc>
          <w:tcPr>
            <w:tcW w:w="270" w:type="pct"/>
            <w:vAlign w:val="bottom"/>
          </w:tcPr>
          <w:p w14:paraId="5BF2AA0B" w14:textId="77777777" w:rsidR="005F400D" w:rsidRPr="00F63F5E" w:rsidRDefault="005F400D" w:rsidP="008C4FE7">
            <w:pPr>
              <w:spacing w:after="0" w:line="276" w:lineRule="auto"/>
              <w:ind w:left="-130"/>
              <w:jc w:val="right"/>
              <w:rPr>
                <w:rFonts w:ascii="Times Roman" w:hAnsi="Times Roman"/>
                <w:sz w:val="18"/>
                <w:szCs w:val="18"/>
              </w:rPr>
            </w:pPr>
            <w:r w:rsidRPr="00F63F5E">
              <w:rPr>
                <w:rFonts w:ascii="Times Roman" w:hAnsi="Times Roman"/>
                <w:sz w:val="18"/>
                <w:szCs w:val="18"/>
              </w:rPr>
              <w:t>89,6</w:t>
            </w:r>
          </w:p>
        </w:tc>
        <w:tc>
          <w:tcPr>
            <w:tcW w:w="270" w:type="pct"/>
            <w:vAlign w:val="bottom"/>
          </w:tcPr>
          <w:p w14:paraId="07724C67"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90,1</w:t>
            </w:r>
          </w:p>
        </w:tc>
        <w:tc>
          <w:tcPr>
            <w:tcW w:w="269" w:type="pct"/>
            <w:vAlign w:val="bottom"/>
          </w:tcPr>
          <w:p w14:paraId="46E9CE2E"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90,6</w:t>
            </w:r>
          </w:p>
        </w:tc>
        <w:tc>
          <w:tcPr>
            <w:tcW w:w="269" w:type="pct"/>
            <w:vAlign w:val="bottom"/>
          </w:tcPr>
          <w:p w14:paraId="12978E7C"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91,7</w:t>
            </w:r>
          </w:p>
        </w:tc>
        <w:tc>
          <w:tcPr>
            <w:tcW w:w="269" w:type="pct"/>
            <w:vAlign w:val="bottom"/>
          </w:tcPr>
          <w:p w14:paraId="5B41E15E"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91,2</w:t>
            </w:r>
          </w:p>
        </w:tc>
        <w:tc>
          <w:tcPr>
            <w:tcW w:w="403" w:type="pct"/>
            <w:vAlign w:val="bottom"/>
          </w:tcPr>
          <w:p w14:paraId="096FC771"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519 600</w:t>
            </w:r>
          </w:p>
        </w:tc>
        <w:tc>
          <w:tcPr>
            <w:tcW w:w="379" w:type="pct"/>
            <w:vAlign w:val="bottom"/>
          </w:tcPr>
          <w:p w14:paraId="2042E9EF"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474 000</w:t>
            </w:r>
          </w:p>
        </w:tc>
        <w:tc>
          <w:tcPr>
            <w:tcW w:w="390" w:type="pct"/>
            <w:vAlign w:val="bottom"/>
          </w:tcPr>
          <w:p w14:paraId="42152BEC"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20</w:t>
            </w:r>
          </w:p>
        </w:tc>
      </w:tr>
      <w:tr w:rsidR="005F400D" w:rsidRPr="00F63F5E" w14:paraId="70365B0E" w14:textId="77777777" w:rsidTr="008C4FE7">
        <w:trPr>
          <w:trHeight w:val="285"/>
        </w:trPr>
        <w:tc>
          <w:tcPr>
            <w:tcW w:w="1132" w:type="pct"/>
            <w:vAlign w:val="bottom"/>
          </w:tcPr>
          <w:p w14:paraId="3D034D81"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Kraftforsyning</w:t>
            </w:r>
          </w:p>
        </w:tc>
        <w:tc>
          <w:tcPr>
            <w:tcW w:w="270" w:type="pct"/>
            <w:vAlign w:val="bottom"/>
          </w:tcPr>
          <w:p w14:paraId="42C12933"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91,5</w:t>
            </w:r>
          </w:p>
        </w:tc>
        <w:tc>
          <w:tcPr>
            <w:tcW w:w="270" w:type="pct"/>
            <w:vAlign w:val="bottom"/>
          </w:tcPr>
          <w:p w14:paraId="0756737B"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90,4</w:t>
            </w:r>
          </w:p>
        </w:tc>
        <w:tc>
          <w:tcPr>
            <w:tcW w:w="269" w:type="pct"/>
            <w:tcMar>
              <w:left w:w="34" w:type="dxa"/>
            </w:tcMar>
            <w:vAlign w:val="bottom"/>
          </w:tcPr>
          <w:p w14:paraId="1A98E305"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91,2</w:t>
            </w:r>
          </w:p>
        </w:tc>
        <w:tc>
          <w:tcPr>
            <w:tcW w:w="269" w:type="pct"/>
            <w:vAlign w:val="bottom"/>
          </w:tcPr>
          <w:p w14:paraId="7649E62B"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92,0</w:t>
            </w:r>
          </w:p>
        </w:tc>
        <w:tc>
          <w:tcPr>
            <w:tcW w:w="270" w:type="pct"/>
            <w:vAlign w:val="bottom"/>
          </w:tcPr>
          <w:p w14:paraId="0C0FF809"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91,2</w:t>
            </w:r>
          </w:p>
        </w:tc>
        <w:tc>
          <w:tcPr>
            <w:tcW w:w="270" w:type="pct"/>
            <w:vAlign w:val="bottom"/>
          </w:tcPr>
          <w:p w14:paraId="5BAB20D9"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92,6</w:t>
            </w:r>
          </w:p>
        </w:tc>
        <w:tc>
          <w:tcPr>
            <w:tcW w:w="270" w:type="pct"/>
            <w:vAlign w:val="bottom"/>
          </w:tcPr>
          <w:p w14:paraId="4F180BC8"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94,2</w:t>
            </w:r>
          </w:p>
        </w:tc>
        <w:tc>
          <w:tcPr>
            <w:tcW w:w="269" w:type="pct"/>
            <w:vAlign w:val="bottom"/>
          </w:tcPr>
          <w:p w14:paraId="6888E786"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93,9</w:t>
            </w:r>
          </w:p>
        </w:tc>
        <w:tc>
          <w:tcPr>
            <w:tcW w:w="269" w:type="pct"/>
            <w:vAlign w:val="bottom"/>
          </w:tcPr>
          <w:p w14:paraId="6726E0C9"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95,2</w:t>
            </w:r>
          </w:p>
        </w:tc>
        <w:tc>
          <w:tcPr>
            <w:tcW w:w="269" w:type="pct"/>
            <w:vAlign w:val="bottom"/>
          </w:tcPr>
          <w:p w14:paraId="598A6871"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95,4</w:t>
            </w:r>
          </w:p>
        </w:tc>
        <w:tc>
          <w:tcPr>
            <w:tcW w:w="403" w:type="pct"/>
            <w:vAlign w:val="bottom"/>
          </w:tcPr>
          <w:p w14:paraId="2DD5A6B2"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625 200</w:t>
            </w:r>
          </w:p>
        </w:tc>
        <w:tc>
          <w:tcPr>
            <w:tcW w:w="379" w:type="pct"/>
            <w:vAlign w:val="bottom"/>
          </w:tcPr>
          <w:p w14:paraId="7868C6DD"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596 400</w:t>
            </w:r>
          </w:p>
        </w:tc>
        <w:tc>
          <w:tcPr>
            <w:tcW w:w="390" w:type="pct"/>
            <w:vAlign w:val="bottom"/>
          </w:tcPr>
          <w:p w14:paraId="66A20212"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20</w:t>
            </w:r>
          </w:p>
        </w:tc>
      </w:tr>
      <w:tr w:rsidR="005F400D" w:rsidRPr="00F63F5E" w14:paraId="16201FF0" w14:textId="77777777" w:rsidTr="008C4FE7">
        <w:tc>
          <w:tcPr>
            <w:tcW w:w="1132" w:type="pct"/>
            <w:vAlign w:val="bottom"/>
          </w:tcPr>
          <w:p w14:paraId="70502537"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Bygge- og anleggsvirksomhet</w:t>
            </w:r>
          </w:p>
        </w:tc>
        <w:tc>
          <w:tcPr>
            <w:tcW w:w="270" w:type="pct"/>
            <w:vAlign w:val="bottom"/>
          </w:tcPr>
          <w:p w14:paraId="4DB09602"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98,1</w:t>
            </w:r>
          </w:p>
        </w:tc>
        <w:tc>
          <w:tcPr>
            <w:tcW w:w="270" w:type="pct"/>
            <w:vAlign w:val="bottom"/>
          </w:tcPr>
          <w:p w14:paraId="0A779B47"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99,4</w:t>
            </w:r>
          </w:p>
        </w:tc>
        <w:tc>
          <w:tcPr>
            <w:tcW w:w="269" w:type="pct"/>
            <w:tcMar>
              <w:left w:w="34" w:type="dxa"/>
            </w:tcMar>
            <w:vAlign w:val="bottom"/>
          </w:tcPr>
          <w:p w14:paraId="298CB063"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98,2</w:t>
            </w:r>
          </w:p>
        </w:tc>
        <w:tc>
          <w:tcPr>
            <w:tcW w:w="269" w:type="pct"/>
            <w:vAlign w:val="bottom"/>
          </w:tcPr>
          <w:p w14:paraId="15578548"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99,1</w:t>
            </w:r>
          </w:p>
        </w:tc>
        <w:tc>
          <w:tcPr>
            <w:tcW w:w="270" w:type="pct"/>
            <w:vAlign w:val="bottom"/>
          </w:tcPr>
          <w:p w14:paraId="59A0E14A"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98,8</w:t>
            </w:r>
          </w:p>
        </w:tc>
        <w:tc>
          <w:tcPr>
            <w:tcW w:w="270" w:type="pct"/>
            <w:vAlign w:val="bottom"/>
          </w:tcPr>
          <w:p w14:paraId="0BEFAE53" w14:textId="77777777" w:rsidR="005F400D" w:rsidRPr="00F63F5E" w:rsidRDefault="005F400D" w:rsidP="008C4FE7">
            <w:pPr>
              <w:spacing w:after="0" w:line="276" w:lineRule="auto"/>
              <w:ind w:left="-130"/>
              <w:jc w:val="right"/>
              <w:rPr>
                <w:rFonts w:ascii="Times Roman" w:hAnsi="Times Roman"/>
                <w:sz w:val="18"/>
                <w:szCs w:val="18"/>
              </w:rPr>
            </w:pPr>
            <w:r w:rsidRPr="00F63F5E">
              <w:rPr>
                <w:rFonts w:ascii="Times Roman" w:hAnsi="Times Roman"/>
                <w:sz w:val="18"/>
                <w:szCs w:val="18"/>
              </w:rPr>
              <w:t>101,4</w:t>
            </w:r>
          </w:p>
        </w:tc>
        <w:tc>
          <w:tcPr>
            <w:tcW w:w="270" w:type="pct"/>
            <w:vAlign w:val="bottom"/>
          </w:tcPr>
          <w:p w14:paraId="04FF62D9"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102,5</w:t>
            </w:r>
          </w:p>
        </w:tc>
        <w:tc>
          <w:tcPr>
            <w:tcW w:w="269" w:type="pct"/>
            <w:vAlign w:val="bottom"/>
          </w:tcPr>
          <w:p w14:paraId="547FD74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102,4</w:t>
            </w:r>
          </w:p>
        </w:tc>
        <w:tc>
          <w:tcPr>
            <w:tcW w:w="269" w:type="pct"/>
            <w:vAlign w:val="bottom"/>
          </w:tcPr>
          <w:p w14:paraId="4771A9D6"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103,4</w:t>
            </w:r>
          </w:p>
        </w:tc>
        <w:tc>
          <w:tcPr>
            <w:tcW w:w="269" w:type="pct"/>
            <w:vAlign w:val="bottom"/>
          </w:tcPr>
          <w:p w14:paraId="6E8D4CAF"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102,8</w:t>
            </w:r>
          </w:p>
        </w:tc>
        <w:tc>
          <w:tcPr>
            <w:tcW w:w="403" w:type="pct"/>
            <w:vAlign w:val="bottom"/>
          </w:tcPr>
          <w:p w14:paraId="3DC3BC87"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472 800</w:t>
            </w:r>
          </w:p>
        </w:tc>
        <w:tc>
          <w:tcPr>
            <w:tcW w:w="379" w:type="pct"/>
            <w:vAlign w:val="bottom"/>
          </w:tcPr>
          <w:p w14:paraId="192450B3"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486 000</w:t>
            </w:r>
          </w:p>
        </w:tc>
        <w:tc>
          <w:tcPr>
            <w:tcW w:w="390" w:type="pct"/>
            <w:vAlign w:val="bottom"/>
          </w:tcPr>
          <w:p w14:paraId="2138ABB6"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6</w:t>
            </w:r>
          </w:p>
        </w:tc>
      </w:tr>
      <w:tr w:rsidR="005F400D" w:rsidRPr="00F63F5E" w14:paraId="63A94EE4" w14:textId="77777777" w:rsidTr="008C4FE7">
        <w:trPr>
          <w:trHeight w:val="193"/>
        </w:trPr>
        <w:tc>
          <w:tcPr>
            <w:tcW w:w="1132" w:type="pct"/>
            <w:vAlign w:val="bottom"/>
          </w:tcPr>
          <w:p w14:paraId="69760437"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Varehandel i alt</w:t>
            </w:r>
          </w:p>
        </w:tc>
        <w:tc>
          <w:tcPr>
            <w:tcW w:w="270" w:type="pct"/>
            <w:vAlign w:val="bottom"/>
          </w:tcPr>
          <w:p w14:paraId="6F8C9D80"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84,2</w:t>
            </w:r>
          </w:p>
        </w:tc>
        <w:tc>
          <w:tcPr>
            <w:tcW w:w="270" w:type="pct"/>
            <w:vAlign w:val="bottom"/>
          </w:tcPr>
          <w:p w14:paraId="00832A72"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84,4</w:t>
            </w:r>
          </w:p>
        </w:tc>
        <w:tc>
          <w:tcPr>
            <w:tcW w:w="269" w:type="pct"/>
            <w:tcMar>
              <w:left w:w="34" w:type="dxa"/>
            </w:tcMar>
            <w:vAlign w:val="bottom"/>
          </w:tcPr>
          <w:p w14:paraId="42FFFD1A"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83,1</w:t>
            </w:r>
          </w:p>
        </w:tc>
        <w:tc>
          <w:tcPr>
            <w:tcW w:w="269" w:type="pct"/>
            <w:vAlign w:val="bottom"/>
          </w:tcPr>
          <w:p w14:paraId="719DB64B"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84,0</w:t>
            </w:r>
          </w:p>
        </w:tc>
        <w:tc>
          <w:tcPr>
            <w:tcW w:w="270" w:type="pct"/>
            <w:vAlign w:val="bottom"/>
          </w:tcPr>
          <w:p w14:paraId="4A675D79"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84,1</w:t>
            </w:r>
          </w:p>
        </w:tc>
        <w:tc>
          <w:tcPr>
            <w:tcW w:w="270" w:type="pct"/>
            <w:vAlign w:val="bottom"/>
          </w:tcPr>
          <w:p w14:paraId="7A79B91B"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84,8</w:t>
            </w:r>
          </w:p>
        </w:tc>
        <w:tc>
          <w:tcPr>
            <w:tcW w:w="270" w:type="pct"/>
            <w:vAlign w:val="bottom"/>
          </w:tcPr>
          <w:p w14:paraId="2ABF2BF5"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85,3</w:t>
            </w:r>
          </w:p>
        </w:tc>
        <w:tc>
          <w:tcPr>
            <w:tcW w:w="269" w:type="pct"/>
            <w:vAlign w:val="bottom"/>
          </w:tcPr>
          <w:p w14:paraId="03062642"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84,6</w:t>
            </w:r>
          </w:p>
        </w:tc>
        <w:tc>
          <w:tcPr>
            <w:tcW w:w="269" w:type="pct"/>
            <w:vAlign w:val="bottom"/>
          </w:tcPr>
          <w:p w14:paraId="1DF653B2"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85,3</w:t>
            </w:r>
          </w:p>
        </w:tc>
        <w:tc>
          <w:tcPr>
            <w:tcW w:w="269" w:type="pct"/>
            <w:vAlign w:val="bottom"/>
          </w:tcPr>
          <w:p w14:paraId="0DF5A378"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85,3</w:t>
            </w:r>
          </w:p>
        </w:tc>
        <w:tc>
          <w:tcPr>
            <w:tcW w:w="403" w:type="pct"/>
            <w:vAlign w:val="bottom"/>
          </w:tcPr>
          <w:p w14:paraId="238CE7DF"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496 800</w:t>
            </w:r>
          </w:p>
        </w:tc>
        <w:tc>
          <w:tcPr>
            <w:tcW w:w="379" w:type="pct"/>
            <w:vAlign w:val="bottom"/>
          </w:tcPr>
          <w:p w14:paraId="6FA80F1B"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423 600</w:t>
            </w:r>
          </w:p>
        </w:tc>
        <w:tc>
          <w:tcPr>
            <w:tcW w:w="390" w:type="pct"/>
            <w:vAlign w:val="bottom"/>
          </w:tcPr>
          <w:p w14:paraId="1D586863"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34</w:t>
            </w:r>
          </w:p>
        </w:tc>
      </w:tr>
      <w:tr w:rsidR="005F400D" w:rsidRPr="00F63F5E" w14:paraId="137112A2" w14:textId="77777777" w:rsidTr="008C4FE7">
        <w:trPr>
          <w:trHeight w:val="201"/>
        </w:trPr>
        <w:tc>
          <w:tcPr>
            <w:tcW w:w="1132" w:type="pct"/>
            <w:vAlign w:val="bottom"/>
          </w:tcPr>
          <w:p w14:paraId="7144721E"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Samferdsel</w:t>
            </w:r>
          </w:p>
        </w:tc>
        <w:tc>
          <w:tcPr>
            <w:tcW w:w="270" w:type="pct"/>
            <w:vAlign w:val="bottom"/>
          </w:tcPr>
          <w:p w14:paraId="69DADB50"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90,0</w:t>
            </w:r>
          </w:p>
        </w:tc>
        <w:tc>
          <w:tcPr>
            <w:tcW w:w="270" w:type="pct"/>
            <w:vAlign w:val="bottom"/>
          </w:tcPr>
          <w:p w14:paraId="0C1C73FE"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89,8</w:t>
            </w:r>
          </w:p>
        </w:tc>
        <w:tc>
          <w:tcPr>
            <w:tcW w:w="269" w:type="pct"/>
            <w:tcMar>
              <w:left w:w="34" w:type="dxa"/>
            </w:tcMar>
            <w:vAlign w:val="bottom"/>
          </w:tcPr>
          <w:p w14:paraId="3A9A8847"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89,6</w:t>
            </w:r>
          </w:p>
        </w:tc>
        <w:tc>
          <w:tcPr>
            <w:tcW w:w="269" w:type="pct"/>
            <w:vAlign w:val="bottom"/>
          </w:tcPr>
          <w:p w14:paraId="556ADDB0"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89,4</w:t>
            </w:r>
          </w:p>
        </w:tc>
        <w:tc>
          <w:tcPr>
            <w:tcW w:w="270" w:type="pct"/>
            <w:vAlign w:val="bottom"/>
          </w:tcPr>
          <w:p w14:paraId="7FC7973A"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89,5</w:t>
            </w:r>
          </w:p>
        </w:tc>
        <w:tc>
          <w:tcPr>
            <w:tcW w:w="270" w:type="pct"/>
            <w:vAlign w:val="bottom"/>
          </w:tcPr>
          <w:p w14:paraId="27019AA9"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89,5</w:t>
            </w:r>
          </w:p>
        </w:tc>
        <w:tc>
          <w:tcPr>
            <w:tcW w:w="270" w:type="pct"/>
            <w:vAlign w:val="bottom"/>
          </w:tcPr>
          <w:p w14:paraId="0397125A"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90,4</w:t>
            </w:r>
          </w:p>
        </w:tc>
        <w:tc>
          <w:tcPr>
            <w:tcW w:w="269" w:type="pct"/>
            <w:vAlign w:val="bottom"/>
          </w:tcPr>
          <w:p w14:paraId="55A7A8B6"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91,5</w:t>
            </w:r>
          </w:p>
        </w:tc>
        <w:tc>
          <w:tcPr>
            <w:tcW w:w="269" w:type="pct"/>
            <w:vAlign w:val="bottom"/>
          </w:tcPr>
          <w:p w14:paraId="1C0039CB"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89,8</w:t>
            </w:r>
          </w:p>
        </w:tc>
        <w:tc>
          <w:tcPr>
            <w:tcW w:w="269" w:type="pct"/>
            <w:vAlign w:val="bottom"/>
          </w:tcPr>
          <w:p w14:paraId="4FB5D4E5"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91,5</w:t>
            </w:r>
          </w:p>
        </w:tc>
        <w:tc>
          <w:tcPr>
            <w:tcW w:w="403" w:type="pct"/>
            <w:vAlign w:val="bottom"/>
          </w:tcPr>
          <w:p w14:paraId="0DB53F38"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508 800</w:t>
            </w:r>
          </w:p>
        </w:tc>
        <w:tc>
          <w:tcPr>
            <w:tcW w:w="379" w:type="pct"/>
            <w:vAlign w:val="bottom"/>
          </w:tcPr>
          <w:p w14:paraId="7D46FBA4"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465 600</w:t>
            </w:r>
          </w:p>
        </w:tc>
        <w:tc>
          <w:tcPr>
            <w:tcW w:w="390" w:type="pct"/>
            <w:vAlign w:val="bottom"/>
          </w:tcPr>
          <w:p w14:paraId="2730BA8A"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18</w:t>
            </w:r>
          </w:p>
        </w:tc>
      </w:tr>
      <w:tr w:rsidR="005F400D" w:rsidRPr="00F63F5E" w14:paraId="4617ADB5" w14:textId="77777777" w:rsidTr="008C4FE7">
        <w:tc>
          <w:tcPr>
            <w:tcW w:w="1132" w:type="pct"/>
            <w:vAlign w:val="bottom"/>
          </w:tcPr>
          <w:p w14:paraId="73E483CD"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Hotell- og restaurant</w:t>
            </w:r>
          </w:p>
        </w:tc>
        <w:tc>
          <w:tcPr>
            <w:tcW w:w="270" w:type="pct"/>
            <w:vAlign w:val="bottom"/>
          </w:tcPr>
          <w:p w14:paraId="20A13D18"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89,1</w:t>
            </w:r>
          </w:p>
        </w:tc>
        <w:tc>
          <w:tcPr>
            <w:tcW w:w="270" w:type="pct"/>
            <w:vAlign w:val="bottom"/>
          </w:tcPr>
          <w:p w14:paraId="64B191AA"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89,7</w:t>
            </w:r>
          </w:p>
        </w:tc>
        <w:tc>
          <w:tcPr>
            <w:tcW w:w="269" w:type="pct"/>
            <w:tcMar>
              <w:left w:w="34" w:type="dxa"/>
            </w:tcMar>
            <w:vAlign w:val="bottom"/>
          </w:tcPr>
          <w:p w14:paraId="0B2E1FB2"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89,3</w:t>
            </w:r>
          </w:p>
        </w:tc>
        <w:tc>
          <w:tcPr>
            <w:tcW w:w="269" w:type="pct"/>
            <w:vAlign w:val="bottom"/>
          </w:tcPr>
          <w:p w14:paraId="0382A996"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91,3</w:t>
            </w:r>
          </w:p>
        </w:tc>
        <w:tc>
          <w:tcPr>
            <w:tcW w:w="270" w:type="pct"/>
            <w:vAlign w:val="bottom"/>
          </w:tcPr>
          <w:p w14:paraId="46B0A2A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92,5</w:t>
            </w:r>
          </w:p>
        </w:tc>
        <w:tc>
          <w:tcPr>
            <w:tcW w:w="270" w:type="pct"/>
            <w:vAlign w:val="bottom"/>
          </w:tcPr>
          <w:p w14:paraId="015BCABE"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90,8</w:t>
            </w:r>
          </w:p>
        </w:tc>
        <w:tc>
          <w:tcPr>
            <w:tcW w:w="270" w:type="pct"/>
            <w:vAlign w:val="bottom"/>
          </w:tcPr>
          <w:p w14:paraId="397D7CBE"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91,6</w:t>
            </w:r>
          </w:p>
        </w:tc>
        <w:tc>
          <w:tcPr>
            <w:tcW w:w="269" w:type="pct"/>
            <w:vAlign w:val="bottom"/>
          </w:tcPr>
          <w:p w14:paraId="1E2754D3"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93,0</w:t>
            </w:r>
          </w:p>
        </w:tc>
        <w:tc>
          <w:tcPr>
            <w:tcW w:w="269" w:type="pct"/>
            <w:vAlign w:val="bottom"/>
          </w:tcPr>
          <w:p w14:paraId="65EDF2C0"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92,6</w:t>
            </w:r>
          </w:p>
        </w:tc>
        <w:tc>
          <w:tcPr>
            <w:tcW w:w="269" w:type="pct"/>
            <w:vAlign w:val="bottom"/>
          </w:tcPr>
          <w:p w14:paraId="74869041"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93,6</w:t>
            </w:r>
          </w:p>
        </w:tc>
        <w:tc>
          <w:tcPr>
            <w:tcW w:w="403" w:type="pct"/>
            <w:vAlign w:val="bottom"/>
          </w:tcPr>
          <w:p w14:paraId="69590C04"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394 800</w:t>
            </w:r>
          </w:p>
        </w:tc>
        <w:tc>
          <w:tcPr>
            <w:tcW w:w="379" w:type="pct"/>
            <w:vAlign w:val="bottom"/>
          </w:tcPr>
          <w:p w14:paraId="182EDFC7"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369 600</w:t>
            </w:r>
          </w:p>
        </w:tc>
        <w:tc>
          <w:tcPr>
            <w:tcW w:w="390" w:type="pct"/>
            <w:vAlign w:val="bottom"/>
          </w:tcPr>
          <w:p w14:paraId="594BA577"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50</w:t>
            </w:r>
          </w:p>
        </w:tc>
      </w:tr>
      <w:tr w:rsidR="005F400D" w:rsidRPr="00F63F5E" w14:paraId="2B0329C5" w14:textId="77777777" w:rsidTr="008C4FE7">
        <w:trPr>
          <w:trHeight w:val="268"/>
        </w:trPr>
        <w:tc>
          <w:tcPr>
            <w:tcW w:w="1132" w:type="pct"/>
            <w:vAlign w:val="bottom"/>
          </w:tcPr>
          <w:p w14:paraId="156FCCAD"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Informasjon og kommunikasjon</w:t>
            </w:r>
          </w:p>
        </w:tc>
        <w:tc>
          <w:tcPr>
            <w:tcW w:w="270" w:type="pct"/>
            <w:vAlign w:val="bottom"/>
          </w:tcPr>
          <w:p w14:paraId="7D0BCD1B" w14:textId="77777777" w:rsidR="005F400D" w:rsidRPr="00F63F5E" w:rsidRDefault="005F400D" w:rsidP="008C4FE7">
            <w:pPr>
              <w:spacing w:after="0" w:line="276" w:lineRule="auto"/>
              <w:jc w:val="right"/>
              <w:rPr>
                <w:rFonts w:ascii="Times Roman" w:hAnsi="Times Roman"/>
                <w:sz w:val="18"/>
                <w:szCs w:val="18"/>
              </w:rPr>
            </w:pPr>
          </w:p>
        </w:tc>
        <w:tc>
          <w:tcPr>
            <w:tcW w:w="270" w:type="pct"/>
            <w:vAlign w:val="bottom"/>
          </w:tcPr>
          <w:p w14:paraId="48C870DB" w14:textId="77777777" w:rsidR="005F400D" w:rsidRPr="00F63F5E" w:rsidRDefault="005F400D" w:rsidP="008C4FE7">
            <w:pPr>
              <w:spacing w:after="0" w:line="276" w:lineRule="auto"/>
              <w:jc w:val="right"/>
              <w:rPr>
                <w:rFonts w:ascii="Times Roman" w:hAnsi="Times Roman"/>
                <w:sz w:val="18"/>
                <w:szCs w:val="18"/>
              </w:rPr>
            </w:pPr>
          </w:p>
        </w:tc>
        <w:tc>
          <w:tcPr>
            <w:tcW w:w="269" w:type="pct"/>
            <w:tcMar>
              <w:left w:w="34" w:type="dxa"/>
            </w:tcMar>
            <w:vAlign w:val="bottom"/>
          </w:tcPr>
          <w:p w14:paraId="4C9E58B3" w14:textId="77777777" w:rsidR="005F400D" w:rsidRPr="00F63F5E" w:rsidRDefault="005F400D" w:rsidP="008C4FE7">
            <w:pPr>
              <w:spacing w:after="0" w:line="276" w:lineRule="auto"/>
              <w:jc w:val="right"/>
              <w:rPr>
                <w:rFonts w:ascii="Times Roman" w:hAnsi="Times Roman"/>
                <w:sz w:val="18"/>
                <w:szCs w:val="18"/>
              </w:rPr>
            </w:pPr>
          </w:p>
        </w:tc>
        <w:tc>
          <w:tcPr>
            <w:tcW w:w="269" w:type="pct"/>
            <w:vAlign w:val="bottom"/>
          </w:tcPr>
          <w:p w14:paraId="71BDAE6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82,9</w:t>
            </w:r>
          </w:p>
        </w:tc>
        <w:tc>
          <w:tcPr>
            <w:tcW w:w="270" w:type="pct"/>
            <w:vAlign w:val="bottom"/>
          </w:tcPr>
          <w:p w14:paraId="14D7B9E6"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83,3</w:t>
            </w:r>
          </w:p>
        </w:tc>
        <w:tc>
          <w:tcPr>
            <w:tcW w:w="270" w:type="pct"/>
            <w:vAlign w:val="bottom"/>
          </w:tcPr>
          <w:p w14:paraId="33036D5E"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83,8</w:t>
            </w:r>
          </w:p>
        </w:tc>
        <w:tc>
          <w:tcPr>
            <w:tcW w:w="270" w:type="pct"/>
            <w:vAlign w:val="bottom"/>
          </w:tcPr>
          <w:p w14:paraId="25878D8F"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83,5</w:t>
            </w:r>
          </w:p>
        </w:tc>
        <w:tc>
          <w:tcPr>
            <w:tcW w:w="269" w:type="pct"/>
            <w:vAlign w:val="bottom"/>
          </w:tcPr>
          <w:p w14:paraId="5C4E7BB1"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84,9</w:t>
            </w:r>
          </w:p>
        </w:tc>
        <w:tc>
          <w:tcPr>
            <w:tcW w:w="269" w:type="pct"/>
            <w:vAlign w:val="bottom"/>
          </w:tcPr>
          <w:p w14:paraId="49EC1FD9"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85,5</w:t>
            </w:r>
          </w:p>
        </w:tc>
        <w:tc>
          <w:tcPr>
            <w:tcW w:w="269" w:type="pct"/>
            <w:vAlign w:val="bottom"/>
          </w:tcPr>
          <w:p w14:paraId="028EACEA"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85,7</w:t>
            </w:r>
          </w:p>
        </w:tc>
        <w:tc>
          <w:tcPr>
            <w:tcW w:w="403" w:type="pct"/>
            <w:vAlign w:val="bottom"/>
          </w:tcPr>
          <w:p w14:paraId="368C41C2"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679 200</w:t>
            </w:r>
          </w:p>
        </w:tc>
        <w:tc>
          <w:tcPr>
            <w:tcW w:w="379" w:type="pct"/>
            <w:vAlign w:val="bottom"/>
          </w:tcPr>
          <w:p w14:paraId="3DC38486"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582 000</w:t>
            </w:r>
          </w:p>
        </w:tc>
        <w:tc>
          <w:tcPr>
            <w:tcW w:w="390" w:type="pct"/>
            <w:vAlign w:val="bottom"/>
          </w:tcPr>
          <w:p w14:paraId="10BFD961"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30</w:t>
            </w:r>
          </w:p>
        </w:tc>
      </w:tr>
      <w:tr w:rsidR="005F400D" w:rsidRPr="00F63F5E" w14:paraId="11D0F64A" w14:textId="77777777" w:rsidTr="008C4FE7">
        <w:trPr>
          <w:trHeight w:val="227"/>
        </w:trPr>
        <w:tc>
          <w:tcPr>
            <w:tcW w:w="1132" w:type="pct"/>
            <w:vAlign w:val="bottom"/>
          </w:tcPr>
          <w:p w14:paraId="336621A4"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 xml:space="preserve">Finanstjenester </w:t>
            </w:r>
          </w:p>
        </w:tc>
        <w:tc>
          <w:tcPr>
            <w:tcW w:w="270" w:type="pct"/>
            <w:vAlign w:val="bottom"/>
          </w:tcPr>
          <w:p w14:paraId="70255775"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71,9</w:t>
            </w:r>
          </w:p>
        </w:tc>
        <w:tc>
          <w:tcPr>
            <w:tcW w:w="270" w:type="pct"/>
            <w:vAlign w:val="bottom"/>
          </w:tcPr>
          <w:p w14:paraId="63991D43"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69,5</w:t>
            </w:r>
          </w:p>
        </w:tc>
        <w:tc>
          <w:tcPr>
            <w:tcW w:w="269" w:type="pct"/>
            <w:tcMar>
              <w:left w:w="34" w:type="dxa"/>
            </w:tcMar>
            <w:vAlign w:val="bottom"/>
          </w:tcPr>
          <w:p w14:paraId="040473A0"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68,6</w:t>
            </w:r>
          </w:p>
        </w:tc>
        <w:tc>
          <w:tcPr>
            <w:tcW w:w="269" w:type="pct"/>
            <w:vAlign w:val="bottom"/>
          </w:tcPr>
          <w:p w14:paraId="39D48443"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65,3</w:t>
            </w:r>
          </w:p>
        </w:tc>
        <w:tc>
          <w:tcPr>
            <w:tcW w:w="270" w:type="pct"/>
            <w:vAlign w:val="bottom"/>
          </w:tcPr>
          <w:p w14:paraId="28E2CE97"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69,1</w:t>
            </w:r>
          </w:p>
        </w:tc>
        <w:tc>
          <w:tcPr>
            <w:tcW w:w="270" w:type="pct"/>
            <w:vAlign w:val="bottom"/>
          </w:tcPr>
          <w:p w14:paraId="201C3EF0" w14:textId="77777777" w:rsidR="005F400D" w:rsidRPr="00F63F5E" w:rsidRDefault="005F400D" w:rsidP="008C4FE7">
            <w:pPr>
              <w:spacing w:after="0" w:line="276" w:lineRule="auto"/>
              <w:ind w:left="-130"/>
              <w:jc w:val="right"/>
              <w:rPr>
                <w:rFonts w:ascii="Times Roman" w:hAnsi="Times Roman"/>
                <w:sz w:val="18"/>
                <w:szCs w:val="18"/>
              </w:rPr>
            </w:pPr>
            <w:r w:rsidRPr="00F63F5E">
              <w:rPr>
                <w:rFonts w:ascii="Times Roman" w:hAnsi="Times Roman"/>
                <w:sz w:val="18"/>
                <w:szCs w:val="18"/>
              </w:rPr>
              <w:t>69,0</w:t>
            </w:r>
          </w:p>
        </w:tc>
        <w:tc>
          <w:tcPr>
            <w:tcW w:w="270" w:type="pct"/>
            <w:vAlign w:val="bottom"/>
          </w:tcPr>
          <w:p w14:paraId="76A74CFC"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68,1</w:t>
            </w:r>
          </w:p>
        </w:tc>
        <w:tc>
          <w:tcPr>
            <w:tcW w:w="269" w:type="pct"/>
            <w:vAlign w:val="bottom"/>
          </w:tcPr>
          <w:p w14:paraId="0B414A8C" w14:textId="77777777" w:rsidR="005F400D" w:rsidRPr="00F63F5E" w:rsidRDefault="005F400D" w:rsidP="008C4FE7">
            <w:pPr>
              <w:autoSpaceDE w:val="0"/>
              <w:autoSpaceDN w:val="0"/>
              <w:adjustRightInd w:val="0"/>
              <w:spacing w:after="0" w:line="276" w:lineRule="auto"/>
              <w:jc w:val="right"/>
              <w:rPr>
                <w:rFonts w:ascii="Times Roman" w:eastAsiaTheme="minorHAnsi" w:hAnsi="Times Roman"/>
                <w:color w:val="000000"/>
                <w:sz w:val="18"/>
                <w:szCs w:val="18"/>
                <w:lang w:eastAsia="en-US"/>
              </w:rPr>
            </w:pPr>
            <w:r w:rsidRPr="00F63F5E">
              <w:rPr>
                <w:rFonts w:ascii="Times Roman" w:eastAsiaTheme="minorHAnsi" w:hAnsi="Times Roman"/>
                <w:color w:val="000000"/>
                <w:sz w:val="18"/>
                <w:szCs w:val="18"/>
                <w:lang w:eastAsia="en-US"/>
              </w:rPr>
              <w:t>70,4</w:t>
            </w:r>
          </w:p>
        </w:tc>
        <w:tc>
          <w:tcPr>
            <w:tcW w:w="269" w:type="pct"/>
            <w:vAlign w:val="bottom"/>
          </w:tcPr>
          <w:p w14:paraId="62D59F05"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71,3</w:t>
            </w:r>
          </w:p>
        </w:tc>
        <w:tc>
          <w:tcPr>
            <w:tcW w:w="269" w:type="pct"/>
            <w:vAlign w:val="bottom"/>
          </w:tcPr>
          <w:p w14:paraId="38426B91"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70,8</w:t>
            </w:r>
          </w:p>
        </w:tc>
        <w:tc>
          <w:tcPr>
            <w:tcW w:w="403" w:type="pct"/>
            <w:vAlign w:val="bottom"/>
          </w:tcPr>
          <w:p w14:paraId="672570F7"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823 200</w:t>
            </w:r>
          </w:p>
        </w:tc>
        <w:tc>
          <w:tcPr>
            <w:tcW w:w="379" w:type="pct"/>
            <w:vAlign w:val="bottom"/>
          </w:tcPr>
          <w:p w14:paraId="226BA506"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583 200</w:t>
            </w:r>
          </w:p>
        </w:tc>
        <w:tc>
          <w:tcPr>
            <w:tcW w:w="390" w:type="pct"/>
            <w:vAlign w:val="bottom"/>
          </w:tcPr>
          <w:p w14:paraId="16A6A33C"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46</w:t>
            </w:r>
          </w:p>
        </w:tc>
      </w:tr>
      <w:tr w:rsidR="005F400D" w:rsidRPr="00F63F5E" w14:paraId="58E54460" w14:textId="77777777" w:rsidTr="008C4FE7">
        <w:trPr>
          <w:trHeight w:val="227"/>
        </w:trPr>
        <w:tc>
          <w:tcPr>
            <w:tcW w:w="1132" w:type="pct"/>
            <w:vAlign w:val="bottom"/>
          </w:tcPr>
          <w:p w14:paraId="18851EEC"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Omsetning og drift av fast eiendom</w:t>
            </w:r>
          </w:p>
        </w:tc>
        <w:tc>
          <w:tcPr>
            <w:tcW w:w="270" w:type="pct"/>
            <w:vAlign w:val="bottom"/>
          </w:tcPr>
          <w:p w14:paraId="45FFF364" w14:textId="77777777" w:rsidR="005F400D" w:rsidRPr="00F63F5E" w:rsidRDefault="005F400D" w:rsidP="008C4FE7">
            <w:pPr>
              <w:spacing w:after="0" w:line="276" w:lineRule="auto"/>
              <w:jc w:val="right"/>
              <w:rPr>
                <w:rFonts w:ascii="Times Roman" w:hAnsi="Times Roman"/>
                <w:sz w:val="18"/>
                <w:szCs w:val="18"/>
              </w:rPr>
            </w:pPr>
          </w:p>
        </w:tc>
        <w:tc>
          <w:tcPr>
            <w:tcW w:w="270" w:type="pct"/>
            <w:vAlign w:val="bottom"/>
          </w:tcPr>
          <w:p w14:paraId="07290AE3" w14:textId="77777777" w:rsidR="005F400D" w:rsidRPr="00F63F5E" w:rsidRDefault="005F400D" w:rsidP="008C4FE7">
            <w:pPr>
              <w:spacing w:after="0" w:line="276" w:lineRule="auto"/>
              <w:jc w:val="right"/>
              <w:rPr>
                <w:rFonts w:ascii="Times Roman" w:hAnsi="Times Roman"/>
                <w:sz w:val="18"/>
                <w:szCs w:val="18"/>
              </w:rPr>
            </w:pPr>
          </w:p>
        </w:tc>
        <w:tc>
          <w:tcPr>
            <w:tcW w:w="269" w:type="pct"/>
            <w:tcMar>
              <w:left w:w="34" w:type="dxa"/>
            </w:tcMar>
            <w:vAlign w:val="bottom"/>
          </w:tcPr>
          <w:p w14:paraId="4C936BD9" w14:textId="77777777" w:rsidR="005F400D" w:rsidRPr="00F63F5E" w:rsidRDefault="005F400D" w:rsidP="008C4FE7">
            <w:pPr>
              <w:spacing w:after="0" w:line="276" w:lineRule="auto"/>
              <w:jc w:val="right"/>
              <w:rPr>
                <w:rFonts w:ascii="Times Roman" w:hAnsi="Times Roman"/>
                <w:sz w:val="18"/>
                <w:szCs w:val="18"/>
              </w:rPr>
            </w:pPr>
          </w:p>
        </w:tc>
        <w:tc>
          <w:tcPr>
            <w:tcW w:w="269" w:type="pct"/>
            <w:vAlign w:val="bottom"/>
          </w:tcPr>
          <w:p w14:paraId="4E9D4550"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81,8</w:t>
            </w:r>
          </w:p>
        </w:tc>
        <w:tc>
          <w:tcPr>
            <w:tcW w:w="270" w:type="pct"/>
            <w:vAlign w:val="bottom"/>
          </w:tcPr>
          <w:p w14:paraId="0278F3F8"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82,7</w:t>
            </w:r>
          </w:p>
        </w:tc>
        <w:tc>
          <w:tcPr>
            <w:tcW w:w="270" w:type="pct"/>
            <w:vAlign w:val="bottom"/>
          </w:tcPr>
          <w:p w14:paraId="753425C4"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81,9</w:t>
            </w:r>
          </w:p>
        </w:tc>
        <w:tc>
          <w:tcPr>
            <w:tcW w:w="270" w:type="pct"/>
            <w:vAlign w:val="bottom"/>
          </w:tcPr>
          <w:p w14:paraId="6C99C4A4"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86,4</w:t>
            </w:r>
          </w:p>
        </w:tc>
        <w:tc>
          <w:tcPr>
            <w:tcW w:w="269" w:type="pct"/>
            <w:vAlign w:val="bottom"/>
          </w:tcPr>
          <w:p w14:paraId="6219C2D5"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84,4</w:t>
            </w:r>
          </w:p>
        </w:tc>
        <w:tc>
          <w:tcPr>
            <w:tcW w:w="269" w:type="pct"/>
            <w:vAlign w:val="bottom"/>
          </w:tcPr>
          <w:p w14:paraId="11545DF1"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87,8</w:t>
            </w:r>
          </w:p>
        </w:tc>
        <w:tc>
          <w:tcPr>
            <w:tcW w:w="269" w:type="pct"/>
            <w:vAlign w:val="bottom"/>
          </w:tcPr>
          <w:p w14:paraId="6CA4A3FD"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83,9</w:t>
            </w:r>
          </w:p>
        </w:tc>
        <w:tc>
          <w:tcPr>
            <w:tcW w:w="403" w:type="pct"/>
            <w:vAlign w:val="bottom"/>
          </w:tcPr>
          <w:p w14:paraId="03341F05"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655 200</w:t>
            </w:r>
          </w:p>
        </w:tc>
        <w:tc>
          <w:tcPr>
            <w:tcW w:w="379" w:type="pct"/>
            <w:vAlign w:val="bottom"/>
          </w:tcPr>
          <w:p w14:paraId="0196AAE8"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549 600</w:t>
            </w:r>
          </w:p>
        </w:tc>
        <w:tc>
          <w:tcPr>
            <w:tcW w:w="390" w:type="pct"/>
            <w:vAlign w:val="bottom"/>
          </w:tcPr>
          <w:p w14:paraId="0C274095"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33</w:t>
            </w:r>
          </w:p>
        </w:tc>
      </w:tr>
      <w:tr w:rsidR="005F400D" w:rsidRPr="00F63F5E" w14:paraId="6ACBF8D3" w14:textId="77777777" w:rsidTr="008C4FE7">
        <w:tc>
          <w:tcPr>
            <w:tcW w:w="1132" w:type="pct"/>
            <w:vAlign w:val="bottom"/>
          </w:tcPr>
          <w:p w14:paraId="6E7D030D"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Faglig, vitenskapelig og teknisk tjenesteyting</w:t>
            </w:r>
          </w:p>
        </w:tc>
        <w:tc>
          <w:tcPr>
            <w:tcW w:w="270" w:type="pct"/>
            <w:vAlign w:val="bottom"/>
          </w:tcPr>
          <w:p w14:paraId="4CEAF685" w14:textId="77777777" w:rsidR="005F400D" w:rsidRPr="00F63F5E" w:rsidRDefault="005F400D" w:rsidP="008C4FE7">
            <w:pPr>
              <w:spacing w:after="0" w:line="276" w:lineRule="auto"/>
              <w:jc w:val="right"/>
              <w:rPr>
                <w:rFonts w:ascii="Times Roman" w:hAnsi="Times Roman"/>
                <w:sz w:val="18"/>
                <w:szCs w:val="18"/>
              </w:rPr>
            </w:pPr>
          </w:p>
        </w:tc>
        <w:tc>
          <w:tcPr>
            <w:tcW w:w="270" w:type="pct"/>
            <w:vAlign w:val="bottom"/>
          </w:tcPr>
          <w:p w14:paraId="6D001C43" w14:textId="77777777" w:rsidR="005F400D" w:rsidRPr="00F63F5E" w:rsidRDefault="005F400D" w:rsidP="008C4FE7">
            <w:pPr>
              <w:spacing w:after="0" w:line="276" w:lineRule="auto"/>
              <w:jc w:val="right"/>
              <w:rPr>
                <w:rFonts w:ascii="Times Roman" w:hAnsi="Times Roman"/>
                <w:sz w:val="18"/>
                <w:szCs w:val="18"/>
              </w:rPr>
            </w:pPr>
          </w:p>
        </w:tc>
        <w:tc>
          <w:tcPr>
            <w:tcW w:w="269" w:type="pct"/>
            <w:tcMar>
              <w:left w:w="34" w:type="dxa"/>
            </w:tcMar>
            <w:vAlign w:val="bottom"/>
          </w:tcPr>
          <w:p w14:paraId="38492F46" w14:textId="77777777" w:rsidR="005F400D" w:rsidRPr="00F63F5E" w:rsidRDefault="005F400D" w:rsidP="008C4FE7">
            <w:pPr>
              <w:spacing w:after="0" w:line="276" w:lineRule="auto"/>
              <w:jc w:val="right"/>
              <w:rPr>
                <w:rFonts w:ascii="Times Roman" w:hAnsi="Times Roman"/>
                <w:sz w:val="18"/>
                <w:szCs w:val="18"/>
              </w:rPr>
            </w:pPr>
          </w:p>
        </w:tc>
        <w:tc>
          <w:tcPr>
            <w:tcW w:w="269" w:type="pct"/>
            <w:vAlign w:val="bottom"/>
          </w:tcPr>
          <w:p w14:paraId="6AA770DC"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76,9</w:t>
            </w:r>
          </w:p>
        </w:tc>
        <w:tc>
          <w:tcPr>
            <w:tcW w:w="270" w:type="pct"/>
            <w:vAlign w:val="bottom"/>
          </w:tcPr>
          <w:p w14:paraId="34A19F5C"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78,2</w:t>
            </w:r>
          </w:p>
        </w:tc>
        <w:tc>
          <w:tcPr>
            <w:tcW w:w="270" w:type="pct"/>
            <w:vAlign w:val="bottom"/>
          </w:tcPr>
          <w:p w14:paraId="376B546E" w14:textId="77777777" w:rsidR="005F400D" w:rsidRPr="00F63F5E" w:rsidRDefault="005F400D" w:rsidP="008C4FE7">
            <w:pPr>
              <w:spacing w:after="0" w:line="276" w:lineRule="auto"/>
              <w:ind w:left="-130"/>
              <w:jc w:val="right"/>
              <w:rPr>
                <w:rFonts w:ascii="Times Roman" w:hAnsi="Times Roman"/>
                <w:sz w:val="18"/>
                <w:szCs w:val="18"/>
              </w:rPr>
            </w:pPr>
            <w:r w:rsidRPr="00F63F5E">
              <w:rPr>
                <w:rFonts w:ascii="Times Roman" w:hAnsi="Times Roman"/>
                <w:sz w:val="18"/>
                <w:szCs w:val="18"/>
              </w:rPr>
              <w:t>78,4</w:t>
            </w:r>
          </w:p>
        </w:tc>
        <w:tc>
          <w:tcPr>
            <w:tcW w:w="270" w:type="pct"/>
            <w:vAlign w:val="bottom"/>
          </w:tcPr>
          <w:p w14:paraId="2B92C8CB"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78,1</w:t>
            </w:r>
          </w:p>
        </w:tc>
        <w:tc>
          <w:tcPr>
            <w:tcW w:w="269" w:type="pct"/>
            <w:vAlign w:val="bottom"/>
          </w:tcPr>
          <w:p w14:paraId="392DDC81"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78,3</w:t>
            </w:r>
          </w:p>
        </w:tc>
        <w:tc>
          <w:tcPr>
            <w:tcW w:w="269" w:type="pct"/>
            <w:vAlign w:val="bottom"/>
          </w:tcPr>
          <w:p w14:paraId="2F7102A7"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78,4</w:t>
            </w:r>
          </w:p>
        </w:tc>
        <w:tc>
          <w:tcPr>
            <w:tcW w:w="269" w:type="pct"/>
            <w:vAlign w:val="bottom"/>
          </w:tcPr>
          <w:p w14:paraId="1D7F8694"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79,4</w:t>
            </w:r>
          </w:p>
        </w:tc>
        <w:tc>
          <w:tcPr>
            <w:tcW w:w="403" w:type="pct"/>
            <w:vAlign w:val="bottom"/>
          </w:tcPr>
          <w:p w14:paraId="405AA14D"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711 600</w:t>
            </w:r>
          </w:p>
        </w:tc>
        <w:tc>
          <w:tcPr>
            <w:tcW w:w="379" w:type="pct"/>
            <w:vAlign w:val="bottom"/>
          </w:tcPr>
          <w:p w14:paraId="6FEAD006"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565 200</w:t>
            </w:r>
          </w:p>
        </w:tc>
        <w:tc>
          <w:tcPr>
            <w:tcW w:w="390" w:type="pct"/>
            <w:vAlign w:val="bottom"/>
          </w:tcPr>
          <w:p w14:paraId="1E3B7A35"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38</w:t>
            </w:r>
          </w:p>
        </w:tc>
      </w:tr>
      <w:tr w:rsidR="005F400D" w:rsidRPr="00F63F5E" w14:paraId="1A665C02" w14:textId="77777777" w:rsidTr="008C4FE7">
        <w:tc>
          <w:tcPr>
            <w:tcW w:w="1132" w:type="pct"/>
            <w:vAlign w:val="bottom"/>
          </w:tcPr>
          <w:p w14:paraId="2E15B1FC"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Forretningsmessig tjenesteyting</w:t>
            </w:r>
          </w:p>
        </w:tc>
        <w:tc>
          <w:tcPr>
            <w:tcW w:w="270" w:type="pct"/>
            <w:vAlign w:val="bottom"/>
          </w:tcPr>
          <w:p w14:paraId="1159E9CA" w14:textId="77777777" w:rsidR="005F400D" w:rsidRPr="00F63F5E" w:rsidRDefault="005F400D" w:rsidP="008C4FE7">
            <w:pPr>
              <w:spacing w:after="0" w:line="276" w:lineRule="auto"/>
              <w:jc w:val="right"/>
              <w:rPr>
                <w:rFonts w:ascii="Times Roman" w:hAnsi="Times Roman"/>
                <w:sz w:val="18"/>
                <w:szCs w:val="18"/>
              </w:rPr>
            </w:pPr>
          </w:p>
        </w:tc>
        <w:tc>
          <w:tcPr>
            <w:tcW w:w="270" w:type="pct"/>
            <w:vAlign w:val="bottom"/>
          </w:tcPr>
          <w:p w14:paraId="416AAAAC" w14:textId="77777777" w:rsidR="005F400D" w:rsidRPr="00F63F5E" w:rsidRDefault="005F400D" w:rsidP="008C4FE7">
            <w:pPr>
              <w:spacing w:after="0" w:line="276" w:lineRule="auto"/>
              <w:jc w:val="right"/>
              <w:rPr>
                <w:rFonts w:ascii="Times Roman" w:hAnsi="Times Roman"/>
                <w:sz w:val="18"/>
                <w:szCs w:val="18"/>
              </w:rPr>
            </w:pPr>
          </w:p>
        </w:tc>
        <w:tc>
          <w:tcPr>
            <w:tcW w:w="269" w:type="pct"/>
            <w:tcMar>
              <w:left w:w="34" w:type="dxa"/>
            </w:tcMar>
            <w:vAlign w:val="bottom"/>
          </w:tcPr>
          <w:p w14:paraId="34225C7B" w14:textId="77777777" w:rsidR="005F400D" w:rsidRPr="00F63F5E" w:rsidRDefault="005F400D" w:rsidP="008C4FE7">
            <w:pPr>
              <w:spacing w:after="0" w:line="276" w:lineRule="auto"/>
              <w:jc w:val="right"/>
              <w:rPr>
                <w:rFonts w:ascii="Times Roman" w:hAnsi="Times Roman"/>
                <w:sz w:val="18"/>
                <w:szCs w:val="18"/>
              </w:rPr>
            </w:pPr>
          </w:p>
        </w:tc>
        <w:tc>
          <w:tcPr>
            <w:tcW w:w="269" w:type="pct"/>
            <w:vAlign w:val="bottom"/>
          </w:tcPr>
          <w:p w14:paraId="2542A5EA"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90,6</w:t>
            </w:r>
          </w:p>
        </w:tc>
        <w:tc>
          <w:tcPr>
            <w:tcW w:w="270" w:type="pct"/>
            <w:vAlign w:val="bottom"/>
          </w:tcPr>
          <w:p w14:paraId="08E3C393"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89,9</w:t>
            </w:r>
          </w:p>
        </w:tc>
        <w:tc>
          <w:tcPr>
            <w:tcW w:w="270" w:type="pct"/>
            <w:vAlign w:val="bottom"/>
          </w:tcPr>
          <w:p w14:paraId="24D28F68"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91,4</w:t>
            </w:r>
          </w:p>
        </w:tc>
        <w:tc>
          <w:tcPr>
            <w:tcW w:w="270" w:type="pct"/>
            <w:vAlign w:val="bottom"/>
          </w:tcPr>
          <w:p w14:paraId="3CD45AAE"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91,4</w:t>
            </w:r>
          </w:p>
        </w:tc>
        <w:tc>
          <w:tcPr>
            <w:tcW w:w="269" w:type="pct"/>
            <w:vAlign w:val="bottom"/>
          </w:tcPr>
          <w:p w14:paraId="39A78D25"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93,2</w:t>
            </w:r>
          </w:p>
        </w:tc>
        <w:tc>
          <w:tcPr>
            <w:tcW w:w="269" w:type="pct"/>
            <w:vAlign w:val="bottom"/>
          </w:tcPr>
          <w:p w14:paraId="6BDE864D"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91,1</w:t>
            </w:r>
          </w:p>
        </w:tc>
        <w:tc>
          <w:tcPr>
            <w:tcW w:w="269" w:type="pct"/>
            <w:vAlign w:val="bottom"/>
          </w:tcPr>
          <w:p w14:paraId="52D32B36"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93,1</w:t>
            </w:r>
          </w:p>
        </w:tc>
        <w:tc>
          <w:tcPr>
            <w:tcW w:w="403" w:type="pct"/>
            <w:vAlign w:val="bottom"/>
          </w:tcPr>
          <w:p w14:paraId="0A2D9E8C"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452 400</w:t>
            </w:r>
          </w:p>
        </w:tc>
        <w:tc>
          <w:tcPr>
            <w:tcW w:w="379" w:type="pct"/>
            <w:vAlign w:val="bottom"/>
          </w:tcPr>
          <w:p w14:paraId="132811DE"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421 200</w:t>
            </w:r>
          </w:p>
        </w:tc>
        <w:tc>
          <w:tcPr>
            <w:tcW w:w="390" w:type="pct"/>
            <w:vAlign w:val="bottom"/>
          </w:tcPr>
          <w:p w14:paraId="03421D30"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35</w:t>
            </w:r>
          </w:p>
        </w:tc>
      </w:tr>
      <w:tr w:rsidR="005F400D" w:rsidRPr="00F63F5E" w14:paraId="1A51F37E" w14:textId="77777777" w:rsidTr="008C4FE7">
        <w:tc>
          <w:tcPr>
            <w:tcW w:w="1132" w:type="pct"/>
            <w:vAlign w:val="bottom"/>
          </w:tcPr>
          <w:p w14:paraId="63E47A97"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Privat undervisning</w:t>
            </w:r>
          </w:p>
        </w:tc>
        <w:tc>
          <w:tcPr>
            <w:tcW w:w="270" w:type="pct"/>
            <w:vAlign w:val="bottom"/>
          </w:tcPr>
          <w:p w14:paraId="4F3FD6BC"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88,2</w:t>
            </w:r>
          </w:p>
        </w:tc>
        <w:tc>
          <w:tcPr>
            <w:tcW w:w="270" w:type="pct"/>
            <w:vAlign w:val="bottom"/>
          </w:tcPr>
          <w:p w14:paraId="5F1DC90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88,0</w:t>
            </w:r>
          </w:p>
        </w:tc>
        <w:tc>
          <w:tcPr>
            <w:tcW w:w="269" w:type="pct"/>
            <w:tcMar>
              <w:left w:w="34" w:type="dxa"/>
            </w:tcMar>
            <w:vAlign w:val="bottom"/>
          </w:tcPr>
          <w:p w14:paraId="14B51BFC"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87,2</w:t>
            </w:r>
          </w:p>
        </w:tc>
        <w:tc>
          <w:tcPr>
            <w:tcW w:w="269" w:type="pct"/>
            <w:vAlign w:val="bottom"/>
          </w:tcPr>
          <w:p w14:paraId="02FF4640"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87,4</w:t>
            </w:r>
          </w:p>
        </w:tc>
        <w:tc>
          <w:tcPr>
            <w:tcW w:w="270" w:type="pct"/>
            <w:vAlign w:val="bottom"/>
          </w:tcPr>
          <w:p w14:paraId="1636C577"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88,5</w:t>
            </w:r>
          </w:p>
        </w:tc>
        <w:tc>
          <w:tcPr>
            <w:tcW w:w="270" w:type="pct"/>
            <w:vAlign w:val="bottom"/>
          </w:tcPr>
          <w:p w14:paraId="4E423342"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89,5</w:t>
            </w:r>
          </w:p>
        </w:tc>
        <w:tc>
          <w:tcPr>
            <w:tcW w:w="270" w:type="pct"/>
            <w:vAlign w:val="bottom"/>
          </w:tcPr>
          <w:p w14:paraId="5CB55154"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90,2</w:t>
            </w:r>
          </w:p>
        </w:tc>
        <w:tc>
          <w:tcPr>
            <w:tcW w:w="269" w:type="pct"/>
            <w:vAlign w:val="bottom"/>
          </w:tcPr>
          <w:p w14:paraId="32FDE200"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90,1</w:t>
            </w:r>
          </w:p>
        </w:tc>
        <w:tc>
          <w:tcPr>
            <w:tcW w:w="269" w:type="pct"/>
            <w:vAlign w:val="bottom"/>
          </w:tcPr>
          <w:p w14:paraId="50D3F5B6"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91,5</w:t>
            </w:r>
          </w:p>
        </w:tc>
        <w:tc>
          <w:tcPr>
            <w:tcW w:w="269" w:type="pct"/>
            <w:vAlign w:val="bottom"/>
          </w:tcPr>
          <w:p w14:paraId="6E862D8B"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91,0</w:t>
            </w:r>
          </w:p>
        </w:tc>
        <w:tc>
          <w:tcPr>
            <w:tcW w:w="403" w:type="pct"/>
            <w:vAlign w:val="bottom"/>
          </w:tcPr>
          <w:p w14:paraId="2C8E12F3"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522 000</w:t>
            </w:r>
          </w:p>
        </w:tc>
        <w:tc>
          <w:tcPr>
            <w:tcW w:w="379" w:type="pct"/>
            <w:vAlign w:val="bottom"/>
          </w:tcPr>
          <w:p w14:paraId="6179CC04"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475 200</w:t>
            </w:r>
          </w:p>
        </w:tc>
        <w:tc>
          <w:tcPr>
            <w:tcW w:w="390" w:type="pct"/>
            <w:vAlign w:val="bottom"/>
          </w:tcPr>
          <w:p w14:paraId="1894AA32"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52</w:t>
            </w:r>
          </w:p>
        </w:tc>
      </w:tr>
      <w:tr w:rsidR="005F400D" w:rsidRPr="00F63F5E" w14:paraId="7C4AB6B5" w14:textId="77777777" w:rsidTr="008C4FE7">
        <w:tc>
          <w:tcPr>
            <w:tcW w:w="1132" w:type="pct"/>
            <w:vAlign w:val="bottom"/>
          </w:tcPr>
          <w:p w14:paraId="54F6EC82"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 xml:space="preserve">Private helse- og sosialtjenester </w:t>
            </w:r>
          </w:p>
        </w:tc>
        <w:tc>
          <w:tcPr>
            <w:tcW w:w="270" w:type="pct"/>
            <w:vAlign w:val="bottom"/>
          </w:tcPr>
          <w:p w14:paraId="1FDC18DC"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84,2</w:t>
            </w:r>
          </w:p>
        </w:tc>
        <w:tc>
          <w:tcPr>
            <w:tcW w:w="270" w:type="pct"/>
            <w:vAlign w:val="bottom"/>
          </w:tcPr>
          <w:p w14:paraId="59B27D66"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83,8</w:t>
            </w:r>
          </w:p>
        </w:tc>
        <w:tc>
          <w:tcPr>
            <w:tcW w:w="269" w:type="pct"/>
            <w:tcMar>
              <w:left w:w="34" w:type="dxa"/>
            </w:tcMar>
            <w:vAlign w:val="bottom"/>
          </w:tcPr>
          <w:p w14:paraId="2F8184DA"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83,5</w:t>
            </w:r>
          </w:p>
        </w:tc>
        <w:tc>
          <w:tcPr>
            <w:tcW w:w="269" w:type="pct"/>
            <w:vAlign w:val="bottom"/>
          </w:tcPr>
          <w:p w14:paraId="16D26E06"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83,4</w:t>
            </w:r>
          </w:p>
        </w:tc>
        <w:tc>
          <w:tcPr>
            <w:tcW w:w="270" w:type="pct"/>
            <w:vAlign w:val="bottom"/>
          </w:tcPr>
          <w:p w14:paraId="21D392F4"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84,1</w:t>
            </w:r>
          </w:p>
        </w:tc>
        <w:tc>
          <w:tcPr>
            <w:tcW w:w="270" w:type="pct"/>
            <w:vAlign w:val="bottom"/>
          </w:tcPr>
          <w:p w14:paraId="4CB96C03"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84,8</w:t>
            </w:r>
          </w:p>
        </w:tc>
        <w:tc>
          <w:tcPr>
            <w:tcW w:w="270" w:type="pct"/>
            <w:vAlign w:val="bottom"/>
          </w:tcPr>
          <w:p w14:paraId="007192F9"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85,0</w:t>
            </w:r>
          </w:p>
        </w:tc>
        <w:tc>
          <w:tcPr>
            <w:tcW w:w="269" w:type="pct"/>
            <w:vAlign w:val="bottom"/>
          </w:tcPr>
          <w:p w14:paraId="202012CE"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85,9</w:t>
            </w:r>
          </w:p>
        </w:tc>
        <w:tc>
          <w:tcPr>
            <w:tcW w:w="269" w:type="pct"/>
            <w:vAlign w:val="bottom"/>
          </w:tcPr>
          <w:p w14:paraId="097E3318"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85,2</w:t>
            </w:r>
          </w:p>
        </w:tc>
        <w:tc>
          <w:tcPr>
            <w:tcW w:w="269" w:type="pct"/>
            <w:vAlign w:val="bottom"/>
          </w:tcPr>
          <w:p w14:paraId="497ADEEC"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86,8</w:t>
            </w:r>
          </w:p>
        </w:tc>
        <w:tc>
          <w:tcPr>
            <w:tcW w:w="403" w:type="pct"/>
            <w:vAlign w:val="bottom"/>
          </w:tcPr>
          <w:p w14:paraId="09C6D29A"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490 800</w:t>
            </w:r>
          </w:p>
        </w:tc>
        <w:tc>
          <w:tcPr>
            <w:tcW w:w="379" w:type="pct"/>
            <w:vAlign w:val="bottom"/>
          </w:tcPr>
          <w:p w14:paraId="2B8A050F"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426 000</w:t>
            </w:r>
          </w:p>
        </w:tc>
        <w:tc>
          <w:tcPr>
            <w:tcW w:w="390" w:type="pct"/>
            <w:vAlign w:val="bottom"/>
          </w:tcPr>
          <w:p w14:paraId="68F0E33E"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73</w:t>
            </w:r>
          </w:p>
        </w:tc>
      </w:tr>
      <w:tr w:rsidR="005F400D" w:rsidRPr="00F63F5E" w14:paraId="4E8963EF" w14:textId="77777777" w:rsidTr="008C4FE7">
        <w:tc>
          <w:tcPr>
            <w:tcW w:w="1132" w:type="pct"/>
            <w:vAlign w:val="bottom"/>
          </w:tcPr>
          <w:p w14:paraId="59504140"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Personlige tjenester</w:t>
            </w:r>
          </w:p>
        </w:tc>
        <w:tc>
          <w:tcPr>
            <w:tcW w:w="270" w:type="pct"/>
            <w:vAlign w:val="bottom"/>
          </w:tcPr>
          <w:p w14:paraId="76E42C0F" w14:textId="77777777" w:rsidR="005F400D" w:rsidRPr="00F63F5E" w:rsidRDefault="005F400D" w:rsidP="008C4FE7">
            <w:pPr>
              <w:spacing w:after="0" w:line="276" w:lineRule="auto"/>
              <w:jc w:val="right"/>
              <w:rPr>
                <w:rFonts w:ascii="Times Roman" w:hAnsi="Times Roman"/>
                <w:sz w:val="18"/>
                <w:szCs w:val="18"/>
              </w:rPr>
            </w:pPr>
          </w:p>
        </w:tc>
        <w:tc>
          <w:tcPr>
            <w:tcW w:w="270" w:type="pct"/>
            <w:vAlign w:val="bottom"/>
          </w:tcPr>
          <w:p w14:paraId="2A7B264C" w14:textId="77777777" w:rsidR="005F400D" w:rsidRPr="00F63F5E" w:rsidRDefault="005F400D" w:rsidP="008C4FE7">
            <w:pPr>
              <w:spacing w:after="0" w:line="276" w:lineRule="auto"/>
              <w:jc w:val="right"/>
              <w:rPr>
                <w:rFonts w:ascii="Times Roman" w:hAnsi="Times Roman"/>
                <w:sz w:val="18"/>
                <w:szCs w:val="18"/>
              </w:rPr>
            </w:pPr>
          </w:p>
        </w:tc>
        <w:tc>
          <w:tcPr>
            <w:tcW w:w="269" w:type="pct"/>
            <w:tcMar>
              <w:left w:w="34" w:type="dxa"/>
            </w:tcMar>
            <w:vAlign w:val="bottom"/>
          </w:tcPr>
          <w:p w14:paraId="51790C59" w14:textId="77777777" w:rsidR="005F400D" w:rsidRPr="00F63F5E" w:rsidRDefault="005F400D" w:rsidP="008C4FE7">
            <w:pPr>
              <w:spacing w:after="0" w:line="276" w:lineRule="auto"/>
              <w:jc w:val="right"/>
              <w:rPr>
                <w:rFonts w:ascii="Times Roman" w:hAnsi="Times Roman"/>
                <w:sz w:val="18"/>
                <w:szCs w:val="18"/>
              </w:rPr>
            </w:pPr>
          </w:p>
        </w:tc>
        <w:tc>
          <w:tcPr>
            <w:tcW w:w="269" w:type="pct"/>
            <w:vAlign w:val="bottom"/>
          </w:tcPr>
          <w:p w14:paraId="2BDB8AE6"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79,2</w:t>
            </w:r>
          </w:p>
        </w:tc>
        <w:tc>
          <w:tcPr>
            <w:tcW w:w="270" w:type="pct"/>
            <w:vAlign w:val="bottom"/>
          </w:tcPr>
          <w:p w14:paraId="206C67DB"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78,6</w:t>
            </w:r>
          </w:p>
        </w:tc>
        <w:tc>
          <w:tcPr>
            <w:tcW w:w="270" w:type="pct"/>
            <w:vAlign w:val="bottom"/>
          </w:tcPr>
          <w:p w14:paraId="79D90F47"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76,9</w:t>
            </w:r>
          </w:p>
        </w:tc>
        <w:tc>
          <w:tcPr>
            <w:tcW w:w="270" w:type="pct"/>
            <w:vAlign w:val="bottom"/>
          </w:tcPr>
          <w:p w14:paraId="172C0504"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76,2</w:t>
            </w:r>
          </w:p>
        </w:tc>
        <w:tc>
          <w:tcPr>
            <w:tcW w:w="269" w:type="pct"/>
            <w:vAlign w:val="bottom"/>
          </w:tcPr>
          <w:p w14:paraId="0EC9256D"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77,6</w:t>
            </w:r>
          </w:p>
        </w:tc>
        <w:tc>
          <w:tcPr>
            <w:tcW w:w="269" w:type="pct"/>
            <w:vAlign w:val="bottom"/>
          </w:tcPr>
          <w:p w14:paraId="55AD7833"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75,5</w:t>
            </w:r>
          </w:p>
        </w:tc>
        <w:tc>
          <w:tcPr>
            <w:tcW w:w="269" w:type="pct"/>
            <w:vAlign w:val="bottom"/>
          </w:tcPr>
          <w:p w14:paraId="7AE91FCE"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76,3</w:t>
            </w:r>
          </w:p>
        </w:tc>
        <w:tc>
          <w:tcPr>
            <w:tcW w:w="403" w:type="pct"/>
            <w:vAlign w:val="bottom"/>
          </w:tcPr>
          <w:p w14:paraId="5C761586"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547 200</w:t>
            </w:r>
          </w:p>
        </w:tc>
        <w:tc>
          <w:tcPr>
            <w:tcW w:w="379" w:type="pct"/>
            <w:vAlign w:val="bottom"/>
          </w:tcPr>
          <w:p w14:paraId="3924A0E7"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417 600</w:t>
            </w:r>
          </w:p>
        </w:tc>
        <w:tc>
          <w:tcPr>
            <w:tcW w:w="390" w:type="pct"/>
            <w:vAlign w:val="bottom"/>
          </w:tcPr>
          <w:p w14:paraId="4D3D94FC"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65</w:t>
            </w:r>
          </w:p>
        </w:tc>
      </w:tr>
      <w:tr w:rsidR="005F400D" w:rsidRPr="00F63F5E" w14:paraId="6F77B28D" w14:textId="77777777" w:rsidTr="008C4FE7">
        <w:trPr>
          <w:trHeight w:val="147"/>
        </w:trPr>
        <w:tc>
          <w:tcPr>
            <w:tcW w:w="1132" w:type="pct"/>
            <w:vAlign w:val="bottom"/>
          </w:tcPr>
          <w:p w14:paraId="07CBA03E" w14:textId="77777777" w:rsidR="005F400D" w:rsidRPr="00F63F5E" w:rsidRDefault="005F400D" w:rsidP="008C4FE7">
            <w:pPr>
              <w:spacing w:after="0" w:line="276" w:lineRule="auto"/>
              <w:rPr>
                <w:rFonts w:ascii="Times Roman" w:hAnsi="Times Roman"/>
                <w:sz w:val="18"/>
                <w:szCs w:val="18"/>
                <w:vertAlign w:val="superscript"/>
              </w:rPr>
            </w:pPr>
            <w:r w:rsidRPr="00F63F5E">
              <w:rPr>
                <w:rFonts w:ascii="Times Roman" w:hAnsi="Times Roman"/>
                <w:sz w:val="18"/>
                <w:szCs w:val="18"/>
              </w:rPr>
              <w:t>Ansatte i staten</w:t>
            </w:r>
            <w:r w:rsidRPr="00F63F5E">
              <w:rPr>
                <w:rFonts w:ascii="Times Roman" w:hAnsi="Times Roman"/>
                <w:sz w:val="18"/>
                <w:szCs w:val="18"/>
                <w:vertAlign w:val="superscript"/>
              </w:rPr>
              <w:t>5</w:t>
            </w:r>
          </w:p>
        </w:tc>
        <w:tc>
          <w:tcPr>
            <w:tcW w:w="270" w:type="pct"/>
            <w:vAlign w:val="bottom"/>
          </w:tcPr>
          <w:p w14:paraId="29CF2AE3" w14:textId="77777777" w:rsidR="005F400D" w:rsidRPr="00F63F5E" w:rsidRDefault="005F400D" w:rsidP="008C4FE7">
            <w:pPr>
              <w:spacing w:after="0" w:line="276" w:lineRule="auto"/>
              <w:jc w:val="right"/>
              <w:rPr>
                <w:rFonts w:ascii="Times Roman" w:hAnsi="Times Roman"/>
                <w:sz w:val="18"/>
                <w:szCs w:val="18"/>
                <w:vertAlign w:val="superscript"/>
              </w:rPr>
            </w:pPr>
            <w:r w:rsidRPr="00F63F5E">
              <w:rPr>
                <w:rFonts w:ascii="Times Roman" w:hAnsi="Times Roman"/>
                <w:sz w:val="18"/>
                <w:szCs w:val="18"/>
              </w:rPr>
              <w:t>90,8</w:t>
            </w:r>
          </w:p>
        </w:tc>
        <w:tc>
          <w:tcPr>
            <w:tcW w:w="270" w:type="pct"/>
            <w:vAlign w:val="bottom"/>
          </w:tcPr>
          <w:p w14:paraId="0BAD216E" w14:textId="77777777" w:rsidR="005F400D" w:rsidRPr="00F63F5E" w:rsidRDefault="005F400D" w:rsidP="008C4FE7">
            <w:pPr>
              <w:spacing w:after="0" w:line="276" w:lineRule="auto"/>
              <w:jc w:val="right"/>
              <w:rPr>
                <w:rFonts w:ascii="Times Roman" w:hAnsi="Times Roman"/>
                <w:sz w:val="18"/>
                <w:szCs w:val="18"/>
                <w:vertAlign w:val="superscript"/>
              </w:rPr>
            </w:pPr>
            <w:r w:rsidRPr="00F63F5E">
              <w:rPr>
                <w:rFonts w:ascii="Times Roman" w:hAnsi="Times Roman"/>
                <w:sz w:val="18"/>
                <w:szCs w:val="18"/>
              </w:rPr>
              <w:t>90,7</w:t>
            </w:r>
          </w:p>
        </w:tc>
        <w:tc>
          <w:tcPr>
            <w:tcW w:w="269" w:type="pct"/>
            <w:tcMar>
              <w:left w:w="34" w:type="dxa"/>
            </w:tcMar>
            <w:vAlign w:val="bottom"/>
          </w:tcPr>
          <w:p w14:paraId="0BE84012"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91,2</w:t>
            </w:r>
          </w:p>
        </w:tc>
        <w:tc>
          <w:tcPr>
            <w:tcW w:w="269" w:type="pct"/>
            <w:vAlign w:val="bottom"/>
          </w:tcPr>
          <w:p w14:paraId="67EEB479"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91,3</w:t>
            </w:r>
          </w:p>
        </w:tc>
        <w:tc>
          <w:tcPr>
            <w:tcW w:w="270" w:type="pct"/>
            <w:vAlign w:val="bottom"/>
          </w:tcPr>
          <w:p w14:paraId="4B8E802A"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90,9</w:t>
            </w:r>
          </w:p>
        </w:tc>
        <w:tc>
          <w:tcPr>
            <w:tcW w:w="270" w:type="pct"/>
            <w:vAlign w:val="bottom"/>
          </w:tcPr>
          <w:p w14:paraId="34D7AEEA" w14:textId="77777777" w:rsidR="005F400D" w:rsidRPr="00F63F5E" w:rsidRDefault="005F400D" w:rsidP="008C4FE7">
            <w:pPr>
              <w:spacing w:after="0" w:line="276" w:lineRule="auto"/>
              <w:ind w:left="-130"/>
              <w:jc w:val="right"/>
              <w:rPr>
                <w:rFonts w:ascii="Times Roman" w:hAnsi="Times Roman"/>
                <w:sz w:val="18"/>
                <w:szCs w:val="18"/>
              </w:rPr>
            </w:pPr>
            <w:r w:rsidRPr="00F63F5E">
              <w:rPr>
                <w:rFonts w:ascii="Times Roman" w:hAnsi="Times Roman"/>
                <w:sz w:val="18"/>
                <w:szCs w:val="18"/>
              </w:rPr>
              <w:t>91,3</w:t>
            </w:r>
          </w:p>
        </w:tc>
        <w:tc>
          <w:tcPr>
            <w:tcW w:w="270" w:type="pct"/>
            <w:vAlign w:val="bottom"/>
          </w:tcPr>
          <w:p w14:paraId="515E10D0"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91,6</w:t>
            </w:r>
          </w:p>
        </w:tc>
        <w:tc>
          <w:tcPr>
            <w:tcW w:w="269" w:type="pct"/>
            <w:vAlign w:val="bottom"/>
          </w:tcPr>
          <w:p w14:paraId="20B7D22F"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92,2</w:t>
            </w:r>
          </w:p>
        </w:tc>
        <w:tc>
          <w:tcPr>
            <w:tcW w:w="269" w:type="pct"/>
            <w:vAlign w:val="bottom"/>
          </w:tcPr>
          <w:p w14:paraId="470707A7"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91,6</w:t>
            </w:r>
          </w:p>
        </w:tc>
        <w:tc>
          <w:tcPr>
            <w:tcW w:w="269" w:type="pct"/>
            <w:vAlign w:val="bottom"/>
          </w:tcPr>
          <w:p w14:paraId="73BD5C72"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91,4</w:t>
            </w:r>
          </w:p>
        </w:tc>
        <w:tc>
          <w:tcPr>
            <w:tcW w:w="403" w:type="pct"/>
            <w:vAlign w:val="bottom"/>
          </w:tcPr>
          <w:p w14:paraId="429065E5"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560 400</w:t>
            </w:r>
          </w:p>
        </w:tc>
        <w:tc>
          <w:tcPr>
            <w:tcW w:w="379" w:type="pct"/>
            <w:vAlign w:val="bottom"/>
          </w:tcPr>
          <w:p w14:paraId="38A1CBFF"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512 400</w:t>
            </w:r>
          </w:p>
        </w:tc>
        <w:tc>
          <w:tcPr>
            <w:tcW w:w="390" w:type="pct"/>
            <w:vAlign w:val="bottom"/>
          </w:tcPr>
          <w:p w14:paraId="321BCC41"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46</w:t>
            </w:r>
          </w:p>
        </w:tc>
      </w:tr>
      <w:tr w:rsidR="005F400D" w:rsidRPr="00F63F5E" w14:paraId="0A77C201" w14:textId="77777777" w:rsidTr="008C4FE7">
        <w:tc>
          <w:tcPr>
            <w:tcW w:w="1132" w:type="pct"/>
            <w:vAlign w:val="bottom"/>
          </w:tcPr>
          <w:p w14:paraId="5E09BC5D" w14:textId="77777777" w:rsidR="005F400D" w:rsidRPr="00F63F5E" w:rsidRDefault="005F400D" w:rsidP="008C4FE7">
            <w:pPr>
              <w:spacing w:after="0" w:line="276" w:lineRule="auto"/>
              <w:rPr>
                <w:rFonts w:ascii="Times Roman" w:hAnsi="Times Roman"/>
                <w:sz w:val="18"/>
                <w:szCs w:val="18"/>
                <w:vertAlign w:val="superscript"/>
              </w:rPr>
            </w:pPr>
            <w:r w:rsidRPr="00F63F5E">
              <w:rPr>
                <w:rFonts w:ascii="Times Roman" w:hAnsi="Times Roman"/>
                <w:sz w:val="18"/>
                <w:szCs w:val="18"/>
              </w:rPr>
              <w:t>Kommune/fylkeskommune</w:t>
            </w:r>
            <w:r w:rsidRPr="00F63F5E">
              <w:rPr>
                <w:rFonts w:ascii="Times Roman" w:hAnsi="Times Roman"/>
                <w:sz w:val="18"/>
                <w:szCs w:val="18"/>
                <w:vertAlign w:val="superscript"/>
              </w:rPr>
              <w:t>2</w:t>
            </w:r>
          </w:p>
        </w:tc>
        <w:tc>
          <w:tcPr>
            <w:tcW w:w="270" w:type="pct"/>
            <w:vAlign w:val="bottom"/>
          </w:tcPr>
          <w:p w14:paraId="368C206A"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92,7</w:t>
            </w:r>
          </w:p>
        </w:tc>
        <w:tc>
          <w:tcPr>
            <w:tcW w:w="270" w:type="pct"/>
            <w:vAlign w:val="bottom"/>
          </w:tcPr>
          <w:p w14:paraId="38C45A2D"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93,0</w:t>
            </w:r>
          </w:p>
        </w:tc>
        <w:tc>
          <w:tcPr>
            <w:tcW w:w="269" w:type="pct"/>
            <w:tcMar>
              <w:left w:w="34" w:type="dxa"/>
            </w:tcMar>
            <w:vAlign w:val="bottom"/>
          </w:tcPr>
          <w:p w14:paraId="5FC437C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93,0</w:t>
            </w:r>
          </w:p>
        </w:tc>
        <w:tc>
          <w:tcPr>
            <w:tcW w:w="269" w:type="pct"/>
            <w:vAlign w:val="bottom"/>
          </w:tcPr>
          <w:p w14:paraId="059BC4ED"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93,2</w:t>
            </w:r>
          </w:p>
        </w:tc>
        <w:tc>
          <w:tcPr>
            <w:tcW w:w="270" w:type="pct"/>
            <w:vAlign w:val="bottom"/>
          </w:tcPr>
          <w:p w14:paraId="43DE7B75"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93,4</w:t>
            </w:r>
          </w:p>
        </w:tc>
        <w:tc>
          <w:tcPr>
            <w:tcW w:w="270" w:type="pct"/>
            <w:vAlign w:val="bottom"/>
          </w:tcPr>
          <w:p w14:paraId="49331CA8"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93,8</w:t>
            </w:r>
          </w:p>
        </w:tc>
        <w:tc>
          <w:tcPr>
            <w:tcW w:w="270" w:type="pct"/>
            <w:vAlign w:val="bottom"/>
          </w:tcPr>
          <w:p w14:paraId="48DF3B1D"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93,7</w:t>
            </w:r>
          </w:p>
        </w:tc>
        <w:tc>
          <w:tcPr>
            <w:tcW w:w="269" w:type="pct"/>
            <w:vAlign w:val="bottom"/>
          </w:tcPr>
          <w:p w14:paraId="36EB9875"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94,0</w:t>
            </w:r>
          </w:p>
        </w:tc>
        <w:tc>
          <w:tcPr>
            <w:tcW w:w="269" w:type="pct"/>
            <w:vAlign w:val="bottom"/>
          </w:tcPr>
          <w:p w14:paraId="0744A0F1"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sz w:val="18"/>
                <w:szCs w:val="18"/>
              </w:rPr>
              <w:t>93,9</w:t>
            </w:r>
          </w:p>
        </w:tc>
        <w:tc>
          <w:tcPr>
            <w:tcW w:w="269" w:type="pct"/>
            <w:vAlign w:val="bottom"/>
          </w:tcPr>
          <w:p w14:paraId="6EDEE842" w14:textId="77777777" w:rsidR="005F400D" w:rsidRPr="00FB7121" w:rsidRDefault="005F400D" w:rsidP="008C4FE7">
            <w:pPr>
              <w:spacing w:after="0" w:line="276" w:lineRule="auto"/>
              <w:jc w:val="right"/>
              <w:rPr>
                <w:rFonts w:ascii="Times New Roman" w:hAnsi="Times New Roman"/>
                <w:color w:val="000000"/>
                <w:sz w:val="18"/>
                <w:szCs w:val="18"/>
              </w:rPr>
            </w:pPr>
            <w:r w:rsidRPr="00FB7121">
              <w:rPr>
                <w:rFonts w:ascii="Times New Roman" w:hAnsi="Times New Roman"/>
                <w:color w:val="000000"/>
                <w:sz w:val="18"/>
                <w:szCs w:val="18"/>
              </w:rPr>
              <w:t>94,1</w:t>
            </w:r>
          </w:p>
        </w:tc>
        <w:tc>
          <w:tcPr>
            <w:tcW w:w="403" w:type="pct"/>
            <w:vAlign w:val="bottom"/>
          </w:tcPr>
          <w:p w14:paraId="78811A58" w14:textId="77777777" w:rsidR="005F400D" w:rsidRPr="00FB7121" w:rsidRDefault="005F400D" w:rsidP="008C4FE7">
            <w:pPr>
              <w:spacing w:after="0" w:line="276" w:lineRule="auto"/>
              <w:jc w:val="center"/>
              <w:rPr>
                <w:rFonts w:ascii="Times New Roman" w:hAnsi="Times New Roman"/>
                <w:color w:val="000000"/>
                <w:sz w:val="18"/>
                <w:szCs w:val="18"/>
              </w:rPr>
            </w:pPr>
            <w:r w:rsidRPr="00FB7121">
              <w:rPr>
                <w:rFonts w:ascii="Times New Roman" w:hAnsi="Times New Roman"/>
                <w:color w:val="000000"/>
                <w:sz w:val="18"/>
                <w:szCs w:val="18"/>
              </w:rPr>
              <w:t xml:space="preserve"> 512 400 </w:t>
            </w:r>
          </w:p>
        </w:tc>
        <w:tc>
          <w:tcPr>
            <w:tcW w:w="379" w:type="pct"/>
            <w:vAlign w:val="bottom"/>
          </w:tcPr>
          <w:p w14:paraId="0BDC913E" w14:textId="77777777" w:rsidR="005F400D" w:rsidRPr="00FB7121" w:rsidRDefault="005F400D" w:rsidP="008C4FE7">
            <w:pPr>
              <w:spacing w:after="0" w:line="276" w:lineRule="auto"/>
              <w:jc w:val="center"/>
              <w:rPr>
                <w:rFonts w:ascii="Times New Roman" w:hAnsi="Times New Roman"/>
                <w:color w:val="000000"/>
                <w:sz w:val="18"/>
                <w:szCs w:val="18"/>
              </w:rPr>
            </w:pPr>
            <w:r w:rsidRPr="00FB7121">
              <w:rPr>
                <w:rFonts w:ascii="Times New Roman" w:hAnsi="Times New Roman"/>
                <w:color w:val="000000"/>
                <w:sz w:val="18"/>
                <w:szCs w:val="18"/>
              </w:rPr>
              <w:t xml:space="preserve"> 482 400 </w:t>
            </w:r>
          </w:p>
        </w:tc>
        <w:tc>
          <w:tcPr>
            <w:tcW w:w="390" w:type="pct"/>
            <w:vAlign w:val="bottom"/>
          </w:tcPr>
          <w:p w14:paraId="27BCA0F6"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69</w:t>
            </w:r>
          </w:p>
        </w:tc>
      </w:tr>
      <w:tr w:rsidR="005F400D" w:rsidRPr="00F63F5E" w14:paraId="37722656" w14:textId="77777777" w:rsidTr="008C4FE7">
        <w:tc>
          <w:tcPr>
            <w:tcW w:w="1132" w:type="pct"/>
            <w:vAlign w:val="bottom"/>
          </w:tcPr>
          <w:p w14:paraId="2F5A6287" w14:textId="77777777" w:rsidR="005F400D" w:rsidRPr="00F63F5E" w:rsidRDefault="005F400D" w:rsidP="008C4FE7">
            <w:pPr>
              <w:spacing w:after="0" w:line="276" w:lineRule="auto"/>
              <w:ind w:left="142"/>
              <w:rPr>
                <w:rFonts w:ascii="Times Roman" w:hAnsi="Times Roman"/>
                <w:sz w:val="18"/>
                <w:szCs w:val="18"/>
              </w:rPr>
            </w:pPr>
            <w:r>
              <w:rPr>
                <w:rFonts w:ascii="Times Roman" w:hAnsi="Times Roman"/>
                <w:sz w:val="18"/>
                <w:szCs w:val="18"/>
              </w:rPr>
              <w:t>Herav:</w:t>
            </w:r>
          </w:p>
        </w:tc>
        <w:tc>
          <w:tcPr>
            <w:tcW w:w="270" w:type="pct"/>
            <w:vAlign w:val="bottom"/>
          </w:tcPr>
          <w:p w14:paraId="3982976E" w14:textId="77777777" w:rsidR="005F400D" w:rsidRPr="00F63F5E" w:rsidRDefault="005F400D" w:rsidP="008C4FE7">
            <w:pPr>
              <w:spacing w:after="0" w:line="276" w:lineRule="auto"/>
              <w:jc w:val="right"/>
              <w:rPr>
                <w:rFonts w:ascii="Times Roman" w:hAnsi="Times Roman"/>
                <w:sz w:val="18"/>
                <w:szCs w:val="18"/>
              </w:rPr>
            </w:pPr>
          </w:p>
        </w:tc>
        <w:tc>
          <w:tcPr>
            <w:tcW w:w="270" w:type="pct"/>
            <w:vAlign w:val="bottom"/>
          </w:tcPr>
          <w:p w14:paraId="61F82E40" w14:textId="77777777" w:rsidR="005F400D" w:rsidRPr="00F63F5E" w:rsidRDefault="005F400D" w:rsidP="008C4FE7">
            <w:pPr>
              <w:spacing w:after="0" w:line="276" w:lineRule="auto"/>
              <w:jc w:val="right"/>
              <w:rPr>
                <w:rFonts w:ascii="Times Roman" w:hAnsi="Times Roman"/>
                <w:sz w:val="18"/>
                <w:szCs w:val="18"/>
              </w:rPr>
            </w:pPr>
          </w:p>
        </w:tc>
        <w:tc>
          <w:tcPr>
            <w:tcW w:w="269" w:type="pct"/>
            <w:tcMar>
              <w:left w:w="34" w:type="dxa"/>
            </w:tcMar>
            <w:vAlign w:val="bottom"/>
          </w:tcPr>
          <w:p w14:paraId="09133E8C" w14:textId="77777777" w:rsidR="005F400D" w:rsidRPr="00F63F5E" w:rsidRDefault="005F400D" w:rsidP="008C4FE7">
            <w:pPr>
              <w:spacing w:after="0" w:line="276" w:lineRule="auto"/>
              <w:jc w:val="right"/>
              <w:rPr>
                <w:rFonts w:ascii="Times Roman" w:hAnsi="Times Roman"/>
                <w:sz w:val="18"/>
                <w:szCs w:val="18"/>
              </w:rPr>
            </w:pPr>
          </w:p>
        </w:tc>
        <w:tc>
          <w:tcPr>
            <w:tcW w:w="269" w:type="pct"/>
            <w:vAlign w:val="bottom"/>
          </w:tcPr>
          <w:p w14:paraId="4253268C" w14:textId="77777777" w:rsidR="005F400D" w:rsidRPr="00F63F5E" w:rsidRDefault="005F400D" w:rsidP="008C4FE7">
            <w:pPr>
              <w:spacing w:after="0" w:line="276" w:lineRule="auto"/>
              <w:jc w:val="right"/>
              <w:rPr>
                <w:rFonts w:ascii="Times Roman" w:hAnsi="Times Roman"/>
                <w:sz w:val="18"/>
                <w:szCs w:val="18"/>
              </w:rPr>
            </w:pPr>
          </w:p>
        </w:tc>
        <w:tc>
          <w:tcPr>
            <w:tcW w:w="270" w:type="pct"/>
            <w:vAlign w:val="bottom"/>
          </w:tcPr>
          <w:p w14:paraId="0AFAB0B7" w14:textId="77777777" w:rsidR="005F400D" w:rsidRPr="00F63F5E" w:rsidRDefault="005F400D" w:rsidP="008C4FE7">
            <w:pPr>
              <w:spacing w:after="0" w:line="276" w:lineRule="auto"/>
              <w:jc w:val="right"/>
              <w:rPr>
                <w:rFonts w:ascii="Times Roman" w:hAnsi="Times Roman"/>
                <w:sz w:val="18"/>
                <w:szCs w:val="18"/>
              </w:rPr>
            </w:pPr>
          </w:p>
        </w:tc>
        <w:tc>
          <w:tcPr>
            <w:tcW w:w="270" w:type="pct"/>
            <w:vAlign w:val="bottom"/>
          </w:tcPr>
          <w:p w14:paraId="4E5A0684" w14:textId="77777777" w:rsidR="005F400D" w:rsidRPr="00F63F5E" w:rsidRDefault="005F400D" w:rsidP="008C4FE7">
            <w:pPr>
              <w:spacing w:after="0" w:line="276" w:lineRule="auto"/>
              <w:jc w:val="right"/>
              <w:rPr>
                <w:rFonts w:ascii="Times Roman" w:hAnsi="Times Roman"/>
                <w:sz w:val="18"/>
                <w:szCs w:val="18"/>
              </w:rPr>
            </w:pPr>
          </w:p>
        </w:tc>
        <w:tc>
          <w:tcPr>
            <w:tcW w:w="270" w:type="pct"/>
            <w:vAlign w:val="bottom"/>
          </w:tcPr>
          <w:p w14:paraId="6EB8CBF8" w14:textId="77777777" w:rsidR="005F400D" w:rsidRPr="00F63F5E" w:rsidRDefault="005F400D" w:rsidP="008C4FE7">
            <w:pPr>
              <w:spacing w:after="0" w:line="276" w:lineRule="auto"/>
              <w:jc w:val="right"/>
              <w:rPr>
                <w:rFonts w:ascii="Times Roman" w:hAnsi="Times Roman"/>
                <w:sz w:val="18"/>
                <w:szCs w:val="18"/>
              </w:rPr>
            </w:pPr>
          </w:p>
        </w:tc>
        <w:tc>
          <w:tcPr>
            <w:tcW w:w="269" w:type="pct"/>
            <w:vAlign w:val="bottom"/>
          </w:tcPr>
          <w:p w14:paraId="4275D704" w14:textId="77777777" w:rsidR="005F400D" w:rsidRPr="00F63F5E" w:rsidRDefault="005F400D" w:rsidP="008C4FE7">
            <w:pPr>
              <w:spacing w:after="0" w:line="276" w:lineRule="auto"/>
              <w:jc w:val="right"/>
              <w:rPr>
                <w:rFonts w:ascii="Times Roman" w:hAnsi="Times Roman"/>
                <w:sz w:val="18"/>
                <w:szCs w:val="18"/>
              </w:rPr>
            </w:pPr>
          </w:p>
        </w:tc>
        <w:tc>
          <w:tcPr>
            <w:tcW w:w="269" w:type="pct"/>
            <w:vAlign w:val="bottom"/>
          </w:tcPr>
          <w:p w14:paraId="3DC679EA" w14:textId="77777777" w:rsidR="005F400D" w:rsidRPr="00F63F5E" w:rsidRDefault="005F400D" w:rsidP="008C4FE7">
            <w:pPr>
              <w:spacing w:after="0" w:line="276" w:lineRule="auto"/>
              <w:jc w:val="right"/>
              <w:rPr>
                <w:rFonts w:ascii="Times Roman" w:hAnsi="Times Roman"/>
                <w:sz w:val="18"/>
                <w:szCs w:val="18"/>
              </w:rPr>
            </w:pPr>
          </w:p>
        </w:tc>
        <w:tc>
          <w:tcPr>
            <w:tcW w:w="269" w:type="pct"/>
            <w:vAlign w:val="bottom"/>
          </w:tcPr>
          <w:p w14:paraId="023FC819" w14:textId="77777777" w:rsidR="005F400D" w:rsidRPr="00F63F5E" w:rsidRDefault="005F400D" w:rsidP="008C4FE7">
            <w:pPr>
              <w:spacing w:after="0" w:line="276" w:lineRule="auto"/>
              <w:jc w:val="right"/>
              <w:rPr>
                <w:rFonts w:ascii="Times Roman" w:hAnsi="Times Roman"/>
                <w:color w:val="000000"/>
                <w:sz w:val="18"/>
                <w:szCs w:val="18"/>
              </w:rPr>
            </w:pPr>
          </w:p>
        </w:tc>
        <w:tc>
          <w:tcPr>
            <w:tcW w:w="403" w:type="pct"/>
            <w:vAlign w:val="bottom"/>
          </w:tcPr>
          <w:p w14:paraId="63EC2280" w14:textId="77777777" w:rsidR="005F400D" w:rsidRPr="00F63F5E" w:rsidRDefault="005F400D" w:rsidP="008C4FE7">
            <w:pPr>
              <w:spacing w:after="0" w:line="276" w:lineRule="auto"/>
              <w:jc w:val="center"/>
              <w:rPr>
                <w:rFonts w:ascii="Times Roman" w:hAnsi="Times Roman"/>
                <w:color w:val="000000"/>
                <w:sz w:val="18"/>
                <w:szCs w:val="18"/>
              </w:rPr>
            </w:pPr>
          </w:p>
        </w:tc>
        <w:tc>
          <w:tcPr>
            <w:tcW w:w="379" w:type="pct"/>
            <w:vAlign w:val="bottom"/>
          </w:tcPr>
          <w:p w14:paraId="74F463E9" w14:textId="77777777" w:rsidR="005F400D" w:rsidRPr="00F63F5E" w:rsidRDefault="005F400D" w:rsidP="008C4FE7">
            <w:pPr>
              <w:spacing w:after="0" w:line="276" w:lineRule="auto"/>
              <w:jc w:val="center"/>
              <w:rPr>
                <w:rFonts w:ascii="Times Roman" w:hAnsi="Times Roman"/>
                <w:color w:val="000000"/>
                <w:sz w:val="18"/>
                <w:szCs w:val="18"/>
              </w:rPr>
            </w:pPr>
          </w:p>
        </w:tc>
        <w:tc>
          <w:tcPr>
            <w:tcW w:w="390" w:type="pct"/>
            <w:vAlign w:val="bottom"/>
          </w:tcPr>
          <w:p w14:paraId="5EA9E990" w14:textId="77777777" w:rsidR="005F400D" w:rsidRPr="00FE3E4A" w:rsidRDefault="005F400D" w:rsidP="008C4FE7">
            <w:pPr>
              <w:spacing w:after="0" w:line="276" w:lineRule="auto"/>
              <w:jc w:val="center"/>
              <w:rPr>
                <w:rFonts w:ascii="Times New Roman" w:hAnsi="Times New Roman"/>
                <w:color w:val="000000"/>
                <w:sz w:val="18"/>
                <w:szCs w:val="18"/>
              </w:rPr>
            </w:pPr>
          </w:p>
        </w:tc>
      </w:tr>
      <w:tr w:rsidR="005F400D" w:rsidRPr="00F63F5E" w14:paraId="33F5E69D" w14:textId="77777777" w:rsidTr="008C4FE7">
        <w:trPr>
          <w:trHeight w:val="255"/>
        </w:trPr>
        <w:tc>
          <w:tcPr>
            <w:tcW w:w="1132" w:type="pct"/>
            <w:tcMar>
              <w:left w:w="142" w:type="dxa"/>
              <w:right w:w="85" w:type="dxa"/>
            </w:tcMar>
            <w:vAlign w:val="bottom"/>
          </w:tcPr>
          <w:p w14:paraId="31356FBC"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 Skoleverket</w:t>
            </w:r>
          </w:p>
        </w:tc>
        <w:tc>
          <w:tcPr>
            <w:tcW w:w="270" w:type="pct"/>
            <w:vAlign w:val="bottom"/>
          </w:tcPr>
          <w:p w14:paraId="6A0C458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97,0</w:t>
            </w:r>
          </w:p>
        </w:tc>
        <w:tc>
          <w:tcPr>
            <w:tcW w:w="270" w:type="pct"/>
            <w:vAlign w:val="bottom"/>
          </w:tcPr>
          <w:p w14:paraId="73D34744"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96,9</w:t>
            </w:r>
          </w:p>
        </w:tc>
        <w:tc>
          <w:tcPr>
            <w:tcW w:w="269" w:type="pct"/>
            <w:tcMar>
              <w:left w:w="34" w:type="dxa"/>
            </w:tcMar>
            <w:vAlign w:val="bottom"/>
          </w:tcPr>
          <w:p w14:paraId="0B62010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97,2</w:t>
            </w:r>
          </w:p>
        </w:tc>
        <w:tc>
          <w:tcPr>
            <w:tcW w:w="269" w:type="pct"/>
            <w:vAlign w:val="bottom"/>
          </w:tcPr>
          <w:p w14:paraId="49CD3C3C"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97,2</w:t>
            </w:r>
          </w:p>
        </w:tc>
        <w:tc>
          <w:tcPr>
            <w:tcW w:w="270" w:type="pct"/>
            <w:vAlign w:val="bottom"/>
          </w:tcPr>
          <w:p w14:paraId="618C9E77"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97,3</w:t>
            </w:r>
          </w:p>
        </w:tc>
        <w:tc>
          <w:tcPr>
            <w:tcW w:w="270" w:type="pct"/>
            <w:vAlign w:val="bottom"/>
          </w:tcPr>
          <w:p w14:paraId="6AA81ECF" w14:textId="77777777" w:rsidR="005F400D" w:rsidRPr="00F63F5E" w:rsidRDefault="005F400D" w:rsidP="008C4FE7">
            <w:pPr>
              <w:spacing w:after="0" w:line="276" w:lineRule="auto"/>
              <w:ind w:left="-130"/>
              <w:jc w:val="right"/>
              <w:rPr>
                <w:rFonts w:ascii="Times Roman" w:hAnsi="Times Roman"/>
                <w:sz w:val="18"/>
                <w:szCs w:val="18"/>
              </w:rPr>
            </w:pPr>
            <w:r w:rsidRPr="00F63F5E">
              <w:rPr>
                <w:rFonts w:ascii="Times Roman" w:hAnsi="Times Roman"/>
                <w:sz w:val="18"/>
                <w:szCs w:val="18"/>
              </w:rPr>
              <w:t>97,7</w:t>
            </w:r>
          </w:p>
        </w:tc>
        <w:tc>
          <w:tcPr>
            <w:tcW w:w="270" w:type="pct"/>
            <w:vAlign w:val="bottom"/>
          </w:tcPr>
          <w:p w14:paraId="4EB2D466"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sz w:val="18"/>
                <w:szCs w:val="18"/>
              </w:rPr>
              <w:t xml:space="preserve">97,7 </w:t>
            </w:r>
          </w:p>
        </w:tc>
        <w:tc>
          <w:tcPr>
            <w:tcW w:w="269" w:type="pct"/>
            <w:vAlign w:val="bottom"/>
          </w:tcPr>
          <w:p w14:paraId="3D8B27CB"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97,6</w:t>
            </w:r>
          </w:p>
        </w:tc>
        <w:tc>
          <w:tcPr>
            <w:tcW w:w="269" w:type="pct"/>
            <w:vAlign w:val="bottom"/>
          </w:tcPr>
          <w:p w14:paraId="1E826F50"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sz w:val="18"/>
                <w:szCs w:val="18"/>
              </w:rPr>
              <w:t>98,1</w:t>
            </w:r>
          </w:p>
        </w:tc>
        <w:tc>
          <w:tcPr>
            <w:tcW w:w="269" w:type="pct"/>
            <w:vAlign w:val="bottom"/>
          </w:tcPr>
          <w:p w14:paraId="0CF51E5E"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98,0</w:t>
            </w:r>
          </w:p>
        </w:tc>
        <w:tc>
          <w:tcPr>
            <w:tcW w:w="403" w:type="pct"/>
            <w:vAlign w:val="bottom"/>
          </w:tcPr>
          <w:p w14:paraId="329AA882"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532 800</w:t>
            </w:r>
          </w:p>
        </w:tc>
        <w:tc>
          <w:tcPr>
            <w:tcW w:w="379" w:type="pct"/>
            <w:vAlign w:val="bottom"/>
          </w:tcPr>
          <w:p w14:paraId="723F4B14"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522 000</w:t>
            </w:r>
          </w:p>
        </w:tc>
        <w:tc>
          <w:tcPr>
            <w:tcW w:w="390" w:type="pct"/>
            <w:vAlign w:val="bottom"/>
          </w:tcPr>
          <w:p w14:paraId="013045E4" w14:textId="77777777" w:rsidR="005F400D" w:rsidRPr="00FE3E4A" w:rsidRDefault="005F400D" w:rsidP="008C4FE7">
            <w:pPr>
              <w:spacing w:after="0" w:line="276" w:lineRule="auto"/>
              <w:jc w:val="center"/>
              <w:rPr>
                <w:rFonts w:ascii="Times New Roman" w:hAnsi="Times New Roman"/>
                <w:color w:val="000000"/>
                <w:sz w:val="18"/>
                <w:szCs w:val="18"/>
              </w:rPr>
            </w:pPr>
          </w:p>
        </w:tc>
      </w:tr>
      <w:tr w:rsidR="005F400D" w:rsidRPr="00F63F5E" w14:paraId="66AA3F12" w14:textId="77777777" w:rsidTr="008C4FE7">
        <w:trPr>
          <w:trHeight w:val="191"/>
        </w:trPr>
        <w:tc>
          <w:tcPr>
            <w:tcW w:w="1132" w:type="pct"/>
            <w:tcMar>
              <w:left w:w="142" w:type="dxa"/>
              <w:right w:w="85" w:type="dxa"/>
            </w:tcMar>
            <w:vAlign w:val="bottom"/>
          </w:tcPr>
          <w:p w14:paraId="7B9CE402" w14:textId="77777777" w:rsidR="005F400D" w:rsidRPr="00F63F5E" w:rsidRDefault="005F400D" w:rsidP="008C4FE7">
            <w:pPr>
              <w:spacing w:after="0" w:line="276" w:lineRule="auto"/>
              <w:ind w:right="-89"/>
              <w:rPr>
                <w:rFonts w:ascii="Times Roman" w:hAnsi="Times Roman"/>
                <w:sz w:val="18"/>
                <w:szCs w:val="18"/>
              </w:rPr>
            </w:pPr>
            <w:r w:rsidRPr="00F63F5E">
              <w:rPr>
                <w:rFonts w:ascii="Times Roman" w:hAnsi="Times Roman"/>
                <w:sz w:val="18"/>
                <w:szCs w:val="18"/>
              </w:rPr>
              <w:t>- Øvrige ansatte</w:t>
            </w:r>
            <w:r w:rsidRPr="00F63F5E">
              <w:rPr>
                <w:rFonts w:ascii="Times Roman" w:hAnsi="Times Roman"/>
                <w:sz w:val="18"/>
                <w:szCs w:val="18"/>
                <w:vertAlign w:val="superscript"/>
              </w:rPr>
              <w:t>2</w:t>
            </w:r>
          </w:p>
        </w:tc>
        <w:tc>
          <w:tcPr>
            <w:tcW w:w="270" w:type="pct"/>
            <w:vAlign w:val="bottom"/>
          </w:tcPr>
          <w:p w14:paraId="4CE4174D"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91,9</w:t>
            </w:r>
          </w:p>
        </w:tc>
        <w:tc>
          <w:tcPr>
            <w:tcW w:w="270" w:type="pct"/>
            <w:vAlign w:val="bottom"/>
          </w:tcPr>
          <w:p w14:paraId="655EBCDD"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92,6</w:t>
            </w:r>
          </w:p>
        </w:tc>
        <w:tc>
          <w:tcPr>
            <w:tcW w:w="269" w:type="pct"/>
            <w:tcMar>
              <w:left w:w="34" w:type="dxa"/>
            </w:tcMar>
            <w:vAlign w:val="bottom"/>
          </w:tcPr>
          <w:p w14:paraId="7E804698"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92,2</w:t>
            </w:r>
          </w:p>
        </w:tc>
        <w:tc>
          <w:tcPr>
            <w:tcW w:w="269" w:type="pct"/>
            <w:vAlign w:val="bottom"/>
          </w:tcPr>
          <w:p w14:paraId="1A212D08"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92,0</w:t>
            </w:r>
          </w:p>
        </w:tc>
        <w:tc>
          <w:tcPr>
            <w:tcW w:w="270" w:type="pct"/>
            <w:vAlign w:val="bottom"/>
          </w:tcPr>
          <w:p w14:paraId="05C95078"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92,1</w:t>
            </w:r>
          </w:p>
        </w:tc>
        <w:tc>
          <w:tcPr>
            <w:tcW w:w="270" w:type="pct"/>
            <w:vAlign w:val="bottom"/>
          </w:tcPr>
          <w:p w14:paraId="1720C6CA"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 xml:space="preserve">92,7 </w:t>
            </w:r>
          </w:p>
        </w:tc>
        <w:tc>
          <w:tcPr>
            <w:tcW w:w="270" w:type="pct"/>
            <w:vAlign w:val="bottom"/>
          </w:tcPr>
          <w:p w14:paraId="5F76F9E4"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92,2</w:t>
            </w:r>
          </w:p>
        </w:tc>
        <w:tc>
          <w:tcPr>
            <w:tcW w:w="269" w:type="pct"/>
            <w:vAlign w:val="bottom"/>
          </w:tcPr>
          <w:p w14:paraId="725D76BE"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92,8</w:t>
            </w:r>
          </w:p>
        </w:tc>
        <w:tc>
          <w:tcPr>
            <w:tcW w:w="269" w:type="pct"/>
            <w:vAlign w:val="bottom"/>
          </w:tcPr>
          <w:p w14:paraId="06A14BD7"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sz w:val="18"/>
                <w:szCs w:val="18"/>
              </w:rPr>
              <w:t>92,5</w:t>
            </w:r>
          </w:p>
        </w:tc>
        <w:tc>
          <w:tcPr>
            <w:tcW w:w="269" w:type="pct"/>
            <w:vAlign w:val="bottom"/>
          </w:tcPr>
          <w:p w14:paraId="74E73179"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92,6</w:t>
            </w:r>
          </w:p>
        </w:tc>
        <w:tc>
          <w:tcPr>
            <w:tcW w:w="403" w:type="pct"/>
            <w:vAlign w:val="bottom"/>
          </w:tcPr>
          <w:p w14:paraId="6461DBE7"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501 600</w:t>
            </w:r>
          </w:p>
        </w:tc>
        <w:tc>
          <w:tcPr>
            <w:tcW w:w="379" w:type="pct"/>
            <w:vAlign w:val="bottom"/>
          </w:tcPr>
          <w:p w14:paraId="193E0AF5"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464 400</w:t>
            </w:r>
          </w:p>
        </w:tc>
        <w:tc>
          <w:tcPr>
            <w:tcW w:w="390" w:type="pct"/>
            <w:vAlign w:val="bottom"/>
          </w:tcPr>
          <w:p w14:paraId="7C370AE7" w14:textId="77777777" w:rsidR="005F400D" w:rsidRPr="00FE3E4A" w:rsidRDefault="005F400D" w:rsidP="008C4FE7">
            <w:pPr>
              <w:spacing w:after="0" w:line="276" w:lineRule="auto"/>
              <w:jc w:val="center"/>
              <w:rPr>
                <w:rFonts w:ascii="Times New Roman" w:hAnsi="Times New Roman"/>
                <w:color w:val="000000"/>
                <w:sz w:val="18"/>
                <w:szCs w:val="18"/>
              </w:rPr>
            </w:pPr>
          </w:p>
        </w:tc>
      </w:tr>
      <w:tr w:rsidR="005F400D" w:rsidRPr="00F63F5E" w14:paraId="40C41FB1" w14:textId="77777777" w:rsidTr="008C4FE7">
        <w:trPr>
          <w:trHeight w:val="151"/>
        </w:trPr>
        <w:tc>
          <w:tcPr>
            <w:tcW w:w="1132" w:type="pct"/>
            <w:tcBorders>
              <w:bottom w:val="single" w:sz="4" w:space="0" w:color="auto"/>
            </w:tcBorders>
            <w:vAlign w:val="bottom"/>
          </w:tcPr>
          <w:p w14:paraId="2C4278D2"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Helseforetak</w:t>
            </w:r>
          </w:p>
        </w:tc>
        <w:tc>
          <w:tcPr>
            <w:tcW w:w="270" w:type="pct"/>
            <w:tcBorders>
              <w:bottom w:val="single" w:sz="4" w:space="0" w:color="auto"/>
            </w:tcBorders>
            <w:vAlign w:val="bottom"/>
          </w:tcPr>
          <w:p w14:paraId="0D21DD9E"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76,3</w:t>
            </w:r>
          </w:p>
        </w:tc>
        <w:tc>
          <w:tcPr>
            <w:tcW w:w="270" w:type="pct"/>
            <w:tcBorders>
              <w:bottom w:val="single" w:sz="4" w:space="0" w:color="auto"/>
            </w:tcBorders>
            <w:vAlign w:val="bottom"/>
          </w:tcPr>
          <w:p w14:paraId="673FBB4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76,3</w:t>
            </w:r>
          </w:p>
        </w:tc>
        <w:tc>
          <w:tcPr>
            <w:tcW w:w="269" w:type="pct"/>
            <w:tcBorders>
              <w:bottom w:val="single" w:sz="4" w:space="0" w:color="auto"/>
            </w:tcBorders>
            <w:tcMar>
              <w:left w:w="34" w:type="dxa"/>
            </w:tcMar>
            <w:vAlign w:val="bottom"/>
          </w:tcPr>
          <w:p w14:paraId="12FFAA0C"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77,8</w:t>
            </w:r>
          </w:p>
        </w:tc>
        <w:tc>
          <w:tcPr>
            <w:tcW w:w="269" w:type="pct"/>
            <w:tcBorders>
              <w:bottom w:val="single" w:sz="4" w:space="0" w:color="auto"/>
            </w:tcBorders>
            <w:vAlign w:val="bottom"/>
          </w:tcPr>
          <w:p w14:paraId="752B446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79,4</w:t>
            </w:r>
          </w:p>
        </w:tc>
        <w:tc>
          <w:tcPr>
            <w:tcW w:w="270" w:type="pct"/>
            <w:tcBorders>
              <w:bottom w:val="single" w:sz="4" w:space="0" w:color="auto"/>
            </w:tcBorders>
            <w:vAlign w:val="bottom"/>
          </w:tcPr>
          <w:p w14:paraId="17EB3C05"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80,3</w:t>
            </w:r>
          </w:p>
        </w:tc>
        <w:tc>
          <w:tcPr>
            <w:tcW w:w="270" w:type="pct"/>
            <w:tcBorders>
              <w:bottom w:val="single" w:sz="4" w:space="0" w:color="auto"/>
            </w:tcBorders>
            <w:vAlign w:val="bottom"/>
          </w:tcPr>
          <w:p w14:paraId="366A4C2E" w14:textId="77777777" w:rsidR="005F400D" w:rsidRPr="00F63F5E" w:rsidRDefault="005F400D" w:rsidP="008C4FE7">
            <w:pPr>
              <w:spacing w:after="0" w:line="276" w:lineRule="auto"/>
              <w:ind w:left="-130"/>
              <w:jc w:val="right"/>
              <w:rPr>
                <w:rFonts w:ascii="Times Roman" w:hAnsi="Times Roman"/>
                <w:sz w:val="18"/>
                <w:szCs w:val="18"/>
              </w:rPr>
            </w:pPr>
            <w:r w:rsidRPr="00F63F5E">
              <w:rPr>
                <w:rFonts w:ascii="Times Roman" w:hAnsi="Times Roman"/>
                <w:sz w:val="18"/>
                <w:szCs w:val="18"/>
              </w:rPr>
              <w:t>80,1</w:t>
            </w:r>
          </w:p>
        </w:tc>
        <w:tc>
          <w:tcPr>
            <w:tcW w:w="270" w:type="pct"/>
            <w:tcBorders>
              <w:bottom w:val="single" w:sz="4" w:space="0" w:color="auto"/>
            </w:tcBorders>
            <w:vAlign w:val="bottom"/>
          </w:tcPr>
          <w:p w14:paraId="26F95BAD"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80,8</w:t>
            </w:r>
          </w:p>
        </w:tc>
        <w:tc>
          <w:tcPr>
            <w:tcW w:w="269" w:type="pct"/>
            <w:tcBorders>
              <w:bottom w:val="single" w:sz="4" w:space="0" w:color="auto"/>
            </w:tcBorders>
            <w:vAlign w:val="bottom"/>
          </w:tcPr>
          <w:p w14:paraId="473EC2F4"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81,4</w:t>
            </w:r>
          </w:p>
        </w:tc>
        <w:tc>
          <w:tcPr>
            <w:tcW w:w="269" w:type="pct"/>
            <w:tcBorders>
              <w:bottom w:val="single" w:sz="4" w:space="0" w:color="auto"/>
            </w:tcBorders>
            <w:vAlign w:val="bottom"/>
          </w:tcPr>
          <w:p w14:paraId="4DC9F2F1"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82,2</w:t>
            </w:r>
          </w:p>
        </w:tc>
        <w:tc>
          <w:tcPr>
            <w:tcW w:w="269" w:type="pct"/>
            <w:tcBorders>
              <w:bottom w:val="single" w:sz="4" w:space="0" w:color="auto"/>
            </w:tcBorders>
            <w:vAlign w:val="bottom"/>
          </w:tcPr>
          <w:p w14:paraId="5779DB65"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82,3</w:t>
            </w:r>
          </w:p>
        </w:tc>
        <w:tc>
          <w:tcPr>
            <w:tcW w:w="403" w:type="pct"/>
            <w:tcBorders>
              <w:bottom w:val="single" w:sz="4" w:space="0" w:color="auto"/>
            </w:tcBorders>
            <w:vAlign w:val="bottom"/>
          </w:tcPr>
          <w:p w14:paraId="78E29558"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615 600</w:t>
            </w:r>
          </w:p>
        </w:tc>
        <w:tc>
          <w:tcPr>
            <w:tcW w:w="379" w:type="pct"/>
            <w:tcBorders>
              <w:bottom w:val="single" w:sz="4" w:space="0" w:color="auto"/>
            </w:tcBorders>
            <w:vAlign w:val="bottom"/>
          </w:tcPr>
          <w:p w14:paraId="27884123"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506 400</w:t>
            </w:r>
          </w:p>
        </w:tc>
        <w:tc>
          <w:tcPr>
            <w:tcW w:w="390" w:type="pct"/>
            <w:tcBorders>
              <w:bottom w:val="single" w:sz="4" w:space="0" w:color="auto"/>
            </w:tcBorders>
            <w:vAlign w:val="bottom"/>
          </w:tcPr>
          <w:p w14:paraId="3137B268" w14:textId="77777777" w:rsidR="005F400D" w:rsidRPr="00FE3E4A" w:rsidRDefault="005F400D" w:rsidP="008C4FE7">
            <w:pPr>
              <w:spacing w:after="0" w:line="276" w:lineRule="auto"/>
              <w:jc w:val="center"/>
              <w:rPr>
                <w:rFonts w:ascii="Times New Roman" w:hAnsi="Times New Roman"/>
                <w:sz w:val="18"/>
                <w:szCs w:val="18"/>
              </w:rPr>
            </w:pPr>
            <w:r w:rsidRPr="00FE3E4A">
              <w:rPr>
                <w:rFonts w:ascii="Times New Roman" w:hAnsi="Times New Roman"/>
                <w:sz w:val="18"/>
                <w:szCs w:val="18"/>
              </w:rPr>
              <w:t>69</w:t>
            </w:r>
          </w:p>
        </w:tc>
      </w:tr>
      <w:tr w:rsidR="005F400D" w:rsidRPr="00F63F5E" w14:paraId="266A6FE8" w14:textId="77777777" w:rsidTr="008C4FE7">
        <w:tc>
          <w:tcPr>
            <w:tcW w:w="1132" w:type="pct"/>
            <w:tcBorders>
              <w:top w:val="single" w:sz="4" w:space="0" w:color="auto"/>
              <w:bottom w:val="single" w:sz="4" w:space="0" w:color="auto"/>
            </w:tcBorders>
            <w:vAlign w:val="bottom"/>
          </w:tcPr>
          <w:p w14:paraId="3F008FF5" w14:textId="77777777" w:rsidR="005F400D" w:rsidRPr="00F63F5E" w:rsidRDefault="005F400D" w:rsidP="008C4FE7">
            <w:pPr>
              <w:spacing w:after="0" w:line="276" w:lineRule="auto"/>
              <w:rPr>
                <w:rFonts w:ascii="Times Roman" w:hAnsi="Times Roman"/>
                <w:sz w:val="18"/>
                <w:szCs w:val="18"/>
              </w:rPr>
            </w:pPr>
            <w:r w:rsidRPr="00F63F5E">
              <w:rPr>
                <w:rFonts w:ascii="Times Roman" w:hAnsi="Times Roman"/>
                <w:sz w:val="18"/>
                <w:szCs w:val="18"/>
              </w:rPr>
              <w:t xml:space="preserve">Gjennomsnitt heltidsansatte </w:t>
            </w:r>
          </w:p>
        </w:tc>
        <w:tc>
          <w:tcPr>
            <w:tcW w:w="270" w:type="pct"/>
            <w:tcBorders>
              <w:top w:val="single" w:sz="4" w:space="0" w:color="auto"/>
              <w:bottom w:val="single" w:sz="4" w:space="0" w:color="auto"/>
            </w:tcBorders>
            <w:vAlign w:val="bottom"/>
          </w:tcPr>
          <w:p w14:paraId="139F8EDC"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86,8</w:t>
            </w:r>
          </w:p>
        </w:tc>
        <w:tc>
          <w:tcPr>
            <w:tcW w:w="270" w:type="pct"/>
            <w:tcBorders>
              <w:top w:val="single" w:sz="4" w:space="0" w:color="auto"/>
              <w:bottom w:val="single" w:sz="4" w:space="0" w:color="auto"/>
            </w:tcBorders>
            <w:vAlign w:val="bottom"/>
          </w:tcPr>
          <w:p w14:paraId="6B38542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86,8</w:t>
            </w:r>
          </w:p>
        </w:tc>
        <w:tc>
          <w:tcPr>
            <w:tcW w:w="269" w:type="pct"/>
            <w:tcBorders>
              <w:top w:val="single" w:sz="4" w:space="0" w:color="auto"/>
              <w:bottom w:val="single" w:sz="4" w:space="0" w:color="auto"/>
            </w:tcBorders>
            <w:tcMar>
              <w:left w:w="34" w:type="dxa"/>
            </w:tcMar>
            <w:vAlign w:val="bottom"/>
          </w:tcPr>
          <w:p w14:paraId="6B005765"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86,5</w:t>
            </w:r>
          </w:p>
        </w:tc>
        <w:tc>
          <w:tcPr>
            <w:tcW w:w="269" w:type="pct"/>
            <w:tcBorders>
              <w:top w:val="single" w:sz="4" w:space="0" w:color="auto"/>
              <w:bottom w:val="single" w:sz="4" w:space="0" w:color="auto"/>
            </w:tcBorders>
            <w:vAlign w:val="bottom"/>
          </w:tcPr>
          <w:p w14:paraId="07259CA1"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color w:val="000000"/>
                <w:sz w:val="18"/>
                <w:szCs w:val="18"/>
              </w:rPr>
              <w:t>86,3</w:t>
            </w:r>
          </w:p>
        </w:tc>
        <w:tc>
          <w:tcPr>
            <w:tcW w:w="270" w:type="pct"/>
            <w:tcBorders>
              <w:top w:val="single" w:sz="4" w:space="0" w:color="auto"/>
              <w:bottom w:val="single" w:sz="4" w:space="0" w:color="auto"/>
            </w:tcBorders>
            <w:vAlign w:val="bottom"/>
          </w:tcPr>
          <w:p w14:paraId="48F6855C"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color w:val="000000"/>
                <w:sz w:val="18"/>
                <w:szCs w:val="18"/>
              </w:rPr>
              <w:t>86,7</w:t>
            </w:r>
          </w:p>
        </w:tc>
        <w:tc>
          <w:tcPr>
            <w:tcW w:w="270" w:type="pct"/>
            <w:tcBorders>
              <w:top w:val="single" w:sz="4" w:space="0" w:color="auto"/>
              <w:bottom w:val="single" w:sz="4" w:space="0" w:color="auto"/>
            </w:tcBorders>
            <w:vAlign w:val="bottom"/>
          </w:tcPr>
          <w:p w14:paraId="3466EF18" w14:textId="77777777" w:rsidR="005F400D" w:rsidRPr="00F63F5E" w:rsidRDefault="005F400D" w:rsidP="008C4FE7">
            <w:pPr>
              <w:spacing w:after="0" w:line="276" w:lineRule="auto"/>
              <w:ind w:left="-130"/>
              <w:jc w:val="right"/>
              <w:rPr>
                <w:rFonts w:ascii="Times Roman" w:hAnsi="Times Roman"/>
                <w:color w:val="000000"/>
                <w:sz w:val="18"/>
                <w:szCs w:val="18"/>
              </w:rPr>
            </w:pPr>
            <w:r w:rsidRPr="00F63F5E">
              <w:rPr>
                <w:rFonts w:ascii="Times Roman" w:hAnsi="Times Roman"/>
                <w:color w:val="000000"/>
                <w:sz w:val="18"/>
                <w:szCs w:val="18"/>
              </w:rPr>
              <w:t>87,2</w:t>
            </w:r>
          </w:p>
        </w:tc>
        <w:tc>
          <w:tcPr>
            <w:tcW w:w="270" w:type="pct"/>
            <w:tcBorders>
              <w:top w:val="single" w:sz="4" w:space="0" w:color="auto"/>
              <w:bottom w:val="single" w:sz="4" w:space="0" w:color="auto"/>
            </w:tcBorders>
            <w:vAlign w:val="bottom"/>
          </w:tcPr>
          <w:p w14:paraId="6BEF28EF"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87,2</w:t>
            </w:r>
          </w:p>
        </w:tc>
        <w:tc>
          <w:tcPr>
            <w:tcW w:w="269" w:type="pct"/>
            <w:tcBorders>
              <w:top w:val="single" w:sz="4" w:space="0" w:color="auto"/>
              <w:bottom w:val="single" w:sz="4" w:space="0" w:color="auto"/>
            </w:tcBorders>
            <w:vAlign w:val="bottom"/>
          </w:tcPr>
          <w:p w14:paraId="51024206" w14:textId="77777777" w:rsidR="005F400D" w:rsidRPr="00F63F5E" w:rsidRDefault="005F400D" w:rsidP="008C4FE7">
            <w:pPr>
              <w:spacing w:after="0" w:line="276" w:lineRule="auto"/>
              <w:jc w:val="right"/>
              <w:rPr>
                <w:rFonts w:ascii="Times Roman" w:hAnsi="Times Roman"/>
                <w:sz w:val="18"/>
                <w:szCs w:val="18"/>
              </w:rPr>
            </w:pPr>
            <w:r w:rsidRPr="00F63F5E">
              <w:rPr>
                <w:rFonts w:ascii="Times Roman" w:hAnsi="Times Roman"/>
                <w:sz w:val="18"/>
                <w:szCs w:val="18"/>
              </w:rPr>
              <w:t>88,3</w:t>
            </w:r>
          </w:p>
        </w:tc>
        <w:tc>
          <w:tcPr>
            <w:tcW w:w="269" w:type="pct"/>
            <w:tcBorders>
              <w:top w:val="single" w:sz="4" w:space="0" w:color="auto"/>
              <w:bottom w:val="single" w:sz="4" w:space="0" w:color="auto"/>
            </w:tcBorders>
            <w:vAlign w:val="bottom"/>
          </w:tcPr>
          <w:p w14:paraId="5EABBAEB"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87,9</w:t>
            </w:r>
          </w:p>
        </w:tc>
        <w:tc>
          <w:tcPr>
            <w:tcW w:w="269" w:type="pct"/>
            <w:tcBorders>
              <w:top w:val="single" w:sz="4" w:space="0" w:color="auto"/>
              <w:bottom w:val="single" w:sz="4" w:space="0" w:color="auto"/>
            </w:tcBorders>
            <w:vAlign w:val="bottom"/>
          </w:tcPr>
          <w:p w14:paraId="7D2EA1EF" w14:textId="77777777" w:rsidR="005F400D" w:rsidRPr="00F63F5E" w:rsidRDefault="005F400D" w:rsidP="008C4FE7">
            <w:pPr>
              <w:spacing w:after="0" w:line="276" w:lineRule="auto"/>
              <w:jc w:val="right"/>
              <w:rPr>
                <w:rFonts w:ascii="Times Roman" w:hAnsi="Times Roman"/>
                <w:color w:val="000000"/>
                <w:sz w:val="18"/>
                <w:szCs w:val="18"/>
              </w:rPr>
            </w:pPr>
            <w:r w:rsidRPr="00F63F5E">
              <w:rPr>
                <w:rFonts w:ascii="Times Roman" w:hAnsi="Times Roman"/>
                <w:color w:val="000000"/>
                <w:sz w:val="18"/>
                <w:szCs w:val="18"/>
              </w:rPr>
              <w:t>88,4</w:t>
            </w:r>
          </w:p>
        </w:tc>
        <w:tc>
          <w:tcPr>
            <w:tcW w:w="403" w:type="pct"/>
            <w:tcBorders>
              <w:top w:val="single" w:sz="4" w:space="0" w:color="auto"/>
              <w:bottom w:val="single" w:sz="4" w:space="0" w:color="auto"/>
            </w:tcBorders>
            <w:vAlign w:val="bottom"/>
          </w:tcPr>
          <w:p w14:paraId="0107427E"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548 400</w:t>
            </w:r>
          </w:p>
        </w:tc>
        <w:tc>
          <w:tcPr>
            <w:tcW w:w="379" w:type="pct"/>
            <w:tcBorders>
              <w:top w:val="single" w:sz="4" w:space="0" w:color="auto"/>
              <w:bottom w:val="single" w:sz="4" w:space="0" w:color="auto"/>
            </w:tcBorders>
            <w:vAlign w:val="bottom"/>
          </w:tcPr>
          <w:p w14:paraId="0E8E8836" w14:textId="77777777" w:rsidR="005F400D" w:rsidRPr="00F63F5E" w:rsidRDefault="005F400D" w:rsidP="008C4FE7">
            <w:pPr>
              <w:spacing w:after="0" w:line="276" w:lineRule="auto"/>
              <w:jc w:val="center"/>
              <w:rPr>
                <w:rFonts w:ascii="Times Roman" w:hAnsi="Times Roman"/>
                <w:color w:val="000000"/>
                <w:sz w:val="18"/>
                <w:szCs w:val="18"/>
              </w:rPr>
            </w:pPr>
            <w:r w:rsidRPr="00F63F5E">
              <w:rPr>
                <w:rFonts w:ascii="Times Roman" w:hAnsi="Times Roman"/>
                <w:color w:val="000000"/>
                <w:sz w:val="18"/>
                <w:szCs w:val="18"/>
              </w:rPr>
              <w:t>484 800</w:t>
            </w:r>
          </w:p>
        </w:tc>
        <w:tc>
          <w:tcPr>
            <w:tcW w:w="390" w:type="pct"/>
            <w:tcBorders>
              <w:top w:val="single" w:sz="4" w:space="0" w:color="auto"/>
              <w:bottom w:val="single" w:sz="4" w:space="0" w:color="auto"/>
            </w:tcBorders>
            <w:vAlign w:val="bottom"/>
          </w:tcPr>
          <w:p w14:paraId="0D0C2815" w14:textId="77777777" w:rsidR="005F400D" w:rsidRPr="00332C82" w:rsidRDefault="005F400D" w:rsidP="008C4FE7">
            <w:pPr>
              <w:spacing w:after="0" w:line="276" w:lineRule="auto"/>
              <w:jc w:val="center"/>
              <w:rPr>
                <w:rFonts w:ascii="Times New Roman" w:hAnsi="Times New Roman"/>
                <w:bCs/>
                <w:sz w:val="18"/>
                <w:szCs w:val="18"/>
              </w:rPr>
            </w:pPr>
            <w:r w:rsidRPr="00332C82">
              <w:rPr>
                <w:rFonts w:ascii="Times New Roman" w:hAnsi="Times New Roman"/>
                <w:bCs/>
                <w:sz w:val="18"/>
                <w:szCs w:val="18"/>
              </w:rPr>
              <w:t>37</w:t>
            </w:r>
          </w:p>
        </w:tc>
      </w:tr>
    </w:tbl>
    <w:p w14:paraId="5C53D0F0" w14:textId="77777777" w:rsidR="005F400D" w:rsidRDefault="005F400D" w:rsidP="006E305B">
      <w:pPr>
        <w:pStyle w:val="tabell-noter"/>
        <w:numPr>
          <w:ilvl w:val="0"/>
          <w:numId w:val="53"/>
        </w:numPr>
        <w:spacing w:before="0" w:after="0"/>
        <w:ind w:left="360" w:right="-144"/>
      </w:pPr>
      <w:r>
        <w:t>Per september/oktober/desember.</w:t>
      </w:r>
    </w:p>
    <w:p w14:paraId="16836B7B" w14:textId="77777777" w:rsidR="005F400D" w:rsidRDefault="005F400D" w:rsidP="006E305B">
      <w:pPr>
        <w:pStyle w:val="tabell-noter"/>
        <w:numPr>
          <w:ilvl w:val="0"/>
          <w:numId w:val="53"/>
        </w:numPr>
        <w:spacing w:before="0" w:after="0"/>
        <w:ind w:left="360"/>
      </w:pPr>
      <w:r w:rsidRPr="00125F77">
        <w:t>Ansatte i kraftforsyning</w:t>
      </w:r>
      <w:r>
        <w:t xml:space="preserve"> og vann og avløp er ikke inkludert.</w:t>
      </w:r>
    </w:p>
    <w:p w14:paraId="4ABF1936" w14:textId="77777777" w:rsidR="005F400D" w:rsidRDefault="005F400D" w:rsidP="006E305B">
      <w:pPr>
        <w:pStyle w:val="tabell-noter"/>
        <w:numPr>
          <w:ilvl w:val="0"/>
          <w:numId w:val="53"/>
        </w:numPr>
        <w:spacing w:after="0"/>
        <w:ind w:left="360"/>
      </w:pPr>
      <w:r w:rsidRPr="00F42C3B">
        <w:t xml:space="preserve">Tallene </w:t>
      </w:r>
      <w:r>
        <w:t xml:space="preserve">fra og med 2008 er </w:t>
      </w:r>
      <w:r w:rsidRPr="00F42C3B">
        <w:t xml:space="preserve">beregnet etter ny næringsstandard. </w:t>
      </w:r>
    </w:p>
    <w:p w14:paraId="20370A0E" w14:textId="77777777" w:rsidR="005F400D" w:rsidRDefault="005F400D" w:rsidP="006E305B">
      <w:pPr>
        <w:pStyle w:val="tabell-noter"/>
        <w:numPr>
          <w:ilvl w:val="0"/>
          <w:numId w:val="53"/>
        </w:numPr>
        <w:spacing w:after="0"/>
        <w:ind w:left="360"/>
      </w:pPr>
      <w:r>
        <w:t>I prosent av alle heltidsansatte i næringen.</w:t>
      </w:r>
    </w:p>
    <w:p w14:paraId="7A8981F7" w14:textId="77777777" w:rsidR="005F400D" w:rsidRDefault="005F400D" w:rsidP="006E305B">
      <w:pPr>
        <w:pStyle w:val="tabell-noter"/>
        <w:numPr>
          <w:ilvl w:val="0"/>
          <w:numId w:val="53"/>
        </w:numPr>
        <w:spacing w:after="0"/>
        <w:ind w:left="360"/>
      </w:pPr>
      <w:r w:rsidRPr="00B41E93">
        <w:t>For 2013</w:t>
      </w:r>
      <w:r>
        <w:t xml:space="preserve"> og 2014</w:t>
      </w:r>
      <w:r w:rsidRPr="00B41E93">
        <w:t xml:space="preserve"> er det for staten ikke foretatt korrigeringer i lønnsdataene for forsvaret i forhold t</w:t>
      </w:r>
      <w:r>
        <w:t xml:space="preserve">il publiserte lønnsdata fra </w:t>
      </w:r>
      <w:r w:rsidR="00573205">
        <w:t>Statistisk sentralbyrå</w:t>
      </w:r>
      <w:r>
        <w:t>.</w:t>
      </w:r>
    </w:p>
    <w:p w14:paraId="084BDA7E" w14:textId="5603FB96" w:rsidR="005F400D" w:rsidRDefault="005F400D" w:rsidP="005F400D">
      <w:pPr>
        <w:pStyle w:val="Kilde"/>
      </w:pPr>
      <w:r>
        <w:t>Kilder: Statistisk sentralbyrå og Beregningsutvalget</w:t>
      </w:r>
      <w:r w:rsidR="00B94FB0">
        <w:t>.</w:t>
      </w:r>
    </w:p>
    <w:p w14:paraId="6109CDB1" w14:textId="77777777" w:rsidR="005F400D" w:rsidRDefault="005F400D" w:rsidP="005F400D">
      <w:pPr>
        <w:rPr>
          <w:sz w:val="20"/>
        </w:rPr>
      </w:pPr>
      <w:r>
        <w:br w:type="page"/>
      </w:r>
    </w:p>
    <w:p w14:paraId="3303D0B9" w14:textId="77777777" w:rsidR="005F400D" w:rsidRDefault="005F400D" w:rsidP="005F400D">
      <w:pPr>
        <w:pStyle w:val="tittel-ramme"/>
        <w:numPr>
          <w:ilvl w:val="0"/>
          <w:numId w:val="0"/>
        </w:numPr>
        <w:pBdr>
          <w:top w:val="single" w:sz="4" w:space="1" w:color="auto"/>
          <w:left w:val="single" w:sz="4" w:space="4" w:color="auto"/>
          <w:bottom w:val="single" w:sz="4" w:space="11" w:color="auto"/>
          <w:right w:val="single" w:sz="4" w:space="4" w:color="auto"/>
        </w:pBdr>
        <w:rPr>
          <w:snapToGrid w:val="0"/>
        </w:rPr>
      </w:pPr>
      <w:r>
        <w:rPr>
          <w:snapToGrid w:val="0"/>
        </w:rPr>
        <w:t>Boks 1.3 Forskjeller i statistikkgrunnlag i tabell 1.13 og 1.15</w:t>
      </w:r>
    </w:p>
    <w:p w14:paraId="346B114A" w14:textId="77777777" w:rsidR="005F400D" w:rsidRDefault="005F400D" w:rsidP="005F400D">
      <w:pPr>
        <w:pBdr>
          <w:top w:val="single" w:sz="4" w:space="1" w:color="auto"/>
          <w:left w:val="single" w:sz="4" w:space="4" w:color="auto"/>
          <w:bottom w:val="single" w:sz="4" w:space="11" w:color="auto"/>
          <w:right w:val="single" w:sz="4" w:space="4" w:color="auto"/>
        </w:pBdr>
      </w:pPr>
      <w:r>
        <w:t>Tabell 1.13 viser lønnsutviklingen for kvinner og menn etter forhandlingsområder. Tabell 1.15 tar utgangspunkt i næringer etter Statistisk sentralbyrås standard for næringsgruppering. Når vi sammenligner disse tabellene, kan utviklingen bli noe forskjellig innenfor den enkelte gruppe siden grupperingen ikke er helt den samme. Bl.a. er også uorganiserte virksomheter med i tabell 1.15 og det skilles her heller ikke mellom arbeidere og funksjonærer. I tabell 1.15 er også toppledere inkludert i statistikkgrunnlaget. Disse er i stor grad ikke med i tabell 1.13 siden topplederne for de fleste områdene ikke er en del av forhandlingsområdet. Endelig beregnes årslønnsnivået på forskjellig måte da tabell 1.13</w:t>
      </w:r>
      <w:r w:rsidR="001E3B69">
        <w:t xml:space="preserve"> </w:t>
      </w:r>
      <w:r>
        <w:t xml:space="preserve">for de fleste områdene tar utgangspunkt i en gjennomsnittlig årslønn for hele året, mens tabell 1.15 tar utgangspunkt i registrert månedslønn *12 per september/oktober/desember. </w:t>
      </w:r>
    </w:p>
    <w:p w14:paraId="0A8313AF" w14:textId="77777777" w:rsidR="005F400D" w:rsidRDefault="005F400D" w:rsidP="005F400D">
      <w:pPr>
        <w:pStyle w:val="avsnitt-under-undertittel"/>
        <w:spacing w:before="240"/>
      </w:pPr>
      <w:r w:rsidRPr="00525717">
        <w:t>Lønnsforskjellen mellom kvinner og menn etter utdanning</w:t>
      </w:r>
      <w:r w:rsidRPr="00E93A85">
        <w:t xml:space="preserve"> </w:t>
      </w:r>
    </w:p>
    <w:p w14:paraId="6196E535" w14:textId="77777777" w:rsidR="005F400D" w:rsidRPr="005C1B98" w:rsidRDefault="005F400D" w:rsidP="005F400D">
      <w:pPr>
        <w:rPr>
          <w:snapToGrid w:val="0"/>
          <w:color w:val="000000"/>
        </w:rPr>
      </w:pPr>
      <w:r>
        <w:t xml:space="preserve">Tabell 1.16 viser kvinners lønn som andel av menns etter utdanningslengde for </w:t>
      </w:r>
      <w:r w:rsidRPr="00FE36BC">
        <w:rPr>
          <w:i/>
        </w:rPr>
        <w:t>heltidsansatte</w:t>
      </w:r>
      <w:r>
        <w:t xml:space="preserve">. Fra 2013 til 2014 har lønnsforskjellene mellom kvinner og menn målt etter utdanningslengde økt for de med videregående skoleutdanning og de med universitet og høyskoleutdanning utover 4 år. For personer med høyskole eller universitetsutdanning inntil 4 år har lønnsforskjellene blitt redusert. </w:t>
      </w:r>
      <w:r>
        <w:rPr>
          <w:snapToGrid w:val="0"/>
          <w:color w:val="000000"/>
        </w:rPr>
        <w:t>Ser vi på de to siste årene samlet</w:t>
      </w:r>
      <w:r w:rsidR="00C63676">
        <w:rPr>
          <w:snapToGrid w:val="0"/>
          <w:color w:val="000000"/>
        </w:rPr>
        <w:t>,</w:t>
      </w:r>
      <w:r>
        <w:rPr>
          <w:snapToGrid w:val="0"/>
          <w:color w:val="000000"/>
        </w:rPr>
        <w:t xml:space="preserve"> har det med unntak av grunnskoleutdanning vært en økning i lønnsforskjellene for alle utdanningslengder. </w:t>
      </w:r>
    </w:p>
    <w:p w14:paraId="74E40AC7" w14:textId="02051ABA" w:rsidR="005F400D" w:rsidRDefault="005F400D" w:rsidP="005F400D">
      <w:r>
        <w:t xml:space="preserve">Det er minst lønnsforskjeller for de som har kortest utdanning, dvs. de som har grunnskoleutdanning eller videregående skoleutdanning. Størst lønnsforskjeller er det for ansatte med universitets- eller høgskoleutdanning til og med 4 år. For utviklingen av lønnsforskjeller mellom kvinner og menn fordelt etter utdanningslengde (2005-2014) og hvor deltid er inkludert, vises det til tabell </w:t>
      </w:r>
      <w:r w:rsidR="00B714AA">
        <w:t xml:space="preserve">2.4 </w:t>
      </w:r>
      <w:r>
        <w:t xml:space="preserve">i vedlegg </w:t>
      </w:r>
      <w:r w:rsidR="00B714AA">
        <w:t>2</w:t>
      </w:r>
      <w:r>
        <w:t>. Generelt er lønnsforskjellene større når deltid inkluderes. Dette har sammenheng med at mange deltidsansatte er å finne på lavere stillingsnivåer.</w:t>
      </w:r>
    </w:p>
    <w:p w14:paraId="6B7E5D0A" w14:textId="3FF3CD78" w:rsidR="005F400D" w:rsidRDefault="005F400D" w:rsidP="005F400D">
      <w:r>
        <w:t xml:space="preserve">For utviklingen av lønnsforskjeller mellom heltidsansatte kvinner og menn fordelt etter utdanningsnivå og </w:t>
      </w:r>
      <w:r w:rsidRPr="00FE36BC">
        <w:rPr>
          <w:i/>
        </w:rPr>
        <w:t>næring</w:t>
      </w:r>
      <w:r>
        <w:t xml:space="preserve"> (2005-2014) vises det til tabell </w:t>
      </w:r>
      <w:r w:rsidR="00B714AA">
        <w:t>2.3</w:t>
      </w:r>
      <w:r>
        <w:t xml:space="preserve"> i vedlegg </w:t>
      </w:r>
      <w:r w:rsidR="00B714AA">
        <w:t>2</w:t>
      </w:r>
      <w:r>
        <w:t xml:space="preserve">. </w:t>
      </w:r>
    </w:p>
    <w:p w14:paraId="3955E71E" w14:textId="77777777" w:rsidR="00D64A0E" w:rsidRDefault="00D64A0E" w:rsidP="00D64A0E">
      <w:pPr>
        <w:pStyle w:val="avsnitt-tit"/>
        <w:spacing w:before="240" w:after="120"/>
      </w:pPr>
      <w:r>
        <w:t xml:space="preserve">Lønnsforskjeller mellom kvinner og menn etter alder </w:t>
      </w:r>
    </w:p>
    <w:p w14:paraId="2F903893" w14:textId="786A83A2" w:rsidR="00D64A0E" w:rsidRPr="0020082A" w:rsidRDefault="00D64A0E" w:rsidP="00D64A0E">
      <w:pPr>
        <w:rPr>
          <w:snapToGrid w:val="0"/>
          <w:color w:val="000000"/>
        </w:rPr>
      </w:pPr>
      <w:r>
        <w:t xml:space="preserve">Tabell 1.17 viser heltidsansatte kvinners lønn som andel av menns etter alder. Fra 2013 til 2014 har </w:t>
      </w:r>
      <w:r w:rsidR="00A864A2">
        <w:t>lønnsforskjellene</w:t>
      </w:r>
      <w:r>
        <w:t xml:space="preserve"> blitt redusert for alle aldersgrupper. </w:t>
      </w:r>
      <w:r>
        <w:rPr>
          <w:snapToGrid w:val="0"/>
          <w:color w:val="000000"/>
        </w:rPr>
        <w:t>Ser vi på de to siste årene samlet, har det også vært en tilnærming fra 2012 for de fleste aldersgruppene.</w:t>
      </w:r>
    </w:p>
    <w:p w14:paraId="4AD72E9A" w14:textId="77777777" w:rsidR="00D64A0E" w:rsidRDefault="00D64A0E" w:rsidP="00D64A0E">
      <w:r w:rsidRPr="00125F77">
        <w:t>Tabell 1.1</w:t>
      </w:r>
      <w:r>
        <w:t>7</w:t>
      </w:r>
      <w:r w:rsidRPr="00125F77">
        <w:t xml:space="preserve"> viser </w:t>
      </w:r>
      <w:r>
        <w:t xml:space="preserve">også </w:t>
      </w:r>
      <w:r w:rsidRPr="00125F77">
        <w:t xml:space="preserve">at lønnsforskjellen mellom kvinner og menn øker med økende alder. </w:t>
      </w:r>
    </w:p>
    <w:p w14:paraId="69C4466F" w14:textId="77777777" w:rsidR="005F400D" w:rsidRDefault="005F400D" w:rsidP="005F400D">
      <w:pPr>
        <w:spacing w:after="0"/>
      </w:pPr>
      <w:r>
        <w:br w:type="page"/>
      </w:r>
    </w:p>
    <w:p w14:paraId="29CF0FA1" w14:textId="77777777" w:rsidR="005F400D" w:rsidRDefault="005F400D" w:rsidP="005F400D"/>
    <w:p w14:paraId="07975E45" w14:textId="77777777" w:rsidR="005F400D" w:rsidRDefault="005F400D" w:rsidP="005F400D">
      <w:pPr>
        <w:pStyle w:val="tabell-tittel"/>
        <w:ind w:hanging="1"/>
      </w:pPr>
      <w:r>
        <w:t>K</w:t>
      </w:r>
      <w:r w:rsidRPr="00E609C7">
        <w:t xml:space="preserve">vinners </w:t>
      </w:r>
      <w:r>
        <w:t>gjennomsnitts</w:t>
      </w:r>
      <w:r w:rsidRPr="00E609C7">
        <w:t xml:space="preserve">lønn </w:t>
      </w:r>
      <w:r>
        <w:t>per dato</w:t>
      </w:r>
      <w:r>
        <w:rPr>
          <w:vertAlign w:val="superscript"/>
        </w:rPr>
        <w:t>1</w:t>
      </w:r>
      <w:r>
        <w:t xml:space="preserve"> i forhold til</w:t>
      </w:r>
      <w:r w:rsidRPr="00E609C7">
        <w:t xml:space="preserve"> menns etter </w:t>
      </w:r>
      <w:r>
        <w:t xml:space="preserve">lengste </w:t>
      </w:r>
      <w:r w:rsidRPr="00E609C7">
        <w:t xml:space="preserve">utdanning. </w:t>
      </w:r>
      <w:r>
        <w:t>Heltidsansatte</w:t>
      </w:r>
      <w:r w:rsidRPr="008566CF">
        <w:rPr>
          <w:sz w:val="18"/>
          <w:szCs w:val="18"/>
          <w:vertAlign w:val="superscript"/>
        </w:rPr>
        <w:t xml:space="preserve"> </w:t>
      </w:r>
    </w:p>
    <w:tbl>
      <w:tblPr>
        <w:tblStyle w:val="TrykketTabell"/>
        <w:tblW w:w="5079" w:type="pct"/>
        <w:tblLayout w:type="fixed"/>
        <w:tblCellMar>
          <w:left w:w="28" w:type="dxa"/>
          <w:right w:w="28" w:type="dxa"/>
        </w:tblCellMar>
        <w:tblLook w:val="04A0" w:firstRow="1" w:lastRow="0" w:firstColumn="1" w:lastColumn="0" w:noHBand="0" w:noVBand="1"/>
      </w:tblPr>
      <w:tblGrid>
        <w:gridCol w:w="1552"/>
        <w:gridCol w:w="508"/>
        <w:gridCol w:w="508"/>
        <w:gridCol w:w="508"/>
        <w:gridCol w:w="509"/>
        <w:gridCol w:w="507"/>
        <w:gridCol w:w="507"/>
        <w:gridCol w:w="507"/>
        <w:gridCol w:w="507"/>
        <w:gridCol w:w="507"/>
        <w:gridCol w:w="507"/>
        <w:gridCol w:w="507"/>
        <w:gridCol w:w="704"/>
        <w:gridCol w:w="658"/>
        <w:gridCol w:w="717"/>
      </w:tblGrid>
      <w:tr w:rsidR="005F400D" w:rsidRPr="00D93719" w14:paraId="11A5F496" w14:textId="77777777" w:rsidTr="008C4FE7">
        <w:trPr>
          <w:cnfStyle w:val="100000000000" w:firstRow="1" w:lastRow="0" w:firstColumn="0" w:lastColumn="0" w:oddVBand="0" w:evenVBand="0" w:oddHBand="0" w:evenHBand="0" w:firstRowFirstColumn="0" w:firstRowLastColumn="0" w:lastRowFirstColumn="0" w:lastRowLastColumn="0"/>
          <w:trHeight w:val="407"/>
        </w:trPr>
        <w:tc>
          <w:tcPr>
            <w:tcW w:w="843" w:type="pct"/>
            <w:tcBorders>
              <w:bottom w:val="nil"/>
            </w:tcBorders>
            <w:noWrap/>
            <w:vAlign w:val="bottom"/>
            <w:hideMark/>
          </w:tcPr>
          <w:p w14:paraId="55083B2E" w14:textId="77777777" w:rsidR="005F400D" w:rsidRPr="00D93719" w:rsidRDefault="005F400D" w:rsidP="008C4FE7">
            <w:pPr>
              <w:spacing w:after="0"/>
              <w:rPr>
                <w:rFonts w:ascii="Times Roman" w:eastAsia="Times New Roman" w:hAnsi="Times Roman"/>
                <w:color w:val="000000"/>
                <w:sz w:val="18"/>
                <w:szCs w:val="18"/>
              </w:rPr>
            </w:pPr>
          </w:p>
        </w:tc>
        <w:tc>
          <w:tcPr>
            <w:tcW w:w="276" w:type="pct"/>
            <w:tcBorders>
              <w:bottom w:val="nil"/>
            </w:tcBorders>
            <w:noWrap/>
            <w:vAlign w:val="bottom"/>
            <w:hideMark/>
          </w:tcPr>
          <w:p w14:paraId="37D343CE" w14:textId="77777777" w:rsidR="005F400D" w:rsidRPr="00D93719" w:rsidRDefault="005F400D" w:rsidP="008C4FE7">
            <w:pPr>
              <w:spacing w:after="0"/>
              <w:jc w:val="right"/>
              <w:rPr>
                <w:rFonts w:ascii="Times Roman" w:eastAsia="Times New Roman" w:hAnsi="Times Roman"/>
                <w:color w:val="000000"/>
                <w:sz w:val="18"/>
                <w:szCs w:val="18"/>
              </w:rPr>
            </w:pPr>
          </w:p>
        </w:tc>
        <w:tc>
          <w:tcPr>
            <w:tcW w:w="276" w:type="pct"/>
            <w:tcBorders>
              <w:bottom w:val="nil"/>
            </w:tcBorders>
            <w:noWrap/>
            <w:vAlign w:val="bottom"/>
            <w:hideMark/>
          </w:tcPr>
          <w:p w14:paraId="3EDD057C" w14:textId="77777777" w:rsidR="005F400D" w:rsidRPr="00D93719" w:rsidRDefault="005F400D" w:rsidP="008C4FE7">
            <w:pPr>
              <w:spacing w:after="0"/>
              <w:jc w:val="right"/>
              <w:rPr>
                <w:rFonts w:ascii="Times Roman" w:eastAsia="Times New Roman" w:hAnsi="Times Roman"/>
                <w:color w:val="000000"/>
                <w:sz w:val="18"/>
                <w:szCs w:val="18"/>
              </w:rPr>
            </w:pPr>
          </w:p>
        </w:tc>
        <w:tc>
          <w:tcPr>
            <w:tcW w:w="276" w:type="pct"/>
            <w:tcBorders>
              <w:bottom w:val="nil"/>
            </w:tcBorders>
            <w:noWrap/>
            <w:vAlign w:val="bottom"/>
            <w:hideMark/>
          </w:tcPr>
          <w:p w14:paraId="4028431C" w14:textId="77777777" w:rsidR="005F400D" w:rsidRPr="00D93719" w:rsidRDefault="005F400D" w:rsidP="008C4FE7">
            <w:pPr>
              <w:spacing w:after="0"/>
              <w:jc w:val="right"/>
              <w:rPr>
                <w:rFonts w:ascii="Times Roman" w:eastAsia="Times New Roman" w:hAnsi="Times Roman"/>
                <w:color w:val="000000"/>
                <w:sz w:val="18"/>
                <w:szCs w:val="18"/>
              </w:rPr>
            </w:pPr>
          </w:p>
        </w:tc>
        <w:tc>
          <w:tcPr>
            <w:tcW w:w="276" w:type="pct"/>
            <w:tcBorders>
              <w:bottom w:val="nil"/>
            </w:tcBorders>
            <w:noWrap/>
            <w:vAlign w:val="bottom"/>
            <w:hideMark/>
          </w:tcPr>
          <w:p w14:paraId="63A35393"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bottom w:val="nil"/>
            </w:tcBorders>
            <w:noWrap/>
            <w:vAlign w:val="bottom"/>
            <w:hideMark/>
          </w:tcPr>
          <w:p w14:paraId="0BCA1668"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bottom w:val="nil"/>
            </w:tcBorders>
            <w:noWrap/>
            <w:vAlign w:val="bottom"/>
            <w:hideMark/>
          </w:tcPr>
          <w:p w14:paraId="62CA4BC0"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bottom w:val="nil"/>
            </w:tcBorders>
            <w:noWrap/>
            <w:vAlign w:val="bottom"/>
            <w:hideMark/>
          </w:tcPr>
          <w:p w14:paraId="05C8F8E5"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bottom w:val="nil"/>
            </w:tcBorders>
            <w:noWrap/>
            <w:vAlign w:val="bottom"/>
            <w:hideMark/>
          </w:tcPr>
          <w:p w14:paraId="0A010B23"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bottom w:val="nil"/>
            </w:tcBorders>
            <w:noWrap/>
            <w:vAlign w:val="bottom"/>
            <w:hideMark/>
          </w:tcPr>
          <w:p w14:paraId="6514FC0E"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bottom w:val="nil"/>
            </w:tcBorders>
            <w:noWrap/>
            <w:vAlign w:val="bottom"/>
            <w:hideMark/>
          </w:tcPr>
          <w:p w14:paraId="711683B8"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bottom w:val="nil"/>
            </w:tcBorders>
            <w:noWrap/>
            <w:vAlign w:val="bottom"/>
            <w:hideMark/>
          </w:tcPr>
          <w:p w14:paraId="07C8137F" w14:textId="77777777" w:rsidR="005F400D" w:rsidRPr="00D93719" w:rsidRDefault="005F400D" w:rsidP="008C4FE7">
            <w:pPr>
              <w:spacing w:after="0"/>
              <w:jc w:val="right"/>
              <w:rPr>
                <w:rFonts w:ascii="Times Roman" w:eastAsia="Times New Roman" w:hAnsi="Times Roman"/>
                <w:color w:val="000000"/>
                <w:sz w:val="18"/>
                <w:szCs w:val="18"/>
              </w:rPr>
            </w:pPr>
          </w:p>
        </w:tc>
        <w:tc>
          <w:tcPr>
            <w:tcW w:w="739" w:type="pct"/>
            <w:gridSpan w:val="2"/>
            <w:tcBorders>
              <w:bottom w:val="nil"/>
            </w:tcBorders>
            <w:noWrap/>
            <w:vAlign w:val="bottom"/>
            <w:hideMark/>
          </w:tcPr>
          <w:p w14:paraId="21A0A71C" w14:textId="77777777" w:rsidR="005F400D" w:rsidRPr="003D6941" w:rsidRDefault="005F400D" w:rsidP="008C4FE7">
            <w:pPr>
              <w:spacing w:after="0"/>
              <w:jc w:val="center"/>
              <w:rPr>
                <w:rFonts w:ascii="Times Roman" w:eastAsia="Times New Roman" w:hAnsi="Times Roman"/>
                <w:color w:val="000000"/>
                <w:sz w:val="18"/>
                <w:szCs w:val="18"/>
              </w:rPr>
            </w:pPr>
            <w:r w:rsidRPr="003D6941">
              <w:rPr>
                <w:rFonts w:ascii="Times Roman" w:eastAsia="Times New Roman" w:hAnsi="Times Roman"/>
                <w:color w:val="000000"/>
                <w:sz w:val="18"/>
                <w:szCs w:val="18"/>
              </w:rPr>
              <w:t>Månedslønn per dato</w:t>
            </w:r>
            <w:r>
              <w:rPr>
                <w:rFonts w:ascii="Times Roman" w:eastAsia="Times New Roman" w:hAnsi="Times Roman"/>
                <w:color w:val="000000"/>
                <w:sz w:val="18"/>
                <w:szCs w:val="18"/>
                <w:vertAlign w:val="superscript"/>
              </w:rPr>
              <w:t>1</w:t>
            </w:r>
            <w:r w:rsidRPr="003D6941">
              <w:rPr>
                <w:rFonts w:ascii="Times Roman" w:eastAsia="Times New Roman" w:hAnsi="Times Roman"/>
                <w:color w:val="000000"/>
                <w:sz w:val="18"/>
                <w:szCs w:val="18"/>
              </w:rPr>
              <w:t xml:space="preserve"> *12</w:t>
            </w:r>
          </w:p>
        </w:tc>
        <w:tc>
          <w:tcPr>
            <w:tcW w:w="394" w:type="pct"/>
            <w:tcBorders>
              <w:bottom w:val="nil"/>
            </w:tcBorders>
            <w:vAlign w:val="bottom"/>
          </w:tcPr>
          <w:p w14:paraId="2B37AAF3" w14:textId="77777777" w:rsidR="005F400D" w:rsidRPr="00D93719" w:rsidRDefault="005F400D" w:rsidP="008C4FE7">
            <w:pPr>
              <w:spacing w:after="0"/>
              <w:jc w:val="center"/>
              <w:rPr>
                <w:rFonts w:ascii="Times Roman" w:eastAsia="Times New Roman" w:hAnsi="Times Roman"/>
                <w:color w:val="000000"/>
                <w:sz w:val="18"/>
                <w:szCs w:val="18"/>
              </w:rPr>
            </w:pPr>
            <w:r>
              <w:rPr>
                <w:rFonts w:ascii="Times Roman" w:eastAsia="Times New Roman" w:hAnsi="Times Roman"/>
                <w:color w:val="000000"/>
                <w:sz w:val="18"/>
                <w:szCs w:val="18"/>
              </w:rPr>
              <w:t>Andel kvinner</w:t>
            </w:r>
            <w:r>
              <w:rPr>
                <w:rFonts w:ascii="Times Roman" w:eastAsia="Times New Roman" w:hAnsi="Times Roman"/>
                <w:color w:val="000000"/>
                <w:sz w:val="18"/>
                <w:szCs w:val="18"/>
                <w:vertAlign w:val="superscript"/>
              </w:rPr>
              <w:t>3</w:t>
            </w:r>
            <w:r>
              <w:rPr>
                <w:rFonts w:ascii="Times Roman" w:eastAsia="Times New Roman" w:hAnsi="Times Roman"/>
                <w:color w:val="000000"/>
                <w:sz w:val="18"/>
                <w:szCs w:val="18"/>
              </w:rPr>
              <w:t xml:space="preserve"> </w:t>
            </w:r>
          </w:p>
        </w:tc>
      </w:tr>
      <w:tr w:rsidR="005F400D" w:rsidRPr="00D93719" w14:paraId="70C571C9" w14:textId="77777777" w:rsidTr="00C63676">
        <w:trPr>
          <w:trHeight w:val="204"/>
        </w:trPr>
        <w:tc>
          <w:tcPr>
            <w:tcW w:w="843" w:type="pct"/>
            <w:tcBorders>
              <w:top w:val="nil"/>
              <w:bottom w:val="single" w:sz="4" w:space="0" w:color="auto"/>
            </w:tcBorders>
            <w:noWrap/>
            <w:vAlign w:val="bottom"/>
            <w:hideMark/>
          </w:tcPr>
          <w:p w14:paraId="26A4DCD6" w14:textId="77777777" w:rsidR="005F400D" w:rsidRPr="00D93719" w:rsidRDefault="005F400D" w:rsidP="008C4FE7">
            <w:pPr>
              <w:spacing w:after="0"/>
              <w:rPr>
                <w:rFonts w:ascii="Times Roman" w:eastAsia="Times New Roman" w:hAnsi="Times Roman"/>
                <w:color w:val="000000"/>
                <w:sz w:val="18"/>
                <w:szCs w:val="18"/>
              </w:rPr>
            </w:pPr>
          </w:p>
        </w:tc>
        <w:tc>
          <w:tcPr>
            <w:tcW w:w="276" w:type="pct"/>
            <w:tcBorders>
              <w:top w:val="nil"/>
              <w:bottom w:val="single" w:sz="4" w:space="0" w:color="auto"/>
            </w:tcBorders>
            <w:noWrap/>
            <w:vAlign w:val="bottom"/>
            <w:hideMark/>
          </w:tcPr>
          <w:p w14:paraId="1DB8B604" w14:textId="77777777" w:rsidR="005F400D" w:rsidRPr="00D93719" w:rsidRDefault="005F400D" w:rsidP="008C4FE7">
            <w:pPr>
              <w:spacing w:after="0"/>
              <w:jc w:val="right"/>
              <w:rPr>
                <w:rFonts w:ascii="Times Roman" w:eastAsia="Times New Roman" w:hAnsi="Times Roman"/>
                <w:color w:val="000000"/>
                <w:sz w:val="18"/>
                <w:szCs w:val="18"/>
              </w:rPr>
            </w:pPr>
          </w:p>
        </w:tc>
        <w:tc>
          <w:tcPr>
            <w:tcW w:w="276" w:type="pct"/>
            <w:tcBorders>
              <w:top w:val="nil"/>
              <w:bottom w:val="single" w:sz="4" w:space="0" w:color="auto"/>
            </w:tcBorders>
            <w:noWrap/>
            <w:vAlign w:val="bottom"/>
            <w:hideMark/>
          </w:tcPr>
          <w:p w14:paraId="522B7ABD" w14:textId="77777777" w:rsidR="005F400D" w:rsidRPr="00D93719" w:rsidRDefault="005F400D" w:rsidP="008C4FE7">
            <w:pPr>
              <w:spacing w:after="0"/>
              <w:jc w:val="right"/>
              <w:rPr>
                <w:rFonts w:ascii="Times Roman" w:eastAsia="Times New Roman" w:hAnsi="Times Roman"/>
                <w:color w:val="000000"/>
                <w:sz w:val="18"/>
                <w:szCs w:val="18"/>
              </w:rPr>
            </w:pPr>
          </w:p>
        </w:tc>
        <w:tc>
          <w:tcPr>
            <w:tcW w:w="276" w:type="pct"/>
            <w:tcBorders>
              <w:top w:val="nil"/>
              <w:bottom w:val="single" w:sz="4" w:space="0" w:color="auto"/>
            </w:tcBorders>
            <w:noWrap/>
            <w:vAlign w:val="bottom"/>
            <w:hideMark/>
          </w:tcPr>
          <w:p w14:paraId="691082D8" w14:textId="77777777" w:rsidR="005F400D" w:rsidRPr="00D93719" w:rsidRDefault="005F400D" w:rsidP="008C4FE7">
            <w:pPr>
              <w:spacing w:after="0"/>
              <w:jc w:val="right"/>
              <w:rPr>
                <w:rFonts w:ascii="Times Roman" w:eastAsia="Times New Roman" w:hAnsi="Times Roman"/>
                <w:color w:val="000000"/>
                <w:sz w:val="18"/>
                <w:szCs w:val="18"/>
              </w:rPr>
            </w:pPr>
          </w:p>
        </w:tc>
        <w:tc>
          <w:tcPr>
            <w:tcW w:w="276" w:type="pct"/>
            <w:tcBorders>
              <w:top w:val="nil"/>
              <w:bottom w:val="single" w:sz="4" w:space="0" w:color="auto"/>
            </w:tcBorders>
            <w:noWrap/>
            <w:vAlign w:val="bottom"/>
            <w:hideMark/>
          </w:tcPr>
          <w:p w14:paraId="39787EAC"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top w:val="nil"/>
              <w:bottom w:val="single" w:sz="4" w:space="0" w:color="auto"/>
            </w:tcBorders>
            <w:noWrap/>
            <w:vAlign w:val="bottom"/>
            <w:hideMark/>
          </w:tcPr>
          <w:p w14:paraId="5EA05D08"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top w:val="nil"/>
              <w:bottom w:val="single" w:sz="4" w:space="0" w:color="auto"/>
            </w:tcBorders>
            <w:noWrap/>
            <w:vAlign w:val="bottom"/>
            <w:hideMark/>
          </w:tcPr>
          <w:p w14:paraId="491DDFDC"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top w:val="nil"/>
              <w:bottom w:val="single" w:sz="4" w:space="0" w:color="auto"/>
            </w:tcBorders>
            <w:noWrap/>
            <w:vAlign w:val="bottom"/>
            <w:hideMark/>
          </w:tcPr>
          <w:p w14:paraId="1A21E09A"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top w:val="nil"/>
              <w:bottom w:val="single" w:sz="4" w:space="0" w:color="auto"/>
            </w:tcBorders>
            <w:noWrap/>
            <w:vAlign w:val="bottom"/>
            <w:hideMark/>
          </w:tcPr>
          <w:p w14:paraId="20B23A15"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top w:val="nil"/>
              <w:bottom w:val="single" w:sz="4" w:space="0" w:color="auto"/>
            </w:tcBorders>
            <w:noWrap/>
            <w:vAlign w:val="bottom"/>
            <w:hideMark/>
          </w:tcPr>
          <w:p w14:paraId="706AEBB4"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top w:val="nil"/>
              <w:bottom w:val="single" w:sz="4" w:space="0" w:color="auto"/>
            </w:tcBorders>
            <w:noWrap/>
            <w:vAlign w:val="bottom"/>
            <w:hideMark/>
          </w:tcPr>
          <w:p w14:paraId="50E13B72" w14:textId="77777777" w:rsidR="005F400D" w:rsidRPr="00D93719" w:rsidRDefault="005F400D" w:rsidP="008C4FE7">
            <w:pPr>
              <w:spacing w:after="0"/>
              <w:jc w:val="right"/>
              <w:rPr>
                <w:rFonts w:ascii="Times Roman" w:eastAsia="Times New Roman" w:hAnsi="Times Roman"/>
                <w:color w:val="000000"/>
                <w:sz w:val="18"/>
                <w:szCs w:val="18"/>
              </w:rPr>
            </w:pPr>
          </w:p>
        </w:tc>
        <w:tc>
          <w:tcPr>
            <w:tcW w:w="275" w:type="pct"/>
            <w:tcBorders>
              <w:top w:val="nil"/>
              <w:bottom w:val="single" w:sz="4" w:space="0" w:color="auto"/>
            </w:tcBorders>
            <w:noWrap/>
            <w:vAlign w:val="bottom"/>
            <w:hideMark/>
          </w:tcPr>
          <w:p w14:paraId="6BB26359" w14:textId="77777777" w:rsidR="005F400D" w:rsidRPr="00D93719" w:rsidRDefault="005F400D" w:rsidP="008C4FE7">
            <w:pPr>
              <w:spacing w:after="0"/>
              <w:jc w:val="right"/>
              <w:rPr>
                <w:rFonts w:ascii="Times Roman" w:eastAsia="Times New Roman" w:hAnsi="Times Roman"/>
                <w:color w:val="000000"/>
                <w:sz w:val="18"/>
                <w:szCs w:val="18"/>
              </w:rPr>
            </w:pPr>
          </w:p>
        </w:tc>
        <w:tc>
          <w:tcPr>
            <w:tcW w:w="382" w:type="pct"/>
            <w:tcBorders>
              <w:top w:val="nil"/>
              <w:bottom w:val="single" w:sz="4" w:space="0" w:color="auto"/>
            </w:tcBorders>
            <w:noWrap/>
            <w:vAlign w:val="bottom"/>
            <w:hideMark/>
          </w:tcPr>
          <w:p w14:paraId="359A2C7E" w14:textId="77777777" w:rsidR="005F400D" w:rsidRPr="00D93719" w:rsidRDefault="005F400D" w:rsidP="008C4FE7">
            <w:pPr>
              <w:spacing w:after="0"/>
              <w:rPr>
                <w:rFonts w:ascii="Times Roman" w:eastAsia="Times New Roman" w:hAnsi="Times Roman"/>
                <w:color w:val="000000"/>
                <w:sz w:val="18"/>
                <w:szCs w:val="18"/>
              </w:rPr>
            </w:pPr>
            <w:r w:rsidRPr="00D93719">
              <w:rPr>
                <w:rFonts w:ascii="Times Roman" w:eastAsia="Times New Roman" w:hAnsi="Times Roman"/>
                <w:color w:val="000000"/>
                <w:sz w:val="18"/>
                <w:szCs w:val="18"/>
              </w:rPr>
              <w:t>Menn</w:t>
            </w:r>
          </w:p>
        </w:tc>
        <w:tc>
          <w:tcPr>
            <w:tcW w:w="357" w:type="pct"/>
            <w:tcBorders>
              <w:top w:val="nil"/>
              <w:bottom w:val="single" w:sz="4" w:space="0" w:color="auto"/>
            </w:tcBorders>
            <w:noWrap/>
            <w:vAlign w:val="bottom"/>
            <w:hideMark/>
          </w:tcPr>
          <w:p w14:paraId="76A9AB9F" w14:textId="77777777" w:rsidR="005F400D" w:rsidRPr="003D6941" w:rsidRDefault="005F400D" w:rsidP="008C4FE7">
            <w:pPr>
              <w:spacing w:after="0"/>
              <w:rPr>
                <w:rFonts w:ascii="Times Roman" w:eastAsia="Times New Roman" w:hAnsi="Times Roman"/>
                <w:color w:val="000000"/>
                <w:sz w:val="18"/>
                <w:szCs w:val="18"/>
              </w:rPr>
            </w:pPr>
            <w:r w:rsidRPr="003D6941">
              <w:rPr>
                <w:rFonts w:ascii="Times Roman" w:eastAsia="Times New Roman" w:hAnsi="Times Roman"/>
                <w:color w:val="000000"/>
                <w:sz w:val="18"/>
                <w:szCs w:val="18"/>
              </w:rPr>
              <w:t>Kvinner</w:t>
            </w:r>
          </w:p>
        </w:tc>
        <w:tc>
          <w:tcPr>
            <w:tcW w:w="394" w:type="pct"/>
            <w:tcBorders>
              <w:top w:val="nil"/>
              <w:bottom w:val="single" w:sz="4" w:space="0" w:color="auto"/>
            </w:tcBorders>
          </w:tcPr>
          <w:p w14:paraId="6629E866" w14:textId="77777777" w:rsidR="005F400D" w:rsidRPr="00D93719" w:rsidRDefault="005F400D" w:rsidP="008C4FE7">
            <w:pPr>
              <w:spacing w:after="0"/>
              <w:rPr>
                <w:rFonts w:ascii="Times Roman" w:eastAsia="Times New Roman" w:hAnsi="Times Roman"/>
                <w:color w:val="000000"/>
                <w:sz w:val="18"/>
                <w:szCs w:val="18"/>
              </w:rPr>
            </w:pPr>
          </w:p>
        </w:tc>
      </w:tr>
      <w:tr w:rsidR="005F400D" w:rsidRPr="00D93719" w14:paraId="32C5EA68" w14:textId="77777777" w:rsidTr="00C63676">
        <w:trPr>
          <w:trHeight w:val="264"/>
        </w:trPr>
        <w:tc>
          <w:tcPr>
            <w:tcW w:w="843" w:type="pct"/>
            <w:tcBorders>
              <w:top w:val="single" w:sz="4" w:space="0" w:color="auto"/>
              <w:bottom w:val="single" w:sz="4" w:space="0" w:color="auto"/>
            </w:tcBorders>
            <w:noWrap/>
            <w:vAlign w:val="bottom"/>
            <w:hideMark/>
          </w:tcPr>
          <w:p w14:paraId="61AB18F7" w14:textId="77777777" w:rsidR="005F400D" w:rsidRPr="00D93719" w:rsidRDefault="005F400D" w:rsidP="008C4FE7">
            <w:pPr>
              <w:spacing w:after="0"/>
              <w:rPr>
                <w:rFonts w:ascii="Times Roman" w:eastAsia="Times New Roman" w:hAnsi="Times Roman"/>
                <w:bCs/>
                <w:color w:val="000000"/>
                <w:sz w:val="18"/>
                <w:szCs w:val="18"/>
              </w:rPr>
            </w:pPr>
          </w:p>
        </w:tc>
        <w:tc>
          <w:tcPr>
            <w:tcW w:w="276" w:type="pct"/>
            <w:tcBorders>
              <w:top w:val="single" w:sz="4" w:space="0" w:color="auto"/>
              <w:bottom w:val="single" w:sz="4" w:space="0" w:color="auto"/>
            </w:tcBorders>
            <w:noWrap/>
            <w:vAlign w:val="bottom"/>
            <w:hideMark/>
          </w:tcPr>
          <w:p w14:paraId="7BE999C3" w14:textId="77777777" w:rsidR="005F400D" w:rsidRPr="00875A21" w:rsidRDefault="005F400D" w:rsidP="008C4FE7">
            <w:pPr>
              <w:spacing w:after="0"/>
              <w:jc w:val="right"/>
              <w:rPr>
                <w:rFonts w:ascii="Times Roman" w:eastAsia="Times New Roman" w:hAnsi="Times Roman"/>
                <w:bCs/>
                <w:color w:val="000000"/>
                <w:sz w:val="18"/>
                <w:szCs w:val="18"/>
                <w:vertAlign w:val="superscript"/>
              </w:rPr>
            </w:pPr>
            <w:r w:rsidRPr="00D93719">
              <w:rPr>
                <w:rFonts w:ascii="Times Roman" w:eastAsia="Times New Roman" w:hAnsi="Times Roman"/>
                <w:bCs/>
                <w:color w:val="000000"/>
                <w:sz w:val="18"/>
                <w:szCs w:val="18"/>
              </w:rPr>
              <w:t>2005</w:t>
            </w:r>
          </w:p>
        </w:tc>
        <w:tc>
          <w:tcPr>
            <w:tcW w:w="276" w:type="pct"/>
            <w:tcBorders>
              <w:top w:val="single" w:sz="4" w:space="0" w:color="auto"/>
              <w:bottom w:val="single" w:sz="4" w:space="0" w:color="auto"/>
            </w:tcBorders>
            <w:noWrap/>
            <w:vAlign w:val="bottom"/>
            <w:hideMark/>
          </w:tcPr>
          <w:p w14:paraId="4BBCCC78" w14:textId="77777777" w:rsidR="005F400D" w:rsidRPr="00D93719" w:rsidRDefault="005F400D" w:rsidP="008C4FE7">
            <w:pPr>
              <w:spacing w:after="0"/>
              <w:jc w:val="right"/>
              <w:rPr>
                <w:rFonts w:ascii="Times Roman" w:eastAsia="Times New Roman" w:hAnsi="Times Roman"/>
                <w:bCs/>
                <w:color w:val="000000"/>
                <w:sz w:val="18"/>
                <w:szCs w:val="18"/>
              </w:rPr>
            </w:pPr>
            <w:r w:rsidRPr="00D93719">
              <w:rPr>
                <w:rFonts w:ascii="Times Roman" w:eastAsia="Times New Roman" w:hAnsi="Times Roman"/>
                <w:bCs/>
                <w:color w:val="000000"/>
                <w:sz w:val="18"/>
                <w:szCs w:val="18"/>
              </w:rPr>
              <w:t>2006</w:t>
            </w:r>
          </w:p>
        </w:tc>
        <w:tc>
          <w:tcPr>
            <w:tcW w:w="276" w:type="pct"/>
            <w:tcBorders>
              <w:top w:val="single" w:sz="4" w:space="0" w:color="auto"/>
              <w:bottom w:val="single" w:sz="4" w:space="0" w:color="auto"/>
            </w:tcBorders>
            <w:noWrap/>
            <w:vAlign w:val="bottom"/>
            <w:hideMark/>
          </w:tcPr>
          <w:p w14:paraId="24FCF089" w14:textId="77777777" w:rsidR="005F400D" w:rsidRPr="00D93719" w:rsidRDefault="005F400D" w:rsidP="008C4FE7">
            <w:pPr>
              <w:spacing w:after="0"/>
              <w:jc w:val="right"/>
              <w:rPr>
                <w:rFonts w:ascii="Times Roman" w:eastAsia="Times New Roman" w:hAnsi="Times Roman"/>
                <w:bCs/>
                <w:color w:val="000000"/>
                <w:sz w:val="18"/>
                <w:szCs w:val="18"/>
              </w:rPr>
            </w:pPr>
            <w:r w:rsidRPr="00D93719">
              <w:rPr>
                <w:rFonts w:ascii="Times Roman" w:eastAsia="Times New Roman" w:hAnsi="Times Roman"/>
                <w:bCs/>
                <w:color w:val="000000"/>
                <w:sz w:val="18"/>
                <w:szCs w:val="18"/>
              </w:rPr>
              <w:t>2007</w:t>
            </w:r>
          </w:p>
        </w:tc>
        <w:tc>
          <w:tcPr>
            <w:tcW w:w="276" w:type="pct"/>
            <w:tcBorders>
              <w:top w:val="single" w:sz="4" w:space="0" w:color="auto"/>
              <w:bottom w:val="single" w:sz="4" w:space="0" w:color="auto"/>
              <w:right w:val="single" w:sz="4" w:space="0" w:color="auto"/>
            </w:tcBorders>
            <w:noWrap/>
            <w:vAlign w:val="bottom"/>
            <w:hideMark/>
          </w:tcPr>
          <w:p w14:paraId="16A4828D" w14:textId="77777777" w:rsidR="005F400D" w:rsidRPr="00D93719" w:rsidRDefault="005F400D" w:rsidP="008C4FE7">
            <w:pPr>
              <w:spacing w:after="0"/>
              <w:jc w:val="right"/>
              <w:rPr>
                <w:rFonts w:ascii="Times Roman" w:eastAsia="Times New Roman" w:hAnsi="Times Roman"/>
                <w:bCs/>
                <w:color w:val="000000"/>
                <w:sz w:val="18"/>
                <w:szCs w:val="18"/>
              </w:rPr>
            </w:pPr>
            <w:r w:rsidRPr="00D93719">
              <w:rPr>
                <w:rFonts w:ascii="Times Roman" w:eastAsia="Times New Roman" w:hAnsi="Times Roman"/>
                <w:bCs/>
                <w:color w:val="000000"/>
                <w:sz w:val="18"/>
                <w:szCs w:val="18"/>
              </w:rPr>
              <w:t>2008</w:t>
            </w:r>
          </w:p>
        </w:tc>
        <w:tc>
          <w:tcPr>
            <w:tcW w:w="275" w:type="pct"/>
            <w:tcBorders>
              <w:top w:val="single" w:sz="4" w:space="0" w:color="auto"/>
              <w:left w:val="single" w:sz="4" w:space="0" w:color="auto"/>
              <w:bottom w:val="single" w:sz="4" w:space="0" w:color="auto"/>
            </w:tcBorders>
            <w:noWrap/>
            <w:vAlign w:val="bottom"/>
            <w:hideMark/>
          </w:tcPr>
          <w:p w14:paraId="40311957" w14:textId="77777777" w:rsidR="005F400D" w:rsidRPr="00F01062" w:rsidRDefault="005F400D" w:rsidP="008C4FE7">
            <w:pPr>
              <w:spacing w:after="0"/>
              <w:jc w:val="right"/>
              <w:rPr>
                <w:rFonts w:ascii="Times Roman" w:eastAsia="Times New Roman" w:hAnsi="Times Roman"/>
                <w:bCs/>
                <w:color w:val="000000"/>
                <w:sz w:val="18"/>
                <w:szCs w:val="18"/>
                <w:vertAlign w:val="superscript"/>
              </w:rPr>
            </w:pPr>
            <w:r w:rsidRPr="00D93719">
              <w:rPr>
                <w:rFonts w:ascii="Times Roman" w:eastAsia="Times New Roman" w:hAnsi="Times Roman"/>
                <w:bCs/>
                <w:color w:val="000000"/>
                <w:sz w:val="18"/>
                <w:szCs w:val="18"/>
              </w:rPr>
              <w:t>2008</w:t>
            </w:r>
            <w:r>
              <w:rPr>
                <w:rFonts w:ascii="Times Roman" w:eastAsia="Times New Roman" w:hAnsi="Times Roman"/>
                <w:bCs/>
                <w:color w:val="000000"/>
                <w:sz w:val="18"/>
                <w:szCs w:val="18"/>
                <w:vertAlign w:val="superscript"/>
              </w:rPr>
              <w:t>2</w:t>
            </w:r>
          </w:p>
        </w:tc>
        <w:tc>
          <w:tcPr>
            <w:tcW w:w="275" w:type="pct"/>
            <w:tcBorders>
              <w:top w:val="single" w:sz="4" w:space="0" w:color="auto"/>
              <w:bottom w:val="single" w:sz="4" w:space="0" w:color="auto"/>
            </w:tcBorders>
            <w:noWrap/>
            <w:vAlign w:val="bottom"/>
            <w:hideMark/>
          </w:tcPr>
          <w:p w14:paraId="36A5E856" w14:textId="77777777" w:rsidR="005F400D" w:rsidRPr="00D93719" w:rsidRDefault="005F400D" w:rsidP="008C4FE7">
            <w:pPr>
              <w:spacing w:after="0"/>
              <w:jc w:val="right"/>
              <w:rPr>
                <w:rFonts w:ascii="Times Roman" w:eastAsia="Times New Roman" w:hAnsi="Times Roman"/>
                <w:bCs/>
                <w:color w:val="000000"/>
                <w:sz w:val="18"/>
                <w:szCs w:val="18"/>
              </w:rPr>
            </w:pPr>
            <w:r w:rsidRPr="00D93719">
              <w:rPr>
                <w:rFonts w:ascii="Times Roman" w:eastAsia="Times New Roman" w:hAnsi="Times Roman"/>
                <w:bCs/>
                <w:color w:val="000000"/>
                <w:sz w:val="18"/>
                <w:szCs w:val="18"/>
              </w:rPr>
              <w:t>2009</w:t>
            </w:r>
          </w:p>
        </w:tc>
        <w:tc>
          <w:tcPr>
            <w:tcW w:w="275" w:type="pct"/>
            <w:tcBorders>
              <w:top w:val="single" w:sz="4" w:space="0" w:color="auto"/>
              <w:bottom w:val="single" w:sz="4" w:space="0" w:color="auto"/>
            </w:tcBorders>
            <w:noWrap/>
            <w:vAlign w:val="bottom"/>
            <w:hideMark/>
          </w:tcPr>
          <w:p w14:paraId="15CEFAE5" w14:textId="77777777" w:rsidR="005F400D" w:rsidRPr="00D93719" w:rsidRDefault="005F400D" w:rsidP="008C4FE7">
            <w:pPr>
              <w:spacing w:after="0"/>
              <w:jc w:val="right"/>
              <w:rPr>
                <w:rFonts w:ascii="Times Roman" w:eastAsia="Times New Roman" w:hAnsi="Times Roman"/>
                <w:bCs/>
                <w:color w:val="000000"/>
                <w:sz w:val="18"/>
                <w:szCs w:val="18"/>
              </w:rPr>
            </w:pPr>
            <w:r w:rsidRPr="00D93719">
              <w:rPr>
                <w:rFonts w:ascii="Times Roman" w:eastAsia="Times New Roman" w:hAnsi="Times Roman"/>
                <w:bCs/>
                <w:color w:val="000000"/>
                <w:sz w:val="18"/>
                <w:szCs w:val="18"/>
              </w:rPr>
              <w:t>2010</w:t>
            </w:r>
          </w:p>
        </w:tc>
        <w:tc>
          <w:tcPr>
            <w:tcW w:w="275" w:type="pct"/>
            <w:tcBorders>
              <w:top w:val="single" w:sz="4" w:space="0" w:color="auto"/>
              <w:bottom w:val="single" w:sz="4" w:space="0" w:color="auto"/>
            </w:tcBorders>
            <w:noWrap/>
            <w:vAlign w:val="bottom"/>
            <w:hideMark/>
          </w:tcPr>
          <w:p w14:paraId="407BD9E4" w14:textId="77777777" w:rsidR="005F400D" w:rsidRPr="00D93719" w:rsidRDefault="005F400D" w:rsidP="008C4FE7">
            <w:pPr>
              <w:spacing w:after="0"/>
              <w:jc w:val="right"/>
              <w:rPr>
                <w:rFonts w:ascii="Times Roman" w:eastAsia="Times New Roman" w:hAnsi="Times Roman"/>
                <w:bCs/>
                <w:color w:val="000000"/>
                <w:sz w:val="18"/>
                <w:szCs w:val="18"/>
              </w:rPr>
            </w:pPr>
            <w:r w:rsidRPr="00D93719">
              <w:rPr>
                <w:rFonts w:ascii="Times Roman" w:eastAsia="Times New Roman" w:hAnsi="Times Roman"/>
                <w:bCs/>
                <w:color w:val="000000"/>
                <w:sz w:val="18"/>
                <w:szCs w:val="18"/>
              </w:rPr>
              <w:t>2011</w:t>
            </w:r>
          </w:p>
        </w:tc>
        <w:tc>
          <w:tcPr>
            <w:tcW w:w="275" w:type="pct"/>
            <w:tcBorders>
              <w:top w:val="single" w:sz="4" w:space="0" w:color="auto"/>
              <w:bottom w:val="single" w:sz="4" w:space="0" w:color="auto"/>
            </w:tcBorders>
            <w:noWrap/>
            <w:vAlign w:val="bottom"/>
            <w:hideMark/>
          </w:tcPr>
          <w:p w14:paraId="6A62CA3B" w14:textId="77777777" w:rsidR="005F400D" w:rsidRPr="007C5008" w:rsidRDefault="005F400D" w:rsidP="008C4FE7">
            <w:pPr>
              <w:spacing w:after="0"/>
              <w:jc w:val="right"/>
              <w:rPr>
                <w:rFonts w:ascii="Times Roman" w:eastAsia="Times New Roman" w:hAnsi="Times Roman"/>
                <w:bCs/>
                <w:color w:val="000000"/>
                <w:sz w:val="18"/>
                <w:szCs w:val="18"/>
                <w:vertAlign w:val="superscript"/>
              </w:rPr>
            </w:pPr>
            <w:r w:rsidRPr="00D93719">
              <w:rPr>
                <w:rFonts w:ascii="Times Roman" w:eastAsia="Times New Roman" w:hAnsi="Times Roman"/>
                <w:bCs/>
                <w:color w:val="000000"/>
                <w:sz w:val="18"/>
                <w:szCs w:val="18"/>
              </w:rPr>
              <w:t>2012</w:t>
            </w:r>
            <w:r>
              <w:rPr>
                <w:rFonts w:ascii="Times Roman" w:eastAsia="Times New Roman" w:hAnsi="Times Roman"/>
                <w:bCs/>
                <w:color w:val="000000"/>
                <w:sz w:val="18"/>
                <w:szCs w:val="18"/>
                <w:vertAlign w:val="superscript"/>
              </w:rPr>
              <w:t>4</w:t>
            </w:r>
          </w:p>
        </w:tc>
        <w:tc>
          <w:tcPr>
            <w:tcW w:w="275" w:type="pct"/>
            <w:tcBorders>
              <w:top w:val="single" w:sz="4" w:space="0" w:color="auto"/>
              <w:bottom w:val="single" w:sz="4" w:space="0" w:color="auto"/>
            </w:tcBorders>
            <w:noWrap/>
            <w:vAlign w:val="bottom"/>
            <w:hideMark/>
          </w:tcPr>
          <w:p w14:paraId="6AF5216F" w14:textId="77777777" w:rsidR="005F400D" w:rsidRPr="00D93719" w:rsidRDefault="005F400D" w:rsidP="008C4FE7">
            <w:pPr>
              <w:spacing w:after="0"/>
              <w:jc w:val="right"/>
              <w:rPr>
                <w:rFonts w:ascii="Times Roman" w:eastAsia="Times New Roman" w:hAnsi="Times Roman"/>
                <w:bCs/>
                <w:color w:val="000000"/>
                <w:sz w:val="18"/>
                <w:szCs w:val="18"/>
              </w:rPr>
            </w:pPr>
            <w:r w:rsidRPr="00D93719">
              <w:rPr>
                <w:rFonts w:ascii="Times Roman" w:eastAsia="Times New Roman" w:hAnsi="Times Roman"/>
                <w:bCs/>
                <w:color w:val="000000"/>
                <w:sz w:val="18"/>
                <w:szCs w:val="18"/>
              </w:rPr>
              <w:t>2013</w:t>
            </w:r>
          </w:p>
        </w:tc>
        <w:tc>
          <w:tcPr>
            <w:tcW w:w="275" w:type="pct"/>
            <w:tcBorders>
              <w:top w:val="single" w:sz="4" w:space="0" w:color="auto"/>
              <w:bottom w:val="single" w:sz="4" w:space="0" w:color="auto"/>
            </w:tcBorders>
            <w:noWrap/>
            <w:vAlign w:val="bottom"/>
            <w:hideMark/>
          </w:tcPr>
          <w:p w14:paraId="59107DA8" w14:textId="77777777" w:rsidR="005F400D" w:rsidRPr="00D93719" w:rsidRDefault="005F400D" w:rsidP="008C4FE7">
            <w:pPr>
              <w:spacing w:after="0"/>
              <w:jc w:val="right"/>
              <w:rPr>
                <w:rFonts w:ascii="Times Roman" w:eastAsia="Times New Roman" w:hAnsi="Times Roman"/>
                <w:bCs/>
                <w:color w:val="000000"/>
                <w:sz w:val="18"/>
                <w:szCs w:val="18"/>
              </w:rPr>
            </w:pPr>
            <w:r w:rsidRPr="00D93719">
              <w:rPr>
                <w:rFonts w:ascii="Times Roman" w:eastAsia="Times New Roman" w:hAnsi="Times Roman"/>
                <w:bCs/>
                <w:color w:val="000000"/>
                <w:sz w:val="18"/>
                <w:szCs w:val="18"/>
              </w:rPr>
              <w:t>2014</w:t>
            </w:r>
          </w:p>
        </w:tc>
        <w:tc>
          <w:tcPr>
            <w:tcW w:w="382" w:type="pct"/>
            <w:tcBorders>
              <w:top w:val="single" w:sz="4" w:space="0" w:color="auto"/>
              <w:bottom w:val="single" w:sz="4" w:space="0" w:color="auto"/>
            </w:tcBorders>
            <w:noWrap/>
            <w:vAlign w:val="bottom"/>
            <w:hideMark/>
          </w:tcPr>
          <w:p w14:paraId="68B18A3E" w14:textId="77777777" w:rsidR="005F400D" w:rsidRPr="00D93719" w:rsidRDefault="005F400D" w:rsidP="008C4FE7">
            <w:pPr>
              <w:spacing w:after="0"/>
              <w:jc w:val="center"/>
              <w:rPr>
                <w:rFonts w:ascii="Times Roman" w:eastAsia="Times New Roman" w:hAnsi="Times Roman"/>
                <w:bCs/>
                <w:color w:val="000000"/>
                <w:sz w:val="18"/>
                <w:szCs w:val="18"/>
              </w:rPr>
            </w:pPr>
            <w:r w:rsidRPr="00D93719">
              <w:rPr>
                <w:rFonts w:ascii="Times Roman" w:eastAsia="Times New Roman" w:hAnsi="Times Roman"/>
                <w:bCs/>
                <w:color w:val="000000"/>
                <w:sz w:val="18"/>
                <w:szCs w:val="18"/>
              </w:rPr>
              <w:t>2014</w:t>
            </w:r>
          </w:p>
        </w:tc>
        <w:tc>
          <w:tcPr>
            <w:tcW w:w="357" w:type="pct"/>
            <w:tcBorders>
              <w:top w:val="single" w:sz="4" w:space="0" w:color="auto"/>
              <w:bottom w:val="single" w:sz="4" w:space="0" w:color="auto"/>
            </w:tcBorders>
            <w:noWrap/>
            <w:vAlign w:val="bottom"/>
            <w:hideMark/>
          </w:tcPr>
          <w:p w14:paraId="7E116228" w14:textId="77777777" w:rsidR="005F400D" w:rsidRPr="00D93719" w:rsidRDefault="005F400D" w:rsidP="008C4FE7">
            <w:pPr>
              <w:spacing w:after="0"/>
              <w:jc w:val="center"/>
              <w:rPr>
                <w:rFonts w:ascii="Times Roman" w:eastAsia="Times New Roman" w:hAnsi="Times Roman"/>
                <w:bCs/>
                <w:color w:val="000000"/>
                <w:sz w:val="18"/>
                <w:szCs w:val="18"/>
              </w:rPr>
            </w:pPr>
            <w:r w:rsidRPr="00D93719">
              <w:rPr>
                <w:rFonts w:ascii="Times Roman" w:eastAsia="Times New Roman" w:hAnsi="Times Roman"/>
                <w:bCs/>
                <w:color w:val="000000"/>
                <w:sz w:val="18"/>
                <w:szCs w:val="18"/>
              </w:rPr>
              <w:t>2014</w:t>
            </w:r>
          </w:p>
        </w:tc>
        <w:tc>
          <w:tcPr>
            <w:tcW w:w="394" w:type="pct"/>
            <w:tcBorders>
              <w:top w:val="single" w:sz="4" w:space="0" w:color="auto"/>
              <w:bottom w:val="single" w:sz="4" w:space="0" w:color="auto"/>
            </w:tcBorders>
            <w:vAlign w:val="bottom"/>
          </w:tcPr>
          <w:p w14:paraId="7BEF9F79" w14:textId="77777777" w:rsidR="005F400D" w:rsidRPr="00C41C04" w:rsidRDefault="005F400D" w:rsidP="008C4FE7">
            <w:pPr>
              <w:spacing w:after="0" w:line="276" w:lineRule="auto"/>
              <w:jc w:val="center"/>
              <w:rPr>
                <w:rFonts w:ascii="Times Roman" w:eastAsia="Times New Roman" w:hAnsi="Times Roman"/>
                <w:bCs/>
                <w:color w:val="000000"/>
                <w:sz w:val="18"/>
                <w:szCs w:val="18"/>
              </w:rPr>
            </w:pPr>
            <w:r w:rsidRPr="00C41C04">
              <w:rPr>
                <w:rFonts w:ascii="Times Roman" w:eastAsia="Times New Roman" w:hAnsi="Times Roman"/>
                <w:bCs/>
                <w:color w:val="000000"/>
                <w:sz w:val="18"/>
                <w:szCs w:val="18"/>
              </w:rPr>
              <w:t>2014</w:t>
            </w:r>
          </w:p>
        </w:tc>
      </w:tr>
      <w:tr w:rsidR="005F400D" w:rsidRPr="00D93719" w14:paraId="74C86948" w14:textId="77777777" w:rsidTr="00C63676">
        <w:trPr>
          <w:trHeight w:val="204"/>
        </w:trPr>
        <w:tc>
          <w:tcPr>
            <w:tcW w:w="843" w:type="pct"/>
            <w:tcBorders>
              <w:top w:val="single" w:sz="4" w:space="0" w:color="auto"/>
            </w:tcBorders>
            <w:noWrap/>
            <w:vAlign w:val="bottom"/>
            <w:hideMark/>
          </w:tcPr>
          <w:p w14:paraId="6DBE5E96" w14:textId="77777777" w:rsidR="005F400D" w:rsidRPr="00D93719" w:rsidRDefault="005F400D" w:rsidP="008C4FE7">
            <w:pPr>
              <w:spacing w:after="0"/>
              <w:rPr>
                <w:rFonts w:ascii="Times Roman" w:hAnsi="Times Roman"/>
                <w:sz w:val="18"/>
                <w:szCs w:val="18"/>
              </w:rPr>
            </w:pPr>
            <w:r w:rsidRPr="00D93719">
              <w:rPr>
                <w:rFonts w:ascii="Times Roman" w:hAnsi="Times Roman"/>
                <w:sz w:val="18"/>
                <w:szCs w:val="18"/>
              </w:rPr>
              <w:t>Utdanning på grunnskolenivå</w:t>
            </w:r>
          </w:p>
        </w:tc>
        <w:tc>
          <w:tcPr>
            <w:tcW w:w="276" w:type="pct"/>
            <w:tcBorders>
              <w:top w:val="single" w:sz="4" w:space="0" w:color="auto"/>
            </w:tcBorders>
            <w:noWrap/>
            <w:vAlign w:val="bottom"/>
            <w:hideMark/>
          </w:tcPr>
          <w:p w14:paraId="3B3F9348"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90,8</w:t>
            </w:r>
          </w:p>
        </w:tc>
        <w:tc>
          <w:tcPr>
            <w:tcW w:w="276" w:type="pct"/>
            <w:tcBorders>
              <w:top w:val="single" w:sz="4" w:space="0" w:color="auto"/>
            </w:tcBorders>
            <w:noWrap/>
            <w:vAlign w:val="bottom"/>
            <w:hideMark/>
          </w:tcPr>
          <w:p w14:paraId="1102157D"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90,3</w:t>
            </w:r>
          </w:p>
        </w:tc>
        <w:tc>
          <w:tcPr>
            <w:tcW w:w="276" w:type="pct"/>
            <w:tcBorders>
              <w:top w:val="single" w:sz="4" w:space="0" w:color="auto"/>
            </w:tcBorders>
            <w:noWrap/>
            <w:vAlign w:val="bottom"/>
            <w:hideMark/>
          </w:tcPr>
          <w:p w14:paraId="17FF1835"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90,4</w:t>
            </w:r>
          </w:p>
        </w:tc>
        <w:tc>
          <w:tcPr>
            <w:tcW w:w="276" w:type="pct"/>
            <w:tcBorders>
              <w:top w:val="single" w:sz="4" w:space="0" w:color="auto"/>
              <w:right w:val="single" w:sz="4" w:space="0" w:color="auto"/>
            </w:tcBorders>
            <w:noWrap/>
            <w:vAlign w:val="bottom"/>
            <w:hideMark/>
          </w:tcPr>
          <w:p w14:paraId="30505AC8"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90,7</w:t>
            </w:r>
          </w:p>
        </w:tc>
        <w:tc>
          <w:tcPr>
            <w:tcW w:w="275" w:type="pct"/>
            <w:tcBorders>
              <w:top w:val="single" w:sz="4" w:space="0" w:color="auto"/>
              <w:left w:val="single" w:sz="4" w:space="0" w:color="auto"/>
            </w:tcBorders>
            <w:noWrap/>
            <w:vAlign w:val="bottom"/>
            <w:hideMark/>
          </w:tcPr>
          <w:p w14:paraId="15B786F9"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90,1</w:t>
            </w:r>
          </w:p>
        </w:tc>
        <w:tc>
          <w:tcPr>
            <w:tcW w:w="275" w:type="pct"/>
            <w:tcBorders>
              <w:top w:val="single" w:sz="4" w:space="0" w:color="auto"/>
            </w:tcBorders>
            <w:noWrap/>
            <w:vAlign w:val="bottom"/>
            <w:hideMark/>
          </w:tcPr>
          <w:p w14:paraId="3CC1A98B"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89,7</w:t>
            </w:r>
          </w:p>
        </w:tc>
        <w:tc>
          <w:tcPr>
            <w:tcW w:w="275" w:type="pct"/>
            <w:tcBorders>
              <w:top w:val="single" w:sz="4" w:space="0" w:color="auto"/>
            </w:tcBorders>
            <w:noWrap/>
            <w:vAlign w:val="bottom"/>
            <w:hideMark/>
          </w:tcPr>
          <w:p w14:paraId="6C91FDFA"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90,6</w:t>
            </w:r>
          </w:p>
        </w:tc>
        <w:tc>
          <w:tcPr>
            <w:tcW w:w="275" w:type="pct"/>
            <w:tcBorders>
              <w:top w:val="single" w:sz="4" w:space="0" w:color="auto"/>
            </w:tcBorders>
            <w:noWrap/>
            <w:vAlign w:val="bottom"/>
            <w:hideMark/>
          </w:tcPr>
          <w:p w14:paraId="37C960C6"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90,9</w:t>
            </w:r>
          </w:p>
        </w:tc>
        <w:tc>
          <w:tcPr>
            <w:tcW w:w="275" w:type="pct"/>
            <w:tcBorders>
              <w:top w:val="single" w:sz="4" w:space="0" w:color="auto"/>
            </w:tcBorders>
            <w:noWrap/>
            <w:vAlign w:val="bottom"/>
            <w:hideMark/>
          </w:tcPr>
          <w:p w14:paraId="439256A2"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90,9</w:t>
            </w:r>
          </w:p>
        </w:tc>
        <w:tc>
          <w:tcPr>
            <w:tcW w:w="275" w:type="pct"/>
            <w:tcBorders>
              <w:top w:val="single" w:sz="4" w:space="0" w:color="auto"/>
            </w:tcBorders>
            <w:noWrap/>
            <w:vAlign w:val="bottom"/>
            <w:hideMark/>
          </w:tcPr>
          <w:p w14:paraId="6012625C"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90,9</w:t>
            </w:r>
          </w:p>
        </w:tc>
        <w:tc>
          <w:tcPr>
            <w:tcW w:w="275" w:type="pct"/>
            <w:tcBorders>
              <w:top w:val="single" w:sz="4" w:space="0" w:color="auto"/>
            </w:tcBorders>
            <w:noWrap/>
            <w:vAlign w:val="bottom"/>
            <w:hideMark/>
          </w:tcPr>
          <w:p w14:paraId="3C5457A3"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90,8</w:t>
            </w:r>
          </w:p>
        </w:tc>
        <w:tc>
          <w:tcPr>
            <w:tcW w:w="382" w:type="pct"/>
            <w:tcBorders>
              <w:top w:val="single" w:sz="4" w:space="0" w:color="auto"/>
            </w:tcBorders>
            <w:noWrap/>
            <w:vAlign w:val="bottom"/>
            <w:hideMark/>
          </w:tcPr>
          <w:p w14:paraId="0AB2D77E" w14:textId="77777777" w:rsidR="005F400D" w:rsidRPr="00D93719" w:rsidRDefault="005F400D" w:rsidP="008C4FE7">
            <w:pPr>
              <w:spacing w:after="0"/>
              <w:jc w:val="center"/>
              <w:rPr>
                <w:rFonts w:ascii="Times Roman" w:eastAsia="Times New Roman" w:hAnsi="Times Roman"/>
                <w:color w:val="000000"/>
                <w:sz w:val="18"/>
                <w:szCs w:val="18"/>
              </w:rPr>
            </w:pPr>
            <w:r w:rsidRPr="00D93719">
              <w:rPr>
                <w:rFonts w:ascii="Times Roman" w:eastAsia="Times New Roman" w:hAnsi="Times Roman"/>
                <w:color w:val="000000"/>
                <w:sz w:val="18"/>
                <w:szCs w:val="18"/>
              </w:rPr>
              <w:t>418 800</w:t>
            </w:r>
          </w:p>
        </w:tc>
        <w:tc>
          <w:tcPr>
            <w:tcW w:w="357" w:type="pct"/>
            <w:tcBorders>
              <w:top w:val="single" w:sz="4" w:space="0" w:color="auto"/>
            </w:tcBorders>
            <w:noWrap/>
            <w:vAlign w:val="bottom"/>
            <w:hideMark/>
          </w:tcPr>
          <w:p w14:paraId="0A01B6FF" w14:textId="77777777" w:rsidR="005F400D" w:rsidRPr="00D93719" w:rsidRDefault="005F400D" w:rsidP="008C4FE7">
            <w:pPr>
              <w:spacing w:after="0"/>
              <w:jc w:val="center"/>
              <w:rPr>
                <w:rFonts w:ascii="Times Roman" w:eastAsia="Times New Roman" w:hAnsi="Times Roman"/>
                <w:color w:val="000000"/>
                <w:sz w:val="18"/>
                <w:szCs w:val="18"/>
              </w:rPr>
            </w:pPr>
            <w:r w:rsidRPr="00D93719">
              <w:rPr>
                <w:rFonts w:ascii="Times Roman" w:eastAsia="Times New Roman" w:hAnsi="Times Roman"/>
                <w:color w:val="000000"/>
                <w:sz w:val="18"/>
                <w:szCs w:val="18"/>
              </w:rPr>
              <w:t>380 400</w:t>
            </w:r>
          </w:p>
        </w:tc>
        <w:tc>
          <w:tcPr>
            <w:tcW w:w="394" w:type="pct"/>
            <w:tcBorders>
              <w:top w:val="single" w:sz="4" w:space="0" w:color="auto"/>
            </w:tcBorders>
            <w:vAlign w:val="bottom"/>
          </w:tcPr>
          <w:p w14:paraId="7ED60D47" w14:textId="77777777" w:rsidR="005F400D" w:rsidRPr="00C41C04" w:rsidRDefault="005F400D" w:rsidP="008C4FE7">
            <w:pPr>
              <w:spacing w:after="0"/>
              <w:jc w:val="center"/>
              <w:rPr>
                <w:rFonts w:ascii="Times New Roman" w:hAnsi="Times New Roman"/>
                <w:sz w:val="18"/>
                <w:szCs w:val="18"/>
              </w:rPr>
            </w:pPr>
            <w:r w:rsidRPr="00C41C04">
              <w:rPr>
                <w:rFonts w:ascii="Times New Roman" w:hAnsi="Times New Roman"/>
                <w:sz w:val="18"/>
                <w:szCs w:val="18"/>
              </w:rPr>
              <w:t>30</w:t>
            </w:r>
          </w:p>
        </w:tc>
      </w:tr>
      <w:tr w:rsidR="005F400D" w:rsidRPr="00D93719" w14:paraId="1FC29753" w14:textId="77777777" w:rsidTr="00C63676">
        <w:trPr>
          <w:trHeight w:val="204"/>
        </w:trPr>
        <w:tc>
          <w:tcPr>
            <w:tcW w:w="843" w:type="pct"/>
            <w:noWrap/>
            <w:vAlign w:val="bottom"/>
            <w:hideMark/>
          </w:tcPr>
          <w:p w14:paraId="477BDF2D" w14:textId="77777777" w:rsidR="005F400D" w:rsidRPr="00D93719" w:rsidRDefault="005F400D" w:rsidP="008C4FE7">
            <w:pPr>
              <w:spacing w:after="0"/>
              <w:outlineLvl w:val="5"/>
              <w:rPr>
                <w:rFonts w:ascii="Times Roman" w:hAnsi="Times Roman"/>
                <w:sz w:val="18"/>
                <w:szCs w:val="18"/>
              </w:rPr>
            </w:pPr>
            <w:r w:rsidRPr="00D93719">
              <w:rPr>
                <w:rFonts w:ascii="Times Roman" w:hAnsi="Times Roman"/>
                <w:sz w:val="18"/>
                <w:szCs w:val="18"/>
              </w:rPr>
              <w:t>Utdanning på videregående skolenivå</w:t>
            </w:r>
          </w:p>
        </w:tc>
        <w:tc>
          <w:tcPr>
            <w:tcW w:w="276" w:type="pct"/>
            <w:noWrap/>
            <w:vAlign w:val="bottom"/>
            <w:hideMark/>
          </w:tcPr>
          <w:p w14:paraId="762D8A1A"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85,6</w:t>
            </w:r>
          </w:p>
        </w:tc>
        <w:tc>
          <w:tcPr>
            <w:tcW w:w="276" w:type="pct"/>
            <w:noWrap/>
            <w:vAlign w:val="bottom"/>
            <w:hideMark/>
          </w:tcPr>
          <w:p w14:paraId="4C17EF98"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85,2</w:t>
            </w:r>
          </w:p>
        </w:tc>
        <w:tc>
          <w:tcPr>
            <w:tcW w:w="276" w:type="pct"/>
            <w:noWrap/>
            <w:vAlign w:val="bottom"/>
            <w:hideMark/>
          </w:tcPr>
          <w:p w14:paraId="4D4F86A4"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84,1</w:t>
            </w:r>
          </w:p>
        </w:tc>
        <w:tc>
          <w:tcPr>
            <w:tcW w:w="276" w:type="pct"/>
            <w:tcBorders>
              <w:right w:val="single" w:sz="4" w:space="0" w:color="auto"/>
            </w:tcBorders>
            <w:noWrap/>
            <w:vAlign w:val="bottom"/>
            <w:hideMark/>
          </w:tcPr>
          <w:p w14:paraId="7EED150B"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84,3</w:t>
            </w:r>
          </w:p>
        </w:tc>
        <w:tc>
          <w:tcPr>
            <w:tcW w:w="275" w:type="pct"/>
            <w:tcBorders>
              <w:left w:val="single" w:sz="4" w:space="0" w:color="auto"/>
            </w:tcBorders>
            <w:noWrap/>
            <w:vAlign w:val="bottom"/>
            <w:hideMark/>
          </w:tcPr>
          <w:p w14:paraId="684D5489"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83,1</w:t>
            </w:r>
          </w:p>
        </w:tc>
        <w:tc>
          <w:tcPr>
            <w:tcW w:w="275" w:type="pct"/>
            <w:noWrap/>
            <w:vAlign w:val="bottom"/>
            <w:hideMark/>
          </w:tcPr>
          <w:p w14:paraId="79B0EA40"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83,1</w:t>
            </w:r>
          </w:p>
        </w:tc>
        <w:tc>
          <w:tcPr>
            <w:tcW w:w="275" w:type="pct"/>
            <w:noWrap/>
            <w:vAlign w:val="bottom"/>
            <w:hideMark/>
          </w:tcPr>
          <w:p w14:paraId="13179B54"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83,6</w:t>
            </w:r>
          </w:p>
        </w:tc>
        <w:tc>
          <w:tcPr>
            <w:tcW w:w="275" w:type="pct"/>
            <w:noWrap/>
            <w:vAlign w:val="bottom"/>
            <w:hideMark/>
          </w:tcPr>
          <w:p w14:paraId="0BAEA595"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83,8</w:t>
            </w:r>
          </w:p>
        </w:tc>
        <w:tc>
          <w:tcPr>
            <w:tcW w:w="275" w:type="pct"/>
            <w:noWrap/>
            <w:vAlign w:val="bottom"/>
            <w:hideMark/>
          </w:tcPr>
          <w:p w14:paraId="46130438"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84,7</w:t>
            </w:r>
          </w:p>
        </w:tc>
        <w:tc>
          <w:tcPr>
            <w:tcW w:w="275" w:type="pct"/>
            <w:noWrap/>
            <w:vAlign w:val="bottom"/>
            <w:hideMark/>
          </w:tcPr>
          <w:p w14:paraId="6295AFEF"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84,1</w:t>
            </w:r>
          </w:p>
        </w:tc>
        <w:tc>
          <w:tcPr>
            <w:tcW w:w="275" w:type="pct"/>
            <w:noWrap/>
            <w:vAlign w:val="bottom"/>
            <w:hideMark/>
          </w:tcPr>
          <w:p w14:paraId="238B4AA1"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83,9</w:t>
            </w:r>
          </w:p>
        </w:tc>
        <w:tc>
          <w:tcPr>
            <w:tcW w:w="382" w:type="pct"/>
            <w:noWrap/>
            <w:vAlign w:val="bottom"/>
            <w:hideMark/>
          </w:tcPr>
          <w:p w14:paraId="31BABE0F" w14:textId="77777777" w:rsidR="005F400D" w:rsidRPr="00D93719" w:rsidRDefault="005F400D" w:rsidP="008C4FE7">
            <w:pPr>
              <w:spacing w:after="0"/>
              <w:jc w:val="center"/>
              <w:rPr>
                <w:rFonts w:ascii="Times Roman" w:eastAsia="Times New Roman" w:hAnsi="Times Roman"/>
                <w:color w:val="000000"/>
                <w:sz w:val="18"/>
                <w:szCs w:val="18"/>
              </w:rPr>
            </w:pPr>
            <w:r w:rsidRPr="00D93719">
              <w:rPr>
                <w:rFonts w:ascii="Times Roman" w:eastAsia="Times New Roman" w:hAnsi="Times Roman"/>
                <w:color w:val="000000"/>
                <w:sz w:val="18"/>
                <w:szCs w:val="18"/>
              </w:rPr>
              <w:t>522 000</w:t>
            </w:r>
          </w:p>
        </w:tc>
        <w:tc>
          <w:tcPr>
            <w:tcW w:w="357" w:type="pct"/>
            <w:noWrap/>
            <w:vAlign w:val="bottom"/>
            <w:hideMark/>
          </w:tcPr>
          <w:p w14:paraId="641A086F" w14:textId="77777777" w:rsidR="005F400D" w:rsidRPr="00D93719" w:rsidRDefault="005F400D" w:rsidP="008C4FE7">
            <w:pPr>
              <w:spacing w:after="0"/>
              <w:jc w:val="center"/>
              <w:rPr>
                <w:rFonts w:ascii="Times Roman" w:eastAsia="Times New Roman" w:hAnsi="Times Roman"/>
                <w:color w:val="000000"/>
                <w:sz w:val="18"/>
                <w:szCs w:val="18"/>
              </w:rPr>
            </w:pPr>
            <w:r w:rsidRPr="00D93719">
              <w:rPr>
                <w:rFonts w:ascii="Times Roman" w:eastAsia="Times New Roman" w:hAnsi="Times Roman"/>
                <w:color w:val="000000"/>
                <w:sz w:val="18"/>
                <w:szCs w:val="18"/>
              </w:rPr>
              <w:t>438 000</w:t>
            </w:r>
          </w:p>
        </w:tc>
        <w:tc>
          <w:tcPr>
            <w:tcW w:w="394" w:type="pct"/>
            <w:vAlign w:val="bottom"/>
          </w:tcPr>
          <w:p w14:paraId="55C272FF" w14:textId="77777777" w:rsidR="005F400D" w:rsidRPr="00C41C04" w:rsidRDefault="005F400D" w:rsidP="008C4FE7">
            <w:pPr>
              <w:spacing w:after="0"/>
              <w:jc w:val="center"/>
              <w:rPr>
                <w:rFonts w:ascii="Times New Roman" w:hAnsi="Times New Roman"/>
                <w:sz w:val="18"/>
                <w:szCs w:val="18"/>
              </w:rPr>
            </w:pPr>
            <w:r w:rsidRPr="00C41C04">
              <w:rPr>
                <w:rFonts w:ascii="Times New Roman" w:hAnsi="Times New Roman"/>
                <w:sz w:val="18"/>
                <w:szCs w:val="18"/>
              </w:rPr>
              <w:t>30</w:t>
            </w:r>
          </w:p>
        </w:tc>
      </w:tr>
      <w:tr w:rsidR="005F400D" w:rsidRPr="00D93719" w14:paraId="6B01E341" w14:textId="77777777" w:rsidTr="00C63676">
        <w:trPr>
          <w:trHeight w:val="204"/>
        </w:trPr>
        <w:tc>
          <w:tcPr>
            <w:tcW w:w="843" w:type="pct"/>
            <w:tcBorders>
              <w:bottom w:val="nil"/>
            </w:tcBorders>
            <w:noWrap/>
            <w:vAlign w:val="bottom"/>
            <w:hideMark/>
          </w:tcPr>
          <w:p w14:paraId="07341A35" w14:textId="77777777" w:rsidR="005F400D" w:rsidRPr="00D93719" w:rsidRDefault="005F400D" w:rsidP="008C4FE7">
            <w:pPr>
              <w:spacing w:after="0"/>
              <w:outlineLvl w:val="5"/>
              <w:rPr>
                <w:rFonts w:ascii="Times Roman" w:hAnsi="Times Roman"/>
                <w:sz w:val="18"/>
                <w:szCs w:val="18"/>
              </w:rPr>
            </w:pPr>
            <w:r w:rsidRPr="00D93719">
              <w:rPr>
                <w:rFonts w:ascii="Times Roman" w:hAnsi="Times Roman"/>
                <w:sz w:val="18"/>
                <w:szCs w:val="18"/>
              </w:rPr>
              <w:t>Universitets- eller høgskoleutdanning, tom 4 år</w:t>
            </w:r>
          </w:p>
        </w:tc>
        <w:tc>
          <w:tcPr>
            <w:tcW w:w="276" w:type="pct"/>
            <w:tcBorders>
              <w:bottom w:val="nil"/>
            </w:tcBorders>
            <w:noWrap/>
            <w:vAlign w:val="bottom"/>
            <w:hideMark/>
          </w:tcPr>
          <w:p w14:paraId="74DE0891"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80,7</w:t>
            </w:r>
          </w:p>
        </w:tc>
        <w:tc>
          <w:tcPr>
            <w:tcW w:w="276" w:type="pct"/>
            <w:tcBorders>
              <w:bottom w:val="nil"/>
            </w:tcBorders>
            <w:noWrap/>
            <w:vAlign w:val="bottom"/>
            <w:hideMark/>
          </w:tcPr>
          <w:p w14:paraId="04FB8E0D"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79,9</w:t>
            </w:r>
          </w:p>
        </w:tc>
        <w:tc>
          <w:tcPr>
            <w:tcW w:w="276" w:type="pct"/>
            <w:tcBorders>
              <w:bottom w:val="nil"/>
            </w:tcBorders>
            <w:noWrap/>
            <w:vAlign w:val="bottom"/>
            <w:hideMark/>
          </w:tcPr>
          <w:p w14:paraId="41854770"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79,5</w:t>
            </w:r>
          </w:p>
        </w:tc>
        <w:tc>
          <w:tcPr>
            <w:tcW w:w="276" w:type="pct"/>
            <w:tcBorders>
              <w:bottom w:val="nil"/>
              <w:right w:val="single" w:sz="4" w:space="0" w:color="auto"/>
            </w:tcBorders>
            <w:noWrap/>
            <w:vAlign w:val="bottom"/>
            <w:hideMark/>
          </w:tcPr>
          <w:p w14:paraId="31126ECD"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79,1</w:t>
            </w:r>
          </w:p>
        </w:tc>
        <w:tc>
          <w:tcPr>
            <w:tcW w:w="275" w:type="pct"/>
            <w:tcBorders>
              <w:left w:val="single" w:sz="4" w:space="0" w:color="auto"/>
              <w:bottom w:val="nil"/>
            </w:tcBorders>
            <w:noWrap/>
            <w:vAlign w:val="bottom"/>
            <w:hideMark/>
          </w:tcPr>
          <w:p w14:paraId="2B318385"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78,7</w:t>
            </w:r>
          </w:p>
        </w:tc>
        <w:tc>
          <w:tcPr>
            <w:tcW w:w="275" w:type="pct"/>
            <w:tcBorders>
              <w:bottom w:val="nil"/>
            </w:tcBorders>
            <w:noWrap/>
            <w:vAlign w:val="bottom"/>
            <w:hideMark/>
          </w:tcPr>
          <w:p w14:paraId="258F3F03"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79,5</w:t>
            </w:r>
          </w:p>
        </w:tc>
        <w:tc>
          <w:tcPr>
            <w:tcW w:w="275" w:type="pct"/>
            <w:tcBorders>
              <w:bottom w:val="nil"/>
            </w:tcBorders>
            <w:noWrap/>
            <w:vAlign w:val="bottom"/>
            <w:hideMark/>
          </w:tcPr>
          <w:p w14:paraId="03712AB0"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79,8</w:t>
            </w:r>
          </w:p>
        </w:tc>
        <w:tc>
          <w:tcPr>
            <w:tcW w:w="275" w:type="pct"/>
            <w:tcBorders>
              <w:bottom w:val="nil"/>
            </w:tcBorders>
            <w:noWrap/>
            <w:vAlign w:val="bottom"/>
            <w:hideMark/>
          </w:tcPr>
          <w:p w14:paraId="277F5830"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79,6</w:t>
            </w:r>
          </w:p>
        </w:tc>
        <w:tc>
          <w:tcPr>
            <w:tcW w:w="275" w:type="pct"/>
            <w:tcBorders>
              <w:bottom w:val="nil"/>
            </w:tcBorders>
            <w:noWrap/>
            <w:vAlign w:val="bottom"/>
            <w:hideMark/>
          </w:tcPr>
          <w:p w14:paraId="5B66F065"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80,5</w:t>
            </w:r>
          </w:p>
        </w:tc>
        <w:tc>
          <w:tcPr>
            <w:tcW w:w="275" w:type="pct"/>
            <w:tcBorders>
              <w:bottom w:val="nil"/>
            </w:tcBorders>
            <w:noWrap/>
            <w:vAlign w:val="bottom"/>
            <w:hideMark/>
          </w:tcPr>
          <w:p w14:paraId="17212D0F"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80,0</w:t>
            </w:r>
          </w:p>
        </w:tc>
        <w:tc>
          <w:tcPr>
            <w:tcW w:w="275" w:type="pct"/>
            <w:tcBorders>
              <w:bottom w:val="nil"/>
            </w:tcBorders>
            <w:noWrap/>
            <w:vAlign w:val="bottom"/>
            <w:hideMark/>
          </w:tcPr>
          <w:p w14:paraId="6ECA4E2C"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80,4</w:t>
            </w:r>
          </w:p>
        </w:tc>
        <w:tc>
          <w:tcPr>
            <w:tcW w:w="382" w:type="pct"/>
            <w:tcBorders>
              <w:bottom w:val="nil"/>
            </w:tcBorders>
            <w:noWrap/>
            <w:vAlign w:val="bottom"/>
            <w:hideMark/>
          </w:tcPr>
          <w:p w14:paraId="6225D0E3" w14:textId="77777777" w:rsidR="005F400D" w:rsidRPr="00D93719" w:rsidRDefault="005F400D" w:rsidP="008C4FE7">
            <w:pPr>
              <w:spacing w:after="0"/>
              <w:jc w:val="center"/>
              <w:rPr>
                <w:rFonts w:ascii="Times Roman" w:eastAsia="Times New Roman" w:hAnsi="Times Roman"/>
                <w:color w:val="000000"/>
                <w:sz w:val="18"/>
                <w:szCs w:val="18"/>
              </w:rPr>
            </w:pPr>
            <w:r w:rsidRPr="00D93719">
              <w:rPr>
                <w:rFonts w:ascii="Times Roman" w:eastAsia="Times New Roman" w:hAnsi="Times Roman"/>
                <w:color w:val="000000"/>
                <w:sz w:val="18"/>
                <w:szCs w:val="18"/>
              </w:rPr>
              <w:t>642 000</w:t>
            </w:r>
          </w:p>
        </w:tc>
        <w:tc>
          <w:tcPr>
            <w:tcW w:w="357" w:type="pct"/>
            <w:tcBorders>
              <w:bottom w:val="nil"/>
            </w:tcBorders>
            <w:noWrap/>
            <w:vAlign w:val="bottom"/>
            <w:hideMark/>
          </w:tcPr>
          <w:p w14:paraId="5FCB8BAD" w14:textId="77777777" w:rsidR="005F400D" w:rsidRPr="00D93719" w:rsidRDefault="005F400D" w:rsidP="008C4FE7">
            <w:pPr>
              <w:spacing w:after="0"/>
              <w:jc w:val="center"/>
              <w:rPr>
                <w:rFonts w:ascii="Times Roman" w:eastAsia="Times New Roman" w:hAnsi="Times Roman"/>
                <w:color w:val="000000"/>
                <w:sz w:val="18"/>
                <w:szCs w:val="18"/>
              </w:rPr>
            </w:pPr>
            <w:r w:rsidRPr="00D93719">
              <w:rPr>
                <w:rFonts w:ascii="Times Roman" w:eastAsia="Times New Roman" w:hAnsi="Times Roman"/>
                <w:color w:val="000000"/>
                <w:sz w:val="18"/>
                <w:szCs w:val="18"/>
              </w:rPr>
              <w:t>516 000</w:t>
            </w:r>
          </w:p>
        </w:tc>
        <w:tc>
          <w:tcPr>
            <w:tcW w:w="394" w:type="pct"/>
            <w:tcBorders>
              <w:bottom w:val="nil"/>
            </w:tcBorders>
            <w:vAlign w:val="bottom"/>
          </w:tcPr>
          <w:p w14:paraId="1EBA4550" w14:textId="77777777" w:rsidR="005F400D" w:rsidRPr="00C41C04" w:rsidRDefault="005F400D" w:rsidP="008C4FE7">
            <w:pPr>
              <w:spacing w:after="0"/>
              <w:jc w:val="center"/>
              <w:rPr>
                <w:rFonts w:ascii="Times New Roman" w:hAnsi="Times New Roman"/>
                <w:sz w:val="18"/>
                <w:szCs w:val="18"/>
              </w:rPr>
            </w:pPr>
            <w:r w:rsidRPr="00C41C04">
              <w:rPr>
                <w:rFonts w:ascii="Times New Roman" w:hAnsi="Times New Roman"/>
                <w:sz w:val="18"/>
                <w:szCs w:val="18"/>
              </w:rPr>
              <w:t>53</w:t>
            </w:r>
          </w:p>
        </w:tc>
      </w:tr>
      <w:tr w:rsidR="005F400D" w:rsidRPr="00D93719" w14:paraId="4EF0887F" w14:textId="77777777" w:rsidTr="00C63676">
        <w:trPr>
          <w:trHeight w:val="204"/>
        </w:trPr>
        <w:tc>
          <w:tcPr>
            <w:tcW w:w="843" w:type="pct"/>
            <w:tcBorders>
              <w:bottom w:val="single" w:sz="4" w:space="0" w:color="auto"/>
            </w:tcBorders>
            <w:noWrap/>
            <w:vAlign w:val="bottom"/>
            <w:hideMark/>
          </w:tcPr>
          <w:p w14:paraId="4278229C" w14:textId="77777777" w:rsidR="005F400D" w:rsidRPr="00D93719" w:rsidRDefault="005F400D" w:rsidP="008C4FE7">
            <w:pPr>
              <w:spacing w:after="0"/>
              <w:outlineLvl w:val="5"/>
              <w:rPr>
                <w:rFonts w:ascii="Times Roman" w:hAnsi="Times Roman"/>
                <w:sz w:val="18"/>
                <w:szCs w:val="18"/>
              </w:rPr>
            </w:pPr>
            <w:r w:rsidRPr="00D93719">
              <w:rPr>
                <w:rFonts w:ascii="Times Roman" w:hAnsi="Times Roman"/>
                <w:sz w:val="18"/>
                <w:szCs w:val="18"/>
              </w:rPr>
              <w:t>Universitets- eller høgskoleutdanning lengre enn 4 år</w:t>
            </w:r>
          </w:p>
        </w:tc>
        <w:tc>
          <w:tcPr>
            <w:tcW w:w="276" w:type="pct"/>
            <w:tcBorders>
              <w:bottom w:val="single" w:sz="4" w:space="0" w:color="auto"/>
            </w:tcBorders>
            <w:noWrap/>
            <w:vAlign w:val="bottom"/>
            <w:hideMark/>
          </w:tcPr>
          <w:p w14:paraId="15D48707"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82,9</w:t>
            </w:r>
          </w:p>
        </w:tc>
        <w:tc>
          <w:tcPr>
            <w:tcW w:w="276" w:type="pct"/>
            <w:tcBorders>
              <w:bottom w:val="single" w:sz="4" w:space="0" w:color="auto"/>
            </w:tcBorders>
            <w:noWrap/>
            <w:vAlign w:val="bottom"/>
            <w:hideMark/>
          </w:tcPr>
          <w:p w14:paraId="154CCE8B"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82,5</w:t>
            </w:r>
          </w:p>
        </w:tc>
        <w:tc>
          <w:tcPr>
            <w:tcW w:w="276" w:type="pct"/>
            <w:tcBorders>
              <w:bottom w:val="single" w:sz="4" w:space="0" w:color="auto"/>
            </w:tcBorders>
            <w:noWrap/>
            <w:vAlign w:val="bottom"/>
            <w:hideMark/>
          </w:tcPr>
          <w:p w14:paraId="3E9C6A69"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81,6</w:t>
            </w:r>
          </w:p>
        </w:tc>
        <w:tc>
          <w:tcPr>
            <w:tcW w:w="276" w:type="pct"/>
            <w:tcBorders>
              <w:bottom w:val="single" w:sz="4" w:space="0" w:color="auto"/>
              <w:right w:val="single" w:sz="4" w:space="0" w:color="auto"/>
            </w:tcBorders>
            <w:noWrap/>
            <w:vAlign w:val="bottom"/>
            <w:hideMark/>
          </w:tcPr>
          <w:p w14:paraId="11AB15AA"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80,9</w:t>
            </w:r>
          </w:p>
        </w:tc>
        <w:tc>
          <w:tcPr>
            <w:tcW w:w="275" w:type="pct"/>
            <w:tcBorders>
              <w:left w:val="single" w:sz="4" w:space="0" w:color="auto"/>
              <w:bottom w:val="single" w:sz="4" w:space="0" w:color="auto"/>
            </w:tcBorders>
            <w:noWrap/>
            <w:vAlign w:val="bottom"/>
            <w:hideMark/>
          </w:tcPr>
          <w:p w14:paraId="6B6AD43A"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80,8</w:t>
            </w:r>
          </w:p>
        </w:tc>
        <w:tc>
          <w:tcPr>
            <w:tcW w:w="275" w:type="pct"/>
            <w:tcBorders>
              <w:bottom w:val="single" w:sz="4" w:space="0" w:color="auto"/>
            </w:tcBorders>
            <w:noWrap/>
            <w:vAlign w:val="bottom"/>
            <w:hideMark/>
          </w:tcPr>
          <w:p w14:paraId="7C5C9B1F"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81,4</w:t>
            </w:r>
          </w:p>
        </w:tc>
        <w:tc>
          <w:tcPr>
            <w:tcW w:w="275" w:type="pct"/>
            <w:tcBorders>
              <w:bottom w:val="single" w:sz="4" w:space="0" w:color="auto"/>
            </w:tcBorders>
            <w:noWrap/>
            <w:vAlign w:val="bottom"/>
            <w:hideMark/>
          </w:tcPr>
          <w:p w14:paraId="07B7DD64"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81,8</w:t>
            </w:r>
          </w:p>
        </w:tc>
        <w:tc>
          <w:tcPr>
            <w:tcW w:w="275" w:type="pct"/>
            <w:tcBorders>
              <w:bottom w:val="single" w:sz="4" w:space="0" w:color="auto"/>
            </w:tcBorders>
            <w:noWrap/>
            <w:vAlign w:val="bottom"/>
            <w:hideMark/>
          </w:tcPr>
          <w:p w14:paraId="33B4F2D0"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81,4</w:t>
            </w:r>
          </w:p>
        </w:tc>
        <w:tc>
          <w:tcPr>
            <w:tcW w:w="275" w:type="pct"/>
            <w:tcBorders>
              <w:bottom w:val="single" w:sz="4" w:space="0" w:color="auto"/>
            </w:tcBorders>
            <w:noWrap/>
            <w:vAlign w:val="bottom"/>
            <w:hideMark/>
          </w:tcPr>
          <w:p w14:paraId="3FD3D2DB"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81,5</w:t>
            </w:r>
          </w:p>
        </w:tc>
        <w:tc>
          <w:tcPr>
            <w:tcW w:w="275" w:type="pct"/>
            <w:tcBorders>
              <w:bottom w:val="single" w:sz="4" w:space="0" w:color="auto"/>
            </w:tcBorders>
            <w:noWrap/>
            <w:vAlign w:val="bottom"/>
            <w:hideMark/>
          </w:tcPr>
          <w:p w14:paraId="3C4CE55D"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81,7</w:t>
            </w:r>
          </w:p>
        </w:tc>
        <w:tc>
          <w:tcPr>
            <w:tcW w:w="275" w:type="pct"/>
            <w:tcBorders>
              <w:bottom w:val="single" w:sz="4" w:space="0" w:color="auto"/>
            </w:tcBorders>
            <w:noWrap/>
            <w:vAlign w:val="bottom"/>
            <w:hideMark/>
          </w:tcPr>
          <w:p w14:paraId="6D07F766"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81,4</w:t>
            </w:r>
          </w:p>
        </w:tc>
        <w:tc>
          <w:tcPr>
            <w:tcW w:w="382" w:type="pct"/>
            <w:tcBorders>
              <w:bottom w:val="single" w:sz="4" w:space="0" w:color="auto"/>
            </w:tcBorders>
            <w:noWrap/>
            <w:vAlign w:val="bottom"/>
            <w:hideMark/>
          </w:tcPr>
          <w:p w14:paraId="65AB035B" w14:textId="77777777" w:rsidR="005F400D" w:rsidRPr="00D93719" w:rsidRDefault="005F400D" w:rsidP="008C4FE7">
            <w:pPr>
              <w:spacing w:after="0"/>
              <w:jc w:val="center"/>
              <w:rPr>
                <w:rFonts w:ascii="Times Roman" w:eastAsia="Times New Roman" w:hAnsi="Times Roman"/>
                <w:color w:val="000000"/>
                <w:sz w:val="18"/>
                <w:szCs w:val="18"/>
              </w:rPr>
            </w:pPr>
            <w:r w:rsidRPr="00D93719">
              <w:rPr>
                <w:rFonts w:ascii="Times Roman" w:eastAsia="Times New Roman" w:hAnsi="Times Roman"/>
                <w:color w:val="000000"/>
                <w:sz w:val="18"/>
                <w:szCs w:val="18"/>
              </w:rPr>
              <w:t>769 200</w:t>
            </w:r>
          </w:p>
        </w:tc>
        <w:tc>
          <w:tcPr>
            <w:tcW w:w="357" w:type="pct"/>
            <w:tcBorders>
              <w:bottom w:val="single" w:sz="4" w:space="0" w:color="auto"/>
            </w:tcBorders>
            <w:noWrap/>
            <w:vAlign w:val="bottom"/>
            <w:hideMark/>
          </w:tcPr>
          <w:p w14:paraId="6CACAB46" w14:textId="77777777" w:rsidR="005F400D" w:rsidRPr="00D93719" w:rsidRDefault="005F400D" w:rsidP="008C4FE7">
            <w:pPr>
              <w:spacing w:after="0"/>
              <w:jc w:val="center"/>
              <w:rPr>
                <w:rFonts w:ascii="Times Roman" w:eastAsia="Times New Roman" w:hAnsi="Times Roman"/>
                <w:color w:val="000000"/>
                <w:sz w:val="18"/>
                <w:szCs w:val="18"/>
              </w:rPr>
            </w:pPr>
            <w:r w:rsidRPr="00D93719">
              <w:rPr>
                <w:rFonts w:ascii="Times Roman" w:eastAsia="Times New Roman" w:hAnsi="Times Roman"/>
                <w:color w:val="000000"/>
                <w:sz w:val="18"/>
                <w:szCs w:val="18"/>
              </w:rPr>
              <w:t>626 400</w:t>
            </w:r>
          </w:p>
        </w:tc>
        <w:tc>
          <w:tcPr>
            <w:tcW w:w="394" w:type="pct"/>
            <w:tcBorders>
              <w:bottom w:val="single" w:sz="4" w:space="0" w:color="auto"/>
            </w:tcBorders>
            <w:vAlign w:val="bottom"/>
          </w:tcPr>
          <w:p w14:paraId="373387E1" w14:textId="77777777" w:rsidR="005F400D" w:rsidRPr="00C41C04" w:rsidRDefault="005F400D" w:rsidP="008C4FE7">
            <w:pPr>
              <w:spacing w:after="0"/>
              <w:jc w:val="center"/>
              <w:rPr>
                <w:rFonts w:ascii="Times New Roman" w:hAnsi="Times New Roman"/>
                <w:sz w:val="18"/>
                <w:szCs w:val="18"/>
              </w:rPr>
            </w:pPr>
            <w:r w:rsidRPr="00C41C04">
              <w:rPr>
                <w:rFonts w:ascii="Times New Roman" w:hAnsi="Times New Roman"/>
                <w:sz w:val="18"/>
                <w:szCs w:val="18"/>
              </w:rPr>
              <w:t>42</w:t>
            </w:r>
          </w:p>
        </w:tc>
      </w:tr>
      <w:tr w:rsidR="005F400D" w:rsidRPr="00D93719" w14:paraId="6B53C8C7" w14:textId="77777777" w:rsidTr="00C63676">
        <w:trPr>
          <w:trHeight w:val="372"/>
        </w:trPr>
        <w:tc>
          <w:tcPr>
            <w:tcW w:w="843" w:type="pct"/>
            <w:tcBorders>
              <w:top w:val="single" w:sz="4" w:space="0" w:color="auto"/>
            </w:tcBorders>
            <w:noWrap/>
            <w:vAlign w:val="bottom"/>
            <w:hideMark/>
          </w:tcPr>
          <w:p w14:paraId="7CB14E18" w14:textId="77777777" w:rsidR="005F400D" w:rsidRPr="00D93719" w:rsidRDefault="005F400D" w:rsidP="008C4FE7">
            <w:pPr>
              <w:spacing w:after="0"/>
              <w:outlineLvl w:val="5"/>
              <w:rPr>
                <w:rFonts w:ascii="Times Roman" w:hAnsi="Times Roman"/>
                <w:sz w:val="18"/>
                <w:szCs w:val="18"/>
              </w:rPr>
            </w:pPr>
            <w:r w:rsidRPr="00D93719">
              <w:rPr>
                <w:rFonts w:ascii="Times Roman" w:hAnsi="Times Roman"/>
                <w:sz w:val="18"/>
                <w:szCs w:val="18"/>
              </w:rPr>
              <w:t>Gjennomsnitt per heltidsansatt</w:t>
            </w:r>
            <w:r w:rsidRPr="00D93719">
              <w:rPr>
                <w:rFonts w:ascii="Times Roman" w:hAnsi="Times Roman"/>
                <w:sz w:val="18"/>
                <w:szCs w:val="18"/>
                <w:vertAlign w:val="superscript"/>
              </w:rPr>
              <w:t>2</w:t>
            </w:r>
            <w:r w:rsidRPr="00D93719">
              <w:rPr>
                <w:rFonts w:ascii="Times Roman" w:hAnsi="Times Roman"/>
                <w:sz w:val="18"/>
                <w:szCs w:val="18"/>
              </w:rPr>
              <w:t xml:space="preserve"> </w:t>
            </w:r>
          </w:p>
        </w:tc>
        <w:tc>
          <w:tcPr>
            <w:tcW w:w="276" w:type="pct"/>
            <w:tcBorders>
              <w:top w:val="single" w:sz="4" w:space="0" w:color="auto"/>
            </w:tcBorders>
            <w:noWrap/>
            <w:vAlign w:val="bottom"/>
            <w:hideMark/>
          </w:tcPr>
          <w:p w14:paraId="390DE661"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86,8</w:t>
            </w:r>
          </w:p>
        </w:tc>
        <w:tc>
          <w:tcPr>
            <w:tcW w:w="276" w:type="pct"/>
            <w:tcBorders>
              <w:top w:val="single" w:sz="4" w:space="0" w:color="auto"/>
            </w:tcBorders>
            <w:noWrap/>
            <w:vAlign w:val="bottom"/>
            <w:hideMark/>
          </w:tcPr>
          <w:p w14:paraId="654BF439"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86,8</w:t>
            </w:r>
          </w:p>
        </w:tc>
        <w:tc>
          <w:tcPr>
            <w:tcW w:w="276" w:type="pct"/>
            <w:tcBorders>
              <w:top w:val="single" w:sz="4" w:space="0" w:color="auto"/>
            </w:tcBorders>
            <w:noWrap/>
            <w:vAlign w:val="bottom"/>
            <w:hideMark/>
          </w:tcPr>
          <w:p w14:paraId="2DE51882"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86,5</w:t>
            </w:r>
          </w:p>
        </w:tc>
        <w:tc>
          <w:tcPr>
            <w:tcW w:w="276" w:type="pct"/>
            <w:tcBorders>
              <w:top w:val="single" w:sz="4" w:space="0" w:color="auto"/>
              <w:right w:val="single" w:sz="4" w:space="0" w:color="auto"/>
            </w:tcBorders>
            <w:noWrap/>
            <w:vAlign w:val="bottom"/>
            <w:hideMark/>
          </w:tcPr>
          <w:p w14:paraId="48E9F8FC"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87,1</w:t>
            </w:r>
          </w:p>
        </w:tc>
        <w:tc>
          <w:tcPr>
            <w:tcW w:w="275" w:type="pct"/>
            <w:tcBorders>
              <w:top w:val="single" w:sz="4" w:space="0" w:color="auto"/>
              <w:left w:val="single" w:sz="4" w:space="0" w:color="auto"/>
              <w:bottom w:val="single" w:sz="4" w:space="0" w:color="auto"/>
            </w:tcBorders>
            <w:noWrap/>
            <w:vAlign w:val="bottom"/>
            <w:hideMark/>
          </w:tcPr>
          <w:p w14:paraId="5301B982"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86,3</w:t>
            </w:r>
          </w:p>
        </w:tc>
        <w:tc>
          <w:tcPr>
            <w:tcW w:w="275" w:type="pct"/>
            <w:tcBorders>
              <w:top w:val="single" w:sz="4" w:space="0" w:color="auto"/>
            </w:tcBorders>
            <w:noWrap/>
            <w:vAlign w:val="bottom"/>
            <w:hideMark/>
          </w:tcPr>
          <w:p w14:paraId="04368187"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86,7</w:t>
            </w:r>
          </w:p>
        </w:tc>
        <w:tc>
          <w:tcPr>
            <w:tcW w:w="275" w:type="pct"/>
            <w:tcBorders>
              <w:top w:val="single" w:sz="4" w:space="0" w:color="auto"/>
            </w:tcBorders>
            <w:noWrap/>
            <w:vAlign w:val="bottom"/>
            <w:hideMark/>
          </w:tcPr>
          <w:p w14:paraId="3A13CE97"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87,2</w:t>
            </w:r>
          </w:p>
        </w:tc>
        <w:tc>
          <w:tcPr>
            <w:tcW w:w="275" w:type="pct"/>
            <w:tcBorders>
              <w:top w:val="single" w:sz="4" w:space="0" w:color="auto"/>
            </w:tcBorders>
            <w:noWrap/>
            <w:vAlign w:val="bottom"/>
            <w:hideMark/>
          </w:tcPr>
          <w:p w14:paraId="24E959B0"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87,2</w:t>
            </w:r>
          </w:p>
        </w:tc>
        <w:tc>
          <w:tcPr>
            <w:tcW w:w="275" w:type="pct"/>
            <w:tcBorders>
              <w:top w:val="single" w:sz="4" w:space="0" w:color="auto"/>
            </w:tcBorders>
            <w:noWrap/>
            <w:vAlign w:val="bottom"/>
            <w:hideMark/>
          </w:tcPr>
          <w:p w14:paraId="27227ED2"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88,3</w:t>
            </w:r>
          </w:p>
        </w:tc>
        <w:tc>
          <w:tcPr>
            <w:tcW w:w="275" w:type="pct"/>
            <w:tcBorders>
              <w:top w:val="single" w:sz="4" w:space="0" w:color="auto"/>
            </w:tcBorders>
            <w:noWrap/>
            <w:vAlign w:val="bottom"/>
            <w:hideMark/>
          </w:tcPr>
          <w:p w14:paraId="7167F582"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87,9</w:t>
            </w:r>
          </w:p>
        </w:tc>
        <w:tc>
          <w:tcPr>
            <w:tcW w:w="275" w:type="pct"/>
            <w:tcBorders>
              <w:top w:val="single" w:sz="4" w:space="0" w:color="auto"/>
            </w:tcBorders>
            <w:noWrap/>
            <w:vAlign w:val="bottom"/>
            <w:hideMark/>
          </w:tcPr>
          <w:p w14:paraId="3C427769" w14:textId="77777777" w:rsidR="005F400D" w:rsidRPr="00D93719" w:rsidRDefault="005F400D" w:rsidP="008C4FE7">
            <w:pPr>
              <w:spacing w:after="0"/>
              <w:jc w:val="right"/>
              <w:rPr>
                <w:rFonts w:ascii="Times Roman" w:eastAsia="Times New Roman" w:hAnsi="Times Roman"/>
                <w:color w:val="000000"/>
                <w:sz w:val="18"/>
                <w:szCs w:val="18"/>
              </w:rPr>
            </w:pPr>
            <w:r w:rsidRPr="00D93719">
              <w:rPr>
                <w:rFonts w:ascii="Times Roman" w:eastAsia="Times New Roman" w:hAnsi="Times Roman"/>
                <w:color w:val="000000"/>
                <w:sz w:val="18"/>
                <w:szCs w:val="18"/>
              </w:rPr>
              <w:t>88,4</w:t>
            </w:r>
          </w:p>
        </w:tc>
        <w:tc>
          <w:tcPr>
            <w:tcW w:w="382" w:type="pct"/>
            <w:tcBorders>
              <w:top w:val="single" w:sz="4" w:space="0" w:color="auto"/>
            </w:tcBorders>
            <w:noWrap/>
            <w:vAlign w:val="bottom"/>
            <w:hideMark/>
          </w:tcPr>
          <w:p w14:paraId="5CEBC24C" w14:textId="77777777" w:rsidR="005F400D" w:rsidRPr="00D93719" w:rsidRDefault="005F400D" w:rsidP="008C4FE7">
            <w:pPr>
              <w:spacing w:after="0"/>
              <w:jc w:val="center"/>
              <w:rPr>
                <w:rFonts w:ascii="Times Roman" w:eastAsia="Times New Roman" w:hAnsi="Times Roman"/>
                <w:color w:val="000000"/>
                <w:sz w:val="18"/>
                <w:szCs w:val="18"/>
              </w:rPr>
            </w:pPr>
            <w:r w:rsidRPr="00D93719">
              <w:rPr>
                <w:rFonts w:ascii="Times Roman" w:eastAsia="Times New Roman" w:hAnsi="Times Roman"/>
                <w:color w:val="000000"/>
                <w:sz w:val="18"/>
                <w:szCs w:val="18"/>
              </w:rPr>
              <w:t>548 400</w:t>
            </w:r>
          </w:p>
        </w:tc>
        <w:tc>
          <w:tcPr>
            <w:tcW w:w="357" w:type="pct"/>
            <w:tcBorders>
              <w:top w:val="single" w:sz="4" w:space="0" w:color="auto"/>
            </w:tcBorders>
            <w:noWrap/>
            <w:vAlign w:val="bottom"/>
            <w:hideMark/>
          </w:tcPr>
          <w:p w14:paraId="5B89BE91" w14:textId="77777777" w:rsidR="005F400D" w:rsidRPr="00D93719" w:rsidRDefault="005F400D" w:rsidP="008C4FE7">
            <w:pPr>
              <w:spacing w:after="0"/>
              <w:jc w:val="center"/>
              <w:rPr>
                <w:rFonts w:ascii="Times Roman" w:eastAsia="Times New Roman" w:hAnsi="Times Roman"/>
                <w:color w:val="000000"/>
                <w:sz w:val="18"/>
                <w:szCs w:val="18"/>
              </w:rPr>
            </w:pPr>
            <w:r w:rsidRPr="00D93719">
              <w:rPr>
                <w:rFonts w:ascii="Times Roman" w:eastAsia="Times New Roman" w:hAnsi="Times Roman"/>
                <w:color w:val="000000"/>
                <w:sz w:val="18"/>
                <w:szCs w:val="18"/>
              </w:rPr>
              <w:t>484 800</w:t>
            </w:r>
          </w:p>
        </w:tc>
        <w:tc>
          <w:tcPr>
            <w:tcW w:w="394" w:type="pct"/>
            <w:tcBorders>
              <w:top w:val="single" w:sz="4" w:space="0" w:color="auto"/>
            </w:tcBorders>
            <w:vAlign w:val="bottom"/>
          </w:tcPr>
          <w:p w14:paraId="4E609C2A" w14:textId="77777777" w:rsidR="005F400D" w:rsidRPr="00C41C04" w:rsidRDefault="005F400D" w:rsidP="008C4FE7">
            <w:pPr>
              <w:spacing w:after="0"/>
              <w:jc w:val="center"/>
              <w:rPr>
                <w:rFonts w:ascii="Times New Roman" w:hAnsi="Times New Roman"/>
                <w:bCs/>
                <w:sz w:val="18"/>
                <w:szCs w:val="18"/>
              </w:rPr>
            </w:pPr>
            <w:r w:rsidRPr="00C41C04">
              <w:rPr>
                <w:rFonts w:ascii="Times New Roman" w:hAnsi="Times New Roman"/>
                <w:bCs/>
                <w:sz w:val="18"/>
                <w:szCs w:val="18"/>
              </w:rPr>
              <w:t>37</w:t>
            </w:r>
          </w:p>
        </w:tc>
      </w:tr>
    </w:tbl>
    <w:p w14:paraId="084A6C1D" w14:textId="77777777" w:rsidR="005F400D" w:rsidRDefault="005F400D" w:rsidP="006E305B">
      <w:pPr>
        <w:pStyle w:val="tabell-noter"/>
        <w:numPr>
          <w:ilvl w:val="0"/>
          <w:numId w:val="48"/>
        </w:numPr>
        <w:spacing w:after="0"/>
        <w:ind w:left="360"/>
        <w:rPr>
          <w:iCs/>
          <w:snapToGrid w:val="0"/>
        </w:rPr>
      </w:pPr>
      <w:r>
        <w:t>Per september/oktober/desember.</w:t>
      </w:r>
    </w:p>
    <w:p w14:paraId="2A2244B7" w14:textId="77777777" w:rsidR="005F400D" w:rsidRPr="00260765" w:rsidRDefault="005F400D" w:rsidP="006E305B">
      <w:pPr>
        <w:pStyle w:val="tabell-noter"/>
        <w:numPr>
          <w:ilvl w:val="0"/>
          <w:numId w:val="48"/>
        </w:numPr>
        <w:spacing w:after="0"/>
        <w:ind w:left="360"/>
      </w:pPr>
      <w:r w:rsidRPr="006306AE">
        <w:rPr>
          <w:iCs/>
        </w:rPr>
        <w:t xml:space="preserve">Tallene er beregnet etter </w:t>
      </w:r>
      <w:r>
        <w:rPr>
          <w:iCs/>
        </w:rPr>
        <w:t>ny næringsstandard.</w:t>
      </w:r>
    </w:p>
    <w:p w14:paraId="7FB2F273" w14:textId="77777777" w:rsidR="005F400D" w:rsidRDefault="005F400D" w:rsidP="006E305B">
      <w:pPr>
        <w:pStyle w:val="tabell-noter"/>
        <w:numPr>
          <w:ilvl w:val="0"/>
          <w:numId w:val="48"/>
        </w:numPr>
        <w:spacing w:after="0"/>
        <w:ind w:left="360"/>
        <w:rPr>
          <w:iCs/>
        </w:rPr>
      </w:pPr>
      <w:r>
        <w:rPr>
          <w:iCs/>
        </w:rPr>
        <w:t>Gjelder heltidsansatte.</w:t>
      </w:r>
    </w:p>
    <w:p w14:paraId="0F0C1B0B" w14:textId="77777777" w:rsidR="005F400D" w:rsidRDefault="00573205" w:rsidP="006E305B">
      <w:pPr>
        <w:pStyle w:val="tabell-noter"/>
        <w:numPr>
          <w:ilvl w:val="0"/>
          <w:numId w:val="48"/>
        </w:numPr>
        <w:spacing w:after="0"/>
        <w:ind w:left="360"/>
        <w:rPr>
          <w:iCs/>
        </w:rPr>
      </w:pPr>
      <w:r>
        <w:rPr>
          <w:iCs/>
        </w:rPr>
        <w:t>Statistisk sentralbyrå</w:t>
      </w:r>
      <w:r w:rsidR="005F400D">
        <w:rPr>
          <w:iCs/>
        </w:rPr>
        <w:t xml:space="preserve"> gjennomførte i 2011 en spørreundersøkelse blant innvandrere som ikke hadde noen registrert utdanning i registeret for Befolkningens høyeste utdanningsnivå (BHU). Resultatet fra denne undersøkelsen er at ca 139 000 personer nå har fått påført utdanningskode. Tidligere har disse innvandrerne i tabell 1.16 kun vært med i totaltallet (”Gjennomsnitt per heltidsansatt”). Fra og med 2012 er de også med etter ”lengste utdanning”. Det er et brudd i tallserien mellom 2011 og 2012.</w:t>
      </w:r>
    </w:p>
    <w:p w14:paraId="5E7632CF" w14:textId="77777777" w:rsidR="005F400D" w:rsidRDefault="005F400D" w:rsidP="005F400D">
      <w:pPr>
        <w:pStyle w:val="Kilde"/>
      </w:pPr>
      <w:r w:rsidRPr="002443F9">
        <w:t>Kilder: Statistisk sentralbyrå og Beregningsutvalget</w:t>
      </w:r>
      <w:r>
        <w:t>.</w:t>
      </w:r>
    </w:p>
    <w:p w14:paraId="471CC401" w14:textId="77777777" w:rsidR="005F400D" w:rsidRDefault="005F400D" w:rsidP="005F400D"/>
    <w:p w14:paraId="359831A8" w14:textId="77777777" w:rsidR="005F400D" w:rsidRDefault="005F400D" w:rsidP="00202466">
      <w:pPr>
        <w:pStyle w:val="tabell-tittel"/>
        <w:spacing w:before="120"/>
      </w:pPr>
      <w:r w:rsidRPr="00A8002D">
        <w:t>Kvinners gjennomsnittslønn per dato</w:t>
      </w:r>
      <w:r w:rsidRPr="005245B6">
        <w:t>1</w:t>
      </w:r>
      <w:r w:rsidRPr="00A8002D">
        <w:t xml:space="preserve"> i forhold til menns fordelt på aldersgrupper. Heltidsansatte.</w:t>
      </w:r>
    </w:p>
    <w:tbl>
      <w:tblPr>
        <w:tblW w:w="5064" w:type="pct"/>
        <w:tblLayout w:type="fixed"/>
        <w:tblCellMar>
          <w:left w:w="28" w:type="dxa"/>
          <w:right w:w="28" w:type="dxa"/>
        </w:tblCellMar>
        <w:tblLook w:val="0000" w:firstRow="0" w:lastRow="0" w:firstColumn="0" w:lastColumn="0" w:noHBand="0" w:noVBand="0"/>
      </w:tblPr>
      <w:tblGrid>
        <w:gridCol w:w="1133"/>
        <w:gridCol w:w="482"/>
        <w:gridCol w:w="486"/>
        <w:gridCol w:w="483"/>
        <w:gridCol w:w="483"/>
        <w:gridCol w:w="483"/>
        <w:gridCol w:w="480"/>
        <w:gridCol w:w="480"/>
        <w:gridCol w:w="480"/>
        <w:gridCol w:w="480"/>
        <w:gridCol w:w="480"/>
        <w:gridCol w:w="878"/>
        <w:gridCol w:w="908"/>
        <w:gridCol w:w="772"/>
        <w:gridCol w:w="678"/>
      </w:tblGrid>
      <w:tr w:rsidR="005F400D" w:rsidRPr="00DB09B3" w14:paraId="3F7EDC92" w14:textId="77777777" w:rsidTr="00B63DF5">
        <w:trPr>
          <w:trHeight w:val="451"/>
          <w:tblHeader/>
        </w:trPr>
        <w:tc>
          <w:tcPr>
            <w:tcW w:w="617" w:type="pct"/>
            <w:tcBorders>
              <w:top w:val="single" w:sz="4" w:space="0" w:color="auto"/>
            </w:tcBorders>
            <w:vAlign w:val="bottom"/>
          </w:tcPr>
          <w:p w14:paraId="2AB5C4F6" w14:textId="77777777" w:rsidR="005F400D" w:rsidRPr="00DB09B3" w:rsidRDefault="005F400D" w:rsidP="008C4FE7">
            <w:pPr>
              <w:spacing w:after="0"/>
              <w:rPr>
                <w:sz w:val="18"/>
                <w:szCs w:val="18"/>
              </w:rPr>
            </w:pPr>
          </w:p>
        </w:tc>
        <w:tc>
          <w:tcPr>
            <w:tcW w:w="263" w:type="pct"/>
            <w:tcBorders>
              <w:top w:val="single" w:sz="4" w:space="0" w:color="auto"/>
            </w:tcBorders>
            <w:vAlign w:val="bottom"/>
          </w:tcPr>
          <w:p w14:paraId="1A51DD6C" w14:textId="77777777" w:rsidR="005F400D" w:rsidRPr="00DB09B3" w:rsidRDefault="005F400D" w:rsidP="008C4FE7">
            <w:pPr>
              <w:spacing w:after="0"/>
              <w:jc w:val="center"/>
              <w:rPr>
                <w:sz w:val="18"/>
                <w:szCs w:val="18"/>
              </w:rPr>
            </w:pPr>
          </w:p>
        </w:tc>
        <w:tc>
          <w:tcPr>
            <w:tcW w:w="265" w:type="pct"/>
            <w:tcBorders>
              <w:top w:val="single" w:sz="4" w:space="0" w:color="auto"/>
            </w:tcBorders>
            <w:vAlign w:val="bottom"/>
          </w:tcPr>
          <w:p w14:paraId="51A839B9" w14:textId="77777777" w:rsidR="005F400D" w:rsidRPr="00DB09B3" w:rsidRDefault="005F400D" w:rsidP="008C4FE7">
            <w:pPr>
              <w:spacing w:after="0"/>
              <w:jc w:val="center"/>
              <w:rPr>
                <w:sz w:val="18"/>
                <w:szCs w:val="18"/>
              </w:rPr>
            </w:pPr>
          </w:p>
        </w:tc>
        <w:tc>
          <w:tcPr>
            <w:tcW w:w="263" w:type="pct"/>
            <w:tcBorders>
              <w:top w:val="single" w:sz="4" w:space="0" w:color="auto"/>
            </w:tcBorders>
            <w:vAlign w:val="bottom"/>
          </w:tcPr>
          <w:p w14:paraId="3DBB3E9B" w14:textId="77777777" w:rsidR="005F400D" w:rsidRPr="00DB09B3" w:rsidRDefault="005F400D" w:rsidP="008C4FE7">
            <w:pPr>
              <w:spacing w:after="0"/>
              <w:jc w:val="center"/>
              <w:rPr>
                <w:sz w:val="18"/>
                <w:szCs w:val="18"/>
              </w:rPr>
            </w:pPr>
          </w:p>
        </w:tc>
        <w:tc>
          <w:tcPr>
            <w:tcW w:w="263" w:type="pct"/>
            <w:tcBorders>
              <w:top w:val="single" w:sz="4" w:space="0" w:color="auto"/>
            </w:tcBorders>
            <w:vAlign w:val="bottom"/>
          </w:tcPr>
          <w:p w14:paraId="535D9653" w14:textId="77777777" w:rsidR="005F400D" w:rsidRPr="00DB09B3" w:rsidRDefault="005F400D" w:rsidP="008C4FE7">
            <w:pPr>
              <w:spacing w:after="0"/>
              <w:jc w:val="center"/>
              <w:rPr>
                <w:sz w:val="18"/>
                <w:szCs w:val="18"/>
              </w:rPr>
            </w:pPr>
          </w:p>
        </w:tc>
        <w:tc>
          <w:tcPr>
            <w:tcW w:w="263" w:type="pct"/>
            <w:tcBorders>
              <w:top w:val="single" w:sz="4" w:space="0" w:color="auto"/>
            </w:tcBorders>
            <w:vAlign w:val="bottom"/>
          </w:tcPr>
          <w:p w14:paraId="485CDC12" w14:textId="77777777" w:rsidR="005F400D" w:rsidRPr="00DB09B3" w:rsidRDefault="005F400D" w:rsidP="008C4FE7">
            <w:pPr>
              <w:spacing w:after="0"/>
              <w:jc w:val="center"/>
              <w:rPr>
                <w:sz w:val="18"/>
                <w:szCs w:val="18"/>
              </w:rPr>
            </w:pPr>
          </w:p>
        </w:tc>
        <w:tc>
          <w:tcPr>
            <w:tcW w:w="261" w:type="pct"/>
            <w:tcBorders>
              <w:top w:val="single" w:sz="4" w:space="0" w:color="auto"/>
            </w:tcBorders>
            <w:vAlign w:val="bottom"/>
          </w:tcPr>
          <w:p w14:paraId="2D738A4A" w14:textId="77777777" w:rsidR="005F400D" w:rsidRPr="00DB09B3" w:rsidRDefault="005F400D" w:rsidP="008C4FE7">
            <w:pPr>
              <w:spacing w:after="0"/>
              <w:jc w:val="center"/>
              <w:rPr>
                <w:sz w:val="18"/>
                <w:szCs w:val="18"/>
              </w:rPr>
            </w:pPr>
          </w:p>
        </w:tc>
        <w:tc>
          <w:tcPr>
            <w:tcW w:w="261" w:type="pct"/>
            <w:tcBorders>
              <w:top w:val="single" w:sz="4" w:space="0" w:color="auto"/>
            </w:tcBorders>
            <w:vAlign w:val="bottom"/>
          </w:tcPr>
          <w:p w14:paraId="448CF400" w14:textId="77777777" w:rsidR="005F400D" w:rsidRPr="00DB09B3" w:rsidRDefault="005F400D" w:rsidP="008C4FE7">
            <w:pPr>
              <w:spacing w:after="0"/>
              <w:jc w:val="center"/>
              <w:rPr>
                <w:sz w:val="18"/>
                <w:szCs w:val="18"/>
              </w:rPr>
            </w:pPr>
          </w:p>
        </w:tc>
        <w:tc>
          <w:tcPr>
            <w:tcW w:w="261" w:type="pct"/>
            <w:tcBorders>
              <w:top w:val="single" w:sz="4" w:space="0" w:color="auto"/>
            </w:tcBorders>
            <w:vAlign w:val="bottom"/>
          </w:tcPr>
          <w:p w14:paraId="6E7989E6" w14:textId="77777777" w:rsidR="005F400D" w:rsidRPr="00DB09B3" w:rsidRDefault="005F400D" w:rsidP="008C4FE7">
            <w:pPr>
              <w:spacing w:after="0"/>
              <w:jc w:val="center"/>
              <w:rPr>
                <w:sz w:val="18"/>
                <w:szCs w:val="18"/>
              </w:rPr>
            </w:pPr>
          </w:p>
        </w:tc>
        <w:tc>
          <w:tcPr>
            <w:tcW w:w="261" w:type="pct"/>
            <w:tcBorders>
              <w:top w:val="single" w:sz="4" w:space="0" w:color="auto"/>
            </w:tcBorders>
            <w:vAlign w:val="bottom"/>
          </w:tcPr>
          <w:p w14:paraId="47AC3DF5" w14:textId="77777777" w:rsidR="005F400D" w:rsidRPr="00DB09B3" w:rsidRDefault="005F400D" w:rsidP="008C4FE7">
            <w:pPr>
              <w:spacing w:after="0"/>
              <w:jc w:val="center"/>
              <w:rPr>
                <w:sz w:val="18"/>
                <w:szCs w:val="18"/>
              </w:rPr>
            </w:pPr>
          </w:p>
        </w:tc>
        <w:tc>
          <w:tcPr>
            <w:tcW w:w="261" w:type="pct"/>
            <w:tcBorders>
              <w:top w:val="single" w:sz="4" w:space="0" w:color="auto"/>
            </w:tcBorders>
            <w:vAlign w:val="bottom"/>
          </w:tcPr>
          <w:p w14:paraId="35D1AE28" w14:textId="77777777" w:rsidR="005F400D" w:rsidRPr="00DB09B3" w:rsidRDefault="005F400D" w:rsidP="008C4FE7">
            <w:pPr>
              <w:spacing w:after="0"/>
              <w:jc w:val="center"/>
              <w:rPr>
                <w:sz w:val="18"/>
                <w:szCs w:val="18"/>
              </w:rPr>
            </w:pPr>
          </w:p>
        </w:tc>
        <w:tc>
          <w:tcPr>
            <w:tcW w:w="478" w:type="pct"/>
            <w:tcBorders>
              <w:top w:val="single" w:sz="4" w:space="0" w:color="auto"/>
            </w:tcBorders>
            <w:vAlign w:val="bottom"/>
          </w:tcPr>
          <w:p w14:paraId="4812F951" w14:textId="77777777" w:rsidR="005F400D" w:rsidRPr="00DB09B3" w:rsidRDefault="005F400D" w:rsidP="008C4FE7">
            <w:pPr>
              <w:spacing w:after="0"/>
              <w:jc w:val="center"/>
              <w:rPr>
                <w:sz w:val="18"/>
                <w:szCs w:val="18"/>
              </w:rPr>
            </w:pPr>
          </w:p>
        </w:tc>
        <w:tc>
          <w:tcPr>
            <w:tcW w:w="913" w:type="pct"/>
            <w:gridSpan w:val="2"/>
            <w:tcBorders>
              <w:top w:val="single" w:sz="4" w:space="0" w:color="auto"/>
              <w:bottom w:val="single" w:sz="4" w:space="0" w:color="auto"/>
            </w:tcBorders>
            <w:vAlign w:val="bottom"/>
          </w:tcPr>
          <w:p w14:paraId="1AF36887" w14:textId="77777777" w:rsidR="005F400D" w:rsidRPr="00DB09B3" w:rsidRDefault="005F400D" w:rsidP="008C4FE7">
            <w:pPr>
              <w:spacing w:after="0"/>
              <w:jc w:val="center"/>
              <w:rPr>
                <w:sz w:val="18"/>
                <w:szCs w:val="18"/>
              </w:rPr>
            </w:pPr>
            <w:r w:rsidRPr="00DB09B3">
              <w:rPr>
                <w:sz w:val="18"/>
                <w:szCs w:val="18"/>
              </w:rPr>
              <w:t>Månedslønn per dato</w:t>
            </w:r>
            <w:r w:rsidRPr="00DB09B3">
              <w:rPr>
                <w:sz w:val="18"/>
                <w:szCs w:val="18"/>
                <w:vertAlign w:val="superscript"/>
              </w:rPr>
              <w:t>1</w:t>
            </w:r>
            <w:r w:rsidRPr="00DB09B3">
              <w:rPr>
                <w:sz w:val="18"/>
                <w:szCs w:val="18"/>
              </w:rPr>
              <w:t>*12</w:t>
            </w:r>
            <w:r w:rsidRPr="00DB09B3">
              <w:rPr>
                <w:sz w:val="18"/>
                <w:szCs w:val="18"/>
                <w:vertAlign w:val="superscript"/>
              </w:rPr>
              <w:t xml:space="preserve"> </w:t>
            </w:r>
          </w:p>
        </w:tc>
        <w:tc>
          <w:tcPr>
            <w:tcW w:w="370" w:type="pct"/>
            <w:vMerge w:val="restart"/>
            <w:tcBorders>
              <w:top w:val="single" w:sz="4" w:space="0" w:color="auto"/>
            </w:tcBorders>
            <w:vAlign w:val="bottom"/>
          </w:tcPr>
          <w:p w14:paraId="06FDBD31" w14:textId="77777777" w:rsidR="005F400D" w:rsidRPr="00DB09B3" w:rsidRDefault="005F400D" w:rsidP="008C4FE7">
            <w:pPr>
              <w:spacing w:after="0"/>
              <w:jc w:val="center"/>
              <w:rPr>
                <w:sz w:val="18"/>
                <w:szCs w:val="18"/>
              </w:rPr>
            </w:pPr>
            <w:r w:rsidRPr="00DB09B3">
              <w:rPr>
                <w:sz w:val="18"/>
                <w:szCs w:val="18"/>
              </w:rPr>
              <w:t>Andel heltids-ansatte</w:t>
            </w:r>
          </w:p>
          <w:p w14:paraId="4F4FB27A" w14:textId="77777777" w:rsidR="005F400D" w:rsidRPr="00DB09B3" w:rsidRDefault="005F400D" w:rsidP="008C4FE7">
            <w:pPr>
              <w:spacing w:after="0"/>
              <w:jc w:val="center"/>
              <w:rPr>
                <w:sz w:val="18"/>
                <w:szCs w:val="18"/>
              </w:rPr>
            </w:pPr>
            <w:r>
              <w:rPr>
                <w:sz w:val="18"/>
                <w:szCs w:val="18"/>
              </w:rPr>
              <w:t>k</w:t>
            </w:r>
            <w:r w:rsidRPr="00DB09B3">
              <w:rPr>
                <w:sz w:val="18"/>
                <w:szCs w:val="18"/>
              </w:rPr>
              <w:t>vinner</w:t>
            </w:r>
          </w:p>
        </w:tc>
      </w:tr>
      <w:tr w:rsidR="005F400D" w:rsidRPr="00DB09B3" w14:paraId="56D4067F" w14:textId="77777777" w:rsidTr="00B63DF5">
        <w:trPr>
          <w:trHeight w:val="383"/>
          <w:tblHeader/>
        </w:trPr>
        <w:tc>
          <w:tcPr>
            <w:tcW w:w="617" w:type="pct"/>
            <w:tcBorders>
              <w:bottom w:val="single" w:sz="4" w:space="0" w:color="auto"/>
            </w:tcBorders>
            <w:vAlign w:val="bottom"/>
          </w:tcPr>
          <w:p w14:paraId="00E09640" w14:textId="77777777" w:rsidR="005F400D" w:rsidRPr="00DB09B3" w:rsidRDefault="005F400D" w:rsidP="008C4FE7">
            <w:pPr>
              <w:spacing w:after="0"/>
              <w:rPr>
                <w:sz w:val="18"/>
                <w:szCs w:val="18"/>
              </w:rPr>
            </w:pPr>
          </w:p>
        </w:tc>
        <w:tc>
          <w:tcPr>
            <w:tcW w:w="263" w:type="pct"/>
            <w:tcBorders>
              <w:bottom w:val="single" w:sz="4" w:space="0" w:color="auto"/>
            </w:tcBorders>
            <w:vAlign w:val="bottom"/>
          </w:tcPr>
          <w:p w14:paraId="42F0B41F" w14:textId="77777777" w:rsidR="005F400D" w:rsidRPr="00DB09B3" w:rsidRDefault="005F400D" w:rsidP="008C4FE7">
            <w:pPr>
              <w:spacing w:after="0"/>
              <w:jc w:val="center"/>
              <w:rPr>
                <w:sz w:val="18"/>
                <w:szCs w:val="18"/>
              </w:rPr>
            </w:pPr>
          </w:p>
        </w:tc>
        <w:tc>
          <w:tcPr>
            <w:tcW w:w="265" w:type="pct"/>
            <w:tcBorders>
              <w:bottom w:val="single" w:sz="4" w:space="0" w:color="auto"/>
            </w:tcBorders>
            <w:vAlign w:val="bottom"/>
          </w:tcPr>
          <w:p w14:paraId="273ADCCF" w14:textId="77777777" w:rsidR="005F400D" w:rsidRPr="00DB09B3" w:rsidRDefault="005F400D" w:rsidP="008C4FE7">
            <w:pPr>
              <w:spacing w:after="0"/>
              <w:jc w:val="center"/>
              <w:rPr>
                <w:sz w:val="18"/>
                <w:szCs w:val="18"/>
              </w:rPr>
            </w:pPr>
          </w:p>
        </w:tc>
        <w:tc>
          <w:tcPr>
            <w:tcW w:w="263" w:type="pct"/>
            <w:tcBorders>
              <w:bottom w:val="single" w:sz="4" w:space="0" w:color="auto"/>
            </w:tcBorders>
            <w:vAlign w:val="bottom"/>
          </w:tcPr>
          <w:p w14:paraId="1835C473" w14:textId="77777777" w:rsidR="005F400D" w:rsidRPr="00DB09B3" w:rsidRDefault="005F400D" w:rsidP="008C4FE7">
            <w:pPr>
              <w:spacing w:after="0"/>
              <w:jc w:val="center"/>
              <w:rPr>
                <w:sz w:val="18"/>
                <w:szCs w:val="18"/>
              </w:rPr>
            </w:pPr>
          </w:p>
        </w:tc>
        <w:tc>
          <w:tcPr>
            <w:tcW w:w="263" w:type="pct"/>
            <w:tcBorders>
              <w:bottom w:val="single" w:sz="4" w:space="0" w:color="auto"/>
            </w:tcBorders>
            <w:vAlign w:val="bottom"/>
          </w:tcPr>
          <w:p w14:paraId="61BE1BAF" w14:textId="77777777" w:rsidR="005F400D" w:rsidRPr="00DB09B3" w:rsidRDefault="005F400D" w:rsidP="008C4FE7">
            <w:pPr>
              <w:spacing w:after="0"/>
              <w:jc w:val="center"/>
              <w:rPr>
                <w:sz w:val="18"/>
                <w:szCs w:val="18"/>
              </w:rPr>
            </w:pPr>
          </w:p>
        </w:tc>
        <w:tc>
          <w:tcPr>
            <w:tcW w:w="263" w:type="pct"/>
            <w:tcBorders>
              <w:bottom w:val="single" w:sz="4" w:space="0" w:color="auto"/>
            </w:tcBorders>
            <w:vAlign w:val="bottom"/>
          </w:tcPr>
          <w:p w14:paraId="5538F359" w14:textId="77777777" w:rsidR="005F400D" w:rsidRPr="00DB09B3" w:rsidRDefault="005F400D" w:rsidP="008C4FE7">
            <w:pPr>
              <w:spacing w:after="0"/>
              <w:jc w:val="center"/>
              <w:rPr>
                <w:sz w:val="18"/>
                <w:szCs w:val="18"/>
              </w:rPr>
            </w:pPr>
          </w:p>
        </w:tc>
        <w:tc>
          <w:tcPr>
            <w:tcW w:w="261" w:type="pct"/>
            <w:tcBorders>
              <w:bottom w:val="single" w:sz="4" w:space="0" w:color="auto"/>
            </w:tcBorders>
            <w:vAlign w:val="bottom"/>
          </w:tcPr>
          <w:p w14:paraId="04DC70F5" w14:textId="77777777" w:rsidR="005F400D" w:rsidRPr="00DB09B3" w:rsidRDefault="005F400D" w:rsidP="008C4FE7">
            <w:pPr>
              <w:spacing w:after="0"/>
              <w:jc w:val="center"/>
              <w:rPr>
                <w:sz w:val="18"/>
                <w:szCs w:val="18"/>
              </w:rPr>
            </w:pPr>
          </w:p>
        </w:tc>
        <w:tc>
          <w:tcPr>
            <w:tcW w:w="261" w:type="pct"/>
            <w:tcBorders>
              <w:bottom w:val="single" w:sz="4" w:space="0" w:color="auto"/>
            </w:tcBorders>
            <w:vAlign w:val="bottom"/>
          </w:tcPr>
          <w:p w14:paraId="17E60F65" w14:textId="77777777" w:rsidR="005F400D" w:rsidRPr="00DB09B3" w:rsidRDefault="005F400D" w:rsidP="008C4FE7">
            <w:pPr>
              <w:spacing w:after="0"/>
              <w:jc w:val="center"/>
              <w:rPr>
                <w:sz w:val="18"/>
                <w:szCs w:val="18"/>
              </w:rPr>
            </w:pPr>
          </w:p>
        </w:tc>
        <w:tc>
          <w:tcPr>
            <w:tcW w:w="261" w:type="pct"/>
            <w:tcBorders>
              <w:bottom w:val="single" w:sz="4" w:space="0" w:color="auto"/>
            </w:tcBorders>
            <w:vAlign w:val="bottom"/>
          </w:tcPr>
          <w:p w14:paraId="6FE9457E" w14:textId="77777777" w:rsidR="005F400D" w:rsidRPr="00DB09B3" w:rsidRDefault="005F400D" w:rsidP="008C4FE7">
            <w:pPr>
              <w:spacing w:after="0"/>
              <w:jc w:val="center"/>
              <w:rPr>
                <w:sz w:val="18"/>
                <w:szCs w:val="18"/>
              </w:rPr>
            </w:pPr>
          </w:p>
        </w:tc>
        <w:tc>
          <w:tcPr>
            <w:tcW w:w="261" w:type="pct"/>
            <w:tcBorders>
              <w:bottom w:val="single" w:sz="4" w:space="0" w:color="auto"/>
            </w:tcBorders>
            <w:vAlign w:val="bottom"/>
          </w:tcPr>
          <w:p w14:paraId="631BEEA1" w14:textId="77777777" w:rsidR="005F400D" w:rsidRPr="00DB09B3" w:rsidRDefault="005F400D" w:rsidP="008C4FE7">
            <w:pPr>
              <w:spacing w:after="0"/>
              <w:jc w:val="center"/>
              <w:rPr>
                <w:sz w:val="18"/>
                <w:szCs w:val="18"/>
              </w:rPr>
            </w:pPr>
          </w:p>
        </w:tc>
        <w:tc>
          <w:tcPr>
            <w:tcW w:w="261" w:type="pct"/>
            <w:tcBorders>
              <w:bottom w:val="single" w:sz="4" w:space="0" w:color="auto"/>
            </w:tcBorders>
            <w:vAlign w:val="bottom"/>
          </w:tcPr>
          <w:p w14:paraId="419E7A11" w14:textId="77777777" w:rsidR="005F400D" w:rsidRPr="00DB09B3" w:rsidRDefault="005F400D" w:rsidP="008C4FE7">
            <w:pPr>
              <w:spacing w:after="0"/>
              <w:jc w:val="center"/>
              <w:rPr>
                <w:sz w:val="18"/>
                <w:szCs w:val="18"/>
              </w:rPr>
            </w:pPr>
          </w:p>
        </w:tc>
        <w:tc>
          <w:tcPr>
            <w:tcW w:w="478" w:type="pct"/>
            <w:tcBorders>
              <w:bottom w:val="single" w:sz="4" w:space="0" w:color="auto"/>
            </w:tcBorders>
            <w:vAlign w:val="bottom"/>
          </w:tcPr>
          <w:p w14:paraId="77BDC75F" w14:textId="77777777" w:rsidR="005F400D" w:rsidRPr="00DB09B3" w:rsidRDefault="005F400D" w:rsidP="008C4FE7">
            <w:pPr>
              <w:spacing w:after="0"/>
              <w:jc w:val="center"/>
              <w:rPr>
                <w:sz w:val="18"/>
                <w:szCs w:val="18"/>
              </w:rPr>
            </w:pPr>
          </w:p>
        </w:tc>
        <w:tc>
          <w:tcPr>
            <w:tcW w:w="494" w:type="pct"/>
            <w:tcBorders>
              <w:top w:val="single" w:sz="4" w:space="0" w:color="auto"/>
              <w:bottom w:val="single" w:sz="4" w:space="0" w:color="auto"/>
            </w:tcBorders>
            <w:vAlign w:val="bottom"/>
          </w:tcPr>
          <w:p w14:paraId="4696889D" w14:textId="77777777" w:rsidR="005F400D" w:rsidRPr="00DB09B3" w:rsidRDefault="005F400D" w:rsidP="008C4FE7">
            <w:pPr>
              <w:spacing w:after="0"/>
              <w:jc w:val="center"/>
              <w:rPr>
                <w:sz w:val="18"/>
                <w:szCs w:val="18"/>
              </w:rPr>
            </w:pPr>
            <w:r w:rsidRPr="00DB09B3">
              <w:rPr>
                <w:sz w:val="18"/>
                <w:szCs w:val="18"/>
              </w:rPr>
              <w:t>Menn</w:t>
            </w:r>
          </w:p>
        </w:tc>
        <w:tc>
          <w:tcPr>
            <w:tcW w:w="420" w:type="pct"/>
            <w:tcBorders>
              <w:top w:val="single" w:sz="4" w:space="0" w:color="auto"/>
              <w:bottom w:val="single" w:sz="4" w:space="0" w:color="auto"/>
            </w:tcBorders>
            <w:vAlign w:val="bottom"/>
          </w:tcPr>
          <w:p w14:paraId="1803C7AE" w14:textId="77777777" w:rsidR="005F400D" w:rsidRPr="00DB09B3" w:rsidRDefault="005F400D" w:rsidP="008C4FE7">
            <w:pPr>
              <w:spacing w:after="0"/>
              <w:jc w:val="center"/>
              <w:rPr>
                <w:sz w:val="18"/>
                <w:szCs w:val="18"/>
              </w:rPr>
            </w:pPr>
            <w:r w:rsidRPr="00DB09B3">
              <w:rPr>
                <w:sz w:val="18"/>
                <w:szCs w:val="18"/>
              </w:rPr>
              <w:t>Kvinner</w:t>
            </w:r>
          </w:p>
        </w:tc>
        <w:tc>
          <w:tcPr>
            <w:tcW w:w="370" w:type="pct"/>
            <w:vMerge/>
            <w:tcBorders>
              <w:bottom w:val="single" w:sz="4" w:space="0" w:color="auto"/>
            </w:tcBorders>
            <w:vAlign w:val="bottom"/>
          </w:tcPr>
          <w:p w14:paraId="64100D1D" w14:textId="77777777" w:rsidR="005F400D" w:rsidRPr="00DB09B3" w:rsidRDefault="005F400D" w:rsidP="008C4FE7">
            <w:pPr>
              <w:spacing w:after="0"/>
              <w:jc w:val="center"/>
              <w:rPr>
                <w:sz w:val="18"/>
                <w:szCs w:val="18"/>
              </w:rPr>
            </w:pPr>
          </w:p>
        </w:tc>
      </w:tr>
      <w:tr w:rsidR="005F400D" w:rsidRPr="00DB09B3" w14:paraId="68B265BF" w14:textId="77777777" w:rsidTr="00B63DF5">
        <w:trPr>
          <w:trHeight w:val="335"/>
        </w:trPr>
        <w:tc>
          <w:tcPr>
            <w:tcW w:w="617" w:type="pct"/>
            <w:tcBorders>
              <w:top w:val="single" w:sz="4" w:space="0" w:color="auto"/>
              <w:bottom w:val="single" w:sz="4" w:space="0" w:color="auto"/>
            </w:tcBorders>
            <w:vAlign w:val="bottom"/>
          </w:tcPr>
          <w:p w14:paraId="1F0A24BC" w14:textId="77777777" w:rsidR="005F400D" w:rsidRPr="00DB09B3" w:rsidRDefault="005F400D" w:rsidP="008C4FE7">
            <w:pPr>
              <w:spacing w:after="0"/>
              <w:jc w:val="right"/>
              <w:rPr>
                <w:sz w:val="18"/>
                <w:szCs w:val="18"/>
              </w:rPr>
            </w:pPr>
          </w:p>
        </w:tc>
        <w:tc>
          <w:tcPr>
            <w:tcW w:w="263" w:type="pct"/>
            <w:tcBorders>
              <w:top w:val="single" w:sz="4" w:space="0" w:color="auto"/>
              <w:bottom w:val="single" w:sz="4" w:space="0" w:color="auto"/>
            </w:tcBorders>
            <w:vAlign w:val="bottom"/>
          </w:tcPr>
          <w:p w14:paraId="632FF7AB" w14:textId="77777777" w:rsidR="005F400D" w:rsidRPr="00DB09B3" w:rsidRDefault="005F400D" w:rsidP="008C4FE7">
            <w:pPr>
              <w:spacing w:after="0"/>
              <w:jc w:val="center"/>
              <w:rPr>
                <w:sz w:val="18"/>
                <w:szCs w:val="18"/>
              </w:rPr>
            </w:pPr>
            <w:r w:rsidRPr="00DB09B3">
              <w:rPr>
                <w:sz w:val="18"/>
                <w:szCs w:val="18"/>
              </w:rPr>
              <w:t>2005</w:t>
            </w:r>
          </w:p>
        </w:tc>
        <w:tc>
          <w:tcPr>
            <w:tcW w:w="265" w:type="pct"/>
            <w:tcBorders>
              <w:top w:val="single" w:sz="4" w:space="0" w:color="auto"/>
              <w:bottom w:val="single" w:sz="4" w:space="0" w:color="auto"/>
            </w:tcBorders>
            <w:vAlign w:val="bottom"/>
          </w:tcPr>
          <w:p w14:paraId="423D3DE0" w14:textId="77777777" w:rsidR="005F400D" w:rsidRPr="00DB09B3" w:rsidRDefault="005F400D" w:rsidP="008C4FE7">
            <w:pPr>
              <w:spacing w:after="0"/>
              <w:jc w:val="center"/>
              <w:rPr>
                <w:sz w:val="18"/>
                <w:szCs w:val="18"/>
              </w:rPr>
            </w:pPr>
            <w:r w:rsidRPr="00DB09B3">
              <w:rPr>
                <w:sz w:val="18"/>
                <w:szCs w:val="18"/>
              </w:rPr>
              <w:t>2006</w:t>
            </w:r>
          </w:p>
        </w:tc>
        <w:tc>
          <w:tcPr>
            <w:tcW w:w="263" w:type="pct"/>
            <w:tcBorders>
              <w:top w:val="single" w:sz="4" w:space="0" w:color="auto"/>
              <w:bottom w:val="single" w:sz="4" w:space="0" w:color="auto"/>
            </w:tcBorders>
            <w:vAlign w:val="bottom"/>
          </w:tcPr>
          <w:p w14:paraId="427BA3A6" w14:textId="77777777" w:rsidR="005F400D" w:rsidRPr="00DB09B3" w:rsidRDefault="005F400D" w:rsidP="008C4FE7">
            <w:pPr>
              <w:spacing w:after="0"/>
              <w:jc w:val="center"/>
              <w:rPr>
                <w:sz w:val="18"/>
                <w:szCs w:val="18"/>
              </w:rPr>
            </w:pPr>
            <w:r w:rsidRPr="00DB09B3">
              <w:rPr>
                <w:sz w:val="18"/>
                <w:szCs w:val="18"/>
              </w:rPr>
              <w:t>2007</w:t>
            </w:r>
          </w:p>
        </w:tc>
        <w:tc>
          <w:tcPr>
            <w:tcW w:w="263" w:type="pct"/>
            <w:tcBorders>
              <w:top w:val="single" w:sz="4" w:space="0" w:color="auto"/>
              <w:bottom w:val="single" w:sz="4" w:space="0" w:color="auto"/>
              <w:right w:val="single" w:sz="4" w:space="0" w:color="auto"/>
            </w:tcBorders>
            <w:vAlign w:val="bottom"/>
          </w:tcPr>
          <w:p w14:paraId="1C41F904" w14:textId="77777777" w:rsidR="005F400D" w:rsidRPr="00DB09B3" w:rsidRDefault="005F400D" w:rsidP="008C4FE7">
            <w:pPr>
              <w:spacing w:after="0"/>
              <w:jc w:val="center"/>
              <w:rPr>
                <w:sz w:val="18"/>
                <w:szCs w:val="18"/>
              </w:rPr>
            </w:pPr>
            <w:r w:rsidRPr="00DB09B3">
              <w:rPr>
                <w:sz w:val="18"/>
                <w:szCs w:val="18"/>
              </w:rPr>
              <w:t>2008</w:t>
            </w:r>
          </w:p>
        </w:tc>
        <w:tc>
          <w:tcPr>
            <w:tcW w:w="263" w:type="pct"/>
            <w:tcBorders>
              <w:top w:val="single" w:sz="4" w:space="0" w:color="auto"/>
              <w:left w:val="single" w:sz="4" w:space="0" w:color="auto"/>
              <w:bottom w:val="single" w:sz="4" w:space="0" w:color="auto"/>
            </w:tcBorders>
            <w:vAlign w:val="bottom"/>
          </w:tcPr>
          <w:p w14:paraId="29FABC89" w14:textId="77777777" w:rsidR="005F400D" w:rsidRPr="00DB09B3" w:rsidRDefault="005F400D" w:rsidP="008C4FE7">
            <w:pPr>
              <w:spacing w:after="0"/>
              <w:jc w:val="center"/>
              <w:rPr>
                <w:sz w:val="18"/>
                <w:szCs w:val="18"/>
                <w:vertAlign w:val="superscript"/>
              </w:rPr>
            </w:pPr>
            <w:r>
              <w:rPr>
                <w:sz w:val="18"/>
                <w:szCs w:val="18"/>
              </w:rPr>
              <w:t>2008</w:t>
            </w:r>
            <w:r>
              <w:rPr>
                <w:sz w:val="18"/>
                <w:szCs w:val="18"/>
                <w:vertAlign w:val="superscript"/>
              </w:rPr>
              <w:t>2</w:t>
            </w:r>
          </w:p>
        </w:tc>
        <w:tc>
          <w:tcPr>
            <w:tcW w:w="261" w:type="pct"/>
            <w:tcBorders>
              <w:top w:val="single" w:sz="4" w:space="0" w:color="auto"/>
              <w:bottom w:val="single" w:sz="4" w:space="0" w:color="auto"/>
            </w:tcBorders>
            <w:vAlign w:val="bottom"/>
          </w:tcPr>
          <w:p w14:paraId="131FA273" w14:textId="77777777" w:rsidR="005F400D" w:rsidRPr="00F30EC6" w:rsidRDefault="005F400D" w:rsidP="008C4FE7">
            <w:pPr>
              <w:spacing w:after="0"/>
              <w:jc w:val="center"/>
              <w:rPr>
                <w:sz w:val="18"/>
                <w:szCs w:val="18"/>
                <w:vertAlign w:val="superscript"/>
              </w:rPr>
            </w:pPr>
            <w:r>
              <w:rPr>
                <w:sz w:val="18"/>
                <w:szCs w:val="18"/>
              </w:rPr>
              <w:t>2009</w:t>
            </w:r>
          </w:p>
        </w:tc>
        <w:tc>
          <w:tcPr>
            <w:tcW w:w="261" w:type="pct"/>
            <w:tcBorders>
              <w:top w:val="single" w:sz="4" w:space="0" w:color="auto"/>
              <w:bottom w:val="single" w:sz="4" w:space="0" w:color="auto"/>
            </w:tcBorders>
            <w:vAlign w:val="bottom"/>
          </w:tcPr>
          <w:p w14:paraId="3FA7BE9D" w14:textId="77777777" w:rsidR="005F400D" w:rsidRDefault="005F400D" w:rsidP="008C4FE7">
            <w:pPr>
              <w:spacing w:after="0"/>
              <w:jc w:val="center"/>
              <w:rPr>
                <w:sz w:val="18"/>
                <w:szCs w:val="18"/>
              </w:rPr>
            </w:pPr>
            <w:r>
              <w:rPr>
                <w:sz w:val="18"/>
                <w:szCs w:val="18"/>
              </w:rPr>
              <w:t>2010</w:t>
            </w:r>
          </w:p>
        </w:tc>
        <w:tc>
          <w:tcPr>
            <w:tcW w:w="261" w:type="pct"/>
            <w:tcBorders>
              <w:top w:val="single" w:sz="4" w:space="0" w:color="auto"/>
              <w:bottom w:val="single" w:sz="4" w:space="0" w:color="auto"/>
            </w:tcBorders>
            <w:vAlign w:val="bottom"/>
          </w:tcPr>
          <w:p w14:paraId="214866A7" w14:textId="77777777" w:rsidR="005F400D" w:rsidRDefault="005F400D" w:rsidP="008C4FE7">
            <w:pPr>
              <w:spacing w:after="0"/>
              <w:jc w:val="center"/>
              <w:rPr>
                <w:sz w:val="18"/>
                <w:szCs w:val="18"/>
              </w:rPr>
            </w:pPr>
            <w:r>
              <w:rPr>
                <w:sz w:val="18"/>
                <w:szCs w:val="18"/>
              </w:rPr>
              <w:t>2011</w:t>
            </w:r>
          </w:p>
        </w:tc>
        <w:tc>
          <w:tcPr>
            <w:tcW w:w="261" w:type="pct"/>
            <w:tcBorders>
              <w:top w:val="single" w:sz="4" w:space="0" w:color="auto"/>
              <w:bottom w:val="single" w:sz="4" w:space="0" w:color="auto"/>
            </w:tcBorders>
            <w:vAlign w:val="bottom"/>
          </w:tcPr>
          <w:p w14:paraId="7196D16F" w14:textId="77777777" w:rsidR="005F400D" w:rsidRPr="00B76371" w:rsidRDefault="005F400D" w:rsidP="008C4FE7">
            <w:pPr>
              <w:spacing w:after="0"/>
              <w:jc w:val="center"/>
              <w:rPr>
                <w:sz w:val="18"/>
                <w:szCs w:val="18"/>
                <w:vertAlign w:val="superscript"/>
              </w:rPr>
            </w:pPr>
            <w:r>
              <w:rPr>
                <w:sz w:val="18"/>
                <w:szCs w:val="18"/>
              </w:rPr>
              <w:t>2012</w:t>
            </w:r>
          </w:p>
        </w:tc>
        <w:tc>
          <w:tcPr>
            <w:tcW w:w="261" w:type="pct"/>
            <w:tcBorders>
              <w:top w:val="single" w:sz="4" w:space="0" w:color="auto"/>
              <w:bottom w:val="single" w:sz="4" w:space="0" w:color="auto"/>
            </w:tcBorders>
            <w:vAlign w:val="bottom"/>
          </w:tcPr>
          <w:p w14:paraId="41ED7514" w14:textId="77777777" w:rsidR="005F400D" w:rsidRDefault="005F400D" w:rsidP="008C4FE7">
            <w:pPr>
              <w:spacing w:after="0"/>
              <w:jc w:val="center"/>
              <w:rPr>
                <w:sz w:val="18"/>
                <w:szCs w:val="18"/>
              </w:rPr>
            </w:pPr>
            <w:r>
              <w:rPr>
                <w:sz w:val="18"/>
                <w:szCs w:val="18"/>
              </w:rPr>
              <w:t>2013</w:t>
            </w:r>
          </w:p>
        </w:tc>
        <w:tc>
          <w:tcPr>
            <w:tcW w:w="478" w:type="pct"/>
            <w:tcBorders>
              <w:top w:val="single" w:sz="4" w:space="0" w:color="auto"/>
              <w:bottom w:val="single" w:sz="4" w:space="0" w:color="auto"/>
            </w:tcBorders>
            <w:vAlign w:val="bottom"/>
          </w:tcPr>
          <w:p w14:paraId="4DB14D84" w14:textId="77777777" w:rsidR="005F400D" w:rsidRDefault="005F400D" w:rsidP="008C4FE7">
            <w:pPr>
              <w:spacing w:after="0"/>
              <w:jc w:val="center"/>
              <w:rPr>
                <w:sz w:val="18"/>
                <w:szCs w:val="18"/>
              </w:rPr>
            </w:pPr>
            <w:r>
              <w:rPr>
                <w:sz w:val="18"/>
                <w:szCs w:val="18"/>
              </w:rPr>
              <w:t>2014</w:t>
            </w:r>
          </w:p>
        </w:tc>
        <w:tc>
          <w:tcPr>
            <w:tcW w:w="494" w:type="pct"/>
            <w:tcBorders>
              <w:top w:val="single" w:sz="4" w:space="0" w:color="auto"/>
              <w:bottom w:val="single" w:sz="4" w:space="0" w:color="auto"/>
            </w:tcBorders>
            <w:vAlign w:val="bottom"/>
          </w:tcPr>
          <w:p w14:paraId="25F7A536" w14:textId="77777777" w:rsidR="005F400D" w:rsidRDefault="005F400D" w:rsidP="008C4FE7">
            <w:pPr>
              <w:spacing w:after="0"/>
              <w:jc w:val="center"/>
            </w:pPr>
            <w:r w:rsidRPr="00416262">
              <w:rPr>
                <w:sz w:val="18"/>
                <w:szCs w:val="18"/>
              </w:rPr>
              <w:t>2014</w:t>
            </w:r>
          </w:p>
        </w:tc>
        <w:tc>
          <w:tcPr>
            <w:tcW w:w="420" w:type="pct"/>
            <w:tcBorders>
              <w:top w:val="single" w:sz="4" w:space="0" w:color="auto"/>
              <w:bottom w:val="single" w:sz="4" w:space="0" w:color="auto"/>
            </w:tcBorders>
            <w:vAlign w:val="bottom"/>
          </w:tcPr>
          <w:p w14:paraId="2889BD72" w14:textId="77777777" w:rsidR="005F400D" w:rsidRDefault="005F400D" w:rsidP="008C4FE7">
            <w:pPr>
              <w:spacing w:after="0"/>
              <w:jc w:val="center"/>
            </w:pPr>
            <w:r w:rsidRPr="00416262">
              <w:rPr>
                <w:sz w:val="18"/>
                <w:szCs w:val="18"/>
              </w:rPr>
              <w:t>2014</w:t>
            </w:r>
          </w:p>
        </w:tc>
        <w:tc>
          <w:tcPr>
            <w:tcW w:w="370" w:type="pct"/>
            <w:tcBorders>
              <w:top w:val="single" w:sz="4" w:space="0" w:color="auto"/>
              <w:bottom w:val="single" w:sz="4" w:space="0" w:color="auto"/>
            </w:tcBorders>
            <w:vAlign w:val="bottom"/>
          </w:tcPr>
          <w:p w14:paraId="47357410" w14:textId="77777777" w:rsidR="005F400D" w:rsidRPr="00DB09B3" w:rsidRDefault="005F400D" w:rsidP="008C4FE7">
            <w:pPr>
              <w:spacing w:after="0"/>
              <w:jc w:val="center"/>
              <w:rPr>
                <w:sz w:val="18"/>
                <w:szCs w:val="18"/>
              </w:rPr>
            </w:pPr>
            <w:r>
              <w:rPr>
                <w:sz w:val="18"/>
                <w:szCs w:val="18"/>
              </w:rPr>
              <w:t>2014</w:t>
            </w:r>
          </w:p>
        </w:tc>
      </w:tr>
      <w:tr w:rsidR="005F400D" w:rsidRPr="00DB09B3" w14:paraId="3112EB1A" w14:textId="77777777" w:rsidTr="00B63DF5">
        <w:trPr>
          <w:trHeight w:val="340"/>
        </w:trPr>
        <w:tc>
          <w:tcPr>
            <w:tcW w:w="617" w:type="pct"/>
            <w:tcBorders>
              <w:top w:val="single" w:sz="4" w:space="0" w:color="auto"/>
            </w:tcBorders>
            <w:vAlign w:val="bottom"/>
          </w:tcPr>
          <w:p w14:paraId="1EF64BB9" w14:textId="77777777" w:rsidR="005F400D" w:rsidRPr="00DB09B3" w:rsidRDefault="005F400D" w:rsidP="008C4FE7">
            <w:pPr>
              <w:spacing w:after="0"/>
              <w:rPr>
                <w:sz w:val="18"/>
                <w:szCs w:val="18"/>
              </w:rPr>
            </w:pPr>
            <w:r w:rsidRPr="00DB09B3">
              <w:rPr>
                <w:sz w:val="18"/>
                <w:szCs w:val="18"/>
              </w:rPr>
              <w:t xml:space="preserve">     - 24 år</w:t>
            </w:r>
          </w:p>
        </w:tc>
        <w:tc>
          <w:tcPr>
            <w:tcW w:w="263" w:type="pct"/>
            <w:tcBorders>
              <w:top w:val="single" w:sz="4" w:space="0" w:color="auto"/>
            </w:tcBorders>
            <w:vAlign w:val="bottom"/>
          </w:tcPr>
          <w:p w14:paraId="69C3AAEE" w14:textId="77777777" w:rsidR="005F400D" w:rsidRPr="00DB09B3" w:rsidRDefault="005F400D" w:rsidP="008C4FE7">
            <w:pPr>
              <w:spacing w:after="0"/>
              <w:jc w:val="center"/>
              <w:rPr>
                <w:sz w:val="18"/>
                <w:szCs w:val="18"/>
              </w:rPr>
            </w:pPr>
            <w:r w:rsidRPr="00DB09B3">
              <w:rPr>
                <w:sz w:val="18"/>
                <w:szCs w:val="18"/>
              </w:rPr>
              <w:t>93,4</w:t>
            </w:r>
          </w:p>
        </w:tc>
        <w:tc>
          <w:tcPr>
            <w:tcW w:w="265" w:type="pct"/>
            <w:tcBorders>
              <w:top w:val="single" w:sz="4" w:space="0" w:color="auto"/>
            </w:tcBorders>
            <w:vAlign w:val="bottom"/>
          </w:tcPr>
          <w:p w14:paraId="12816B8B" w14:textId="77777777" w:rsidR="005F400D" w:rsidRPr="00DB09B3" w:rsidRDefault="005F400D" w:rsidP="008C4FE7">
            <w:pPr>
              <w:spacing w:after="0"/>
              <w:jc w:val="center"/>
              <w:rPr>
                <w:sz w:val="18"/>
                <w:szCs w:val="18"/>
              </w:rPr>
            </w:pPr>
            <w:r w:rsidRPr="00DB09B3">
              <w:rPr>
                <w:sz w:val="18"/>
                <w:szCs w:val="18"/>
              </w:rPr>
              <w:t>93,6</w:t>
            </w:r>
          </w:p>
        </w:tc>
        <w:tc>
          <w:tcPr>
            <w:tcW w:w="263" w:type="pct"/>
            <w:tcBorders>
              <w:top w:val="single" w:sz="4" w:space="0" w:color="auto"/>
            </w:tcBorders>
            <w:vAlign w:val="bottom"/>
          </w:tcPr>
          <w:p w14:paraId="0A076960" w14:textId="77777777" w:rsidR="005F400D" w:rsidRPr="00DB09B3" w:rsidRDefault="005F400D" w:rsidP="008C4FE7">
            <w:pPr>
              <w:spacing w:after="0"/>
              <w:jc w:val="center"/>
              <w:rPr>
                <w:sz w:val="18"/>
                <w:szCs w:val="18"/>
              </w:rPr>
            </w:pPr>
            <w:r w:rsidRPr="00DB09B3">
              <w:rPr>
                <w:sz w:val="18"/>
                <w:szCs w:val="18"/>
              </w:rPr>
              <w:t>92,7</w:t>
            </w:r>
          </w:p>
        </w:tc>
        <w:tc>
          <w:tcPr>
            <w:tcW w:w="263" w:type="pct"/>
            <w:tcBorders>
              <w:top w:val="single" w:sz="4" w:space="0" w:color="auto"/>
              <w:right w:val="single" w:sz="4" w:space="0" w:color="auto"/>
            </w:tcBorders>
            <w:vAlign w:val="bottom"/>
          </w:tcPr>
          <w:p w14:paraId="59622BFD" w14:textId="77777777" w:rsidR="005F400D" w:rsidRPr="00DB09B3" w:rsidRDefault="005F400D" w:rsidP="008C4FE7">
            <w:pPr>
              <w:spacing w:after="0"/>
              <w:jc w:val="center"/>
              <w:rPr>
                <w:sz w:val="18"/>
                <w:szCs w:val="18"/>
              </w:rPr>
            </w:pPr>
            <w:r w:rsidRPr="00DB09B3">
              <w:rPr>
                <w:sz w:val="18"/>
                <w:szCs w:val="18"/>
              </w:rPr>
              <w:t>92,9</w:t>
            </w:r>
          </w:p>
        </w:tc>
        <w:tc>
          <w:tcPr>
            <w:tcW w:w="263" w:type="pct"/>
            <w:tcBorders>
              <w:top w:val="single" w:sz="4" w:space="0" w:color="auto"/>
              <w:left w:val="single" w:sz="4" w:space="0" w:color="auto"/>
            </w:tcBorders>
            <w:vAlign w:val="bottom"/>
          </w:tcPr>
          <w:p w14:paraId="263E77E1" w14:textId="77777777" w:rsidR="005F400D" w:rsidRPr="00DB09B3" w:rsidRDefault="005F400D" w:rsidP="008C4FE7">
            <w:pPr>
              <w:spacing w:after="0"/>
              <w:jc w:val="center"/>
              <w:rPr>
                <w:color w:val="000000"/>
                <w:sz w:val="18"/>
                <w:szCs w:val="18"/>
              </w:rPr>
            </w:pPr>
            <w:r w:rsidRPr="00DB09B3">
              <w:rPr>
                <w:color w:val="000000"/>
                <w:sz w:val="18"/>
                <w:szCs w:val="18"/>
              </w:rPr>
              <w:t>91,9</w:t>
            </w:r>
          </w:p>
        </w:tc>
        <w:tc>
          <w:tcPr>
            <w:tcW w:w="261" w:type="pct"/>
            <w:tcBorders>
              <w:top w:val="single" w:sz="4" w:space="0" w:color="auto"/>
            </w:tcBorders>
            <w:vAlign w:val="bottom"/>
          </w:tcPr>
          <w:p w14:paraId="4589CCF4" w14:textId="77777777" w:rsidR="005F400D" w:rsidRPr="00DB09B3" w:rsidRDefault="005F400D" w:rsidP="008C4FE7">
            <w:pPr>
              <w:spacing w:after="0"/>
              <w:jc w:val="center"/>
              <w:rPr>
                <w:color w:val="000000"/>
                <w:sz w:val="18"/>
                <w:szCs w:val="18"/>
              </w:rPr>
            </w:pPr>
            <w:r w:rsidRPr="00DB09B3">
              <w:rPr>
                <w:color w:val="000000"/>
                <w:sz w:val="18"/>
                <w:szCs w:val="18"/>
              </w:rPr>
              <w:t>91,7</w:t>
            </w:r>
          </w:p>
        </w:tc>
        <w:tc>
          <w:tcPr>
            <w:tcW w:w="261" w:type="pct"/>
            <w:tcBorders>
              <w:top w:val="single" w:sz="4" w:space="0" w:color="auto"/>
            </w:tcBorders>
            <w:vAlign w:val="bottom"/>
          </w:tcPr>
          <w:p w14:paraId="52887ACA" w14:textId="77777777" w:rsidR="005F400D" w:rsidRPr="00A71605" w:rsidRDefault="005F400D" w:rsidP="008C4FE7">
            <w:pPr>
              <w:spacing w:after="0"/>
              <w:jc w:val="center"/>
              <w:rPr>
                <w:rFonts w:ascii="Times New Roman" w:hAnsi="Times New Roman"/>
                <w:color w:val="000000"/>
                <w:sz w:val="18"/>
                <w:szCs w:val="18"/>
              </w:rPr>
            </w:pPr>
            <w:r w:rsidRPr="00A71605">
              <w:rPr>
                <w:rFonts w:ascii="Times New Roman" w:hAnsi="Times New Roman"/>
                <w:color w:val="000000"/>
                <w:sz w:val="18"/>
                <w:szCs w:val="18"/>
              </w:rPr>
              <w:t>91,5</w:t>
            </w:r>
          </w:p>
        </w:tc>
        <w:tc>
          <w:tcPr>
            <w:tcW w:w="261" w:type="pct"/>
            <w:tcBorders>
              <w:top w:val="single" w:sz="4" w:space="0" w:color="auto"/>
            </w:tcBorders>
            <w:vAlign w:val="bottom"/>
          </w:tcPr>
          <w:p w14:paraId="58DB8287" w14:textId="77777777" w:rsidR="005F400D" w:rsidRPr="00C55AE5" w:rsidRDefault="005F400D" w:rsidP="008C4FE7">
            <w:pPr>
              <w:spacing w:after="100" w:afterAutospacing="1"/>
              <w:jc w:val="center"/>
              <w:rPr>
                <w:rFonts w:ascii="Times New Roman" w:hAnsi="Times New Roman"/>
                <w:color w:val="000000"/>
                <w:sz w:val="18"/>
                <w:szCs w:val="18"/>
              </w:rPr>
            </w:pPr>
            <w:r w:rsidRPr="00C55AE5">
              <w:rPr>
                <w:sz w:val="18"/>
                <w:szCs w:val="18"/>
              </w:rPr>
              <w:t>91,4</w:t>
            </w:r>
          </w:p>
        </w:tc>
        <w:tc>
          <w:tcPr>
            <w:tcW w:w="261" w:type="pct"/>
            <w:tcBorders>
              <w:top w:val="single" w:sz="4" w:space="0" w:color="auto"/>
            </w:tcBorders>
            <w:vAlign w:val="bottom"/>
          </w:tcPr>
          <w:p w14:paraId="782B6B80" w14:textId="77777777" w:rsidR="005F400D" w:rsidRPr="00C55AE5" w:rsidRDefault="005F400D" w:rsidP="008C4FE7">
            <w:pPr>
              <w:spacing w:after="0"/>
              <w:jc w:val="center"/>
              <w:rPr>
                <w:sz w:val="18"/>
                <w:szCs w:val="18"/>
              </w:rPr>
            </w:pPr>
            <w:r>
              <w:rPr>
                <w:color w:val="000000"/>
                <w:sz w:val="18"/>
                <w:szCs w:val="18"/>
              </w:rPr>
              <w:t>91,7</w:t>
            </w:r>
          </w:p>
        </w:tc>
        <w:tc>
          <w:tcPr>
            <w:tcW w:w="261" w:type="pct"/>
            <w:tcBorders>
              <w:top w:val="single" w:sz="4" w:space="0" w:color="auto"/>
            </w:tcBorders>
            <w:vAlign w:val="bottom"/>
          </w:tcPr>
          <w:p w14:paraId="34C8145F" w14:textId="77777777" w:rsidR="005F400D" w:rsidRPr="00AA2BA1" w:rsidRDefault="005F400D" w:rsidP="008C4FE7">
            <w:pPr>
              <w:spacing w:after="0"/>
              <w:jc w:val="center"/>
              <w:rPr>
                <w:rFonts w:ascii="Times New Roman" w:hAnsi="Times New Roman"/>
                <w:color w:val="000000"/>
                <w:sz w:val="18"/>
                <w:szCs w:val="18"/>
              </w:rPr>
            </w:pPr>
            <w:r w:rsidRPr="00AA2BA1">
              <w:rPr>
                <w:rFonts w:ascii="Times New Roman" w:hAnsi="Times New Roman"/>
                <w:color w:val="000000"/>
                <w:sz w:val="18"/>
                <w:szCs w:val="18"/>
              </w:rPr>
              <w:t>91,6</w:t>
            </w:r>
          </w:p>
        </w:tc>
        <w:tc>
          <w:tcPr>
            <w:tcW w:w="478" w:type="pct"/>
            <w:tcBorders>
              <w:top w:val="single" w:sz="4" w:space="0" w:color="auto"/>
            </w:tcBorders>
            <w:vAlign w:val="bottom"/>
          </w:tcPr>
          <w:p w14:paraId="7AC2588D" w14:textId="77777777" w:rsidR="005F400D" w:rsidRPr="004F06EA" w:rsidRDefault="005F400D" w:rsidP="008C4FE7">
            <w:pPr>
              <w:spacing w:after="0"/>
              <w:jc w:val="center"/>
              <w:rPr>
                <w:sz w:val="18"/>
                <w:szCs w:val="18"/>
              </w:rPr>
            </w:pPr>
            <w:r w:rsidRPr="004F06EA">
              <w:rPr>
                <w:sz w:val="18"/>
                <w:szCs w:val="18"/>
              </w:rPr>
              <w:t>91,8</w:t>
            </w:r>
          </w:p>
        </w:tc>
        <w:tc>
          <w:tcPr>
            <w:tcW w:w="494" w:type="pct"/>
            <w:tcBorders>
              <w:top w:val="single" w:sz="4" w:space="0" w:color="auto"/>
            </w:tcBorders>
            <w:vAlign w:val="bottom"/>
          </w:tcPr>
          <w:p w14:paraId="0CCC0379" w14:textId="77777777" w:rsidR="005F400D" w:rsidRPr="004F06EA" w:rsidRDefault="005F400D" w:rsidP="008C4FE7">
            <w:pPr>
              <w:spacing w:after="0"/>
              <w:rPr>
                <w:sz w:val="18"/>
                <w:szCs w:val="18"/>
              </w:rPr>
            </w:pPr>
            <w:r w:rsidRPr="004F06EA">
              <w:rPr>
                <w:sz w:val="18"/>
                <w:szCs w:val="18"/>
              </w:rPr>
              <w:t xml:space="preserve"> 349 200 </w:t>
            </w:r>
          </w:p>
        </w:tc>
        <w:tc>
          <w:tcPr>
            <w:tcW w:w="420" w:type="pct"/>
            <w:tcBorders>
              <w:top w:val="single" w:sz="4" w:space="0" w:color="auto"/>
            </w:tcBorders>
            <w:vAlign w:val="bottom"/>
          </w:tcPr>
          <w:p w14:paraId="09AE0251" w14:textId="77777777" w:rsidR="005F400D" w:rsidRPr="004F06EA" w:rsidRDefault="005F400D" w:rsidP="008C4FE7">
            <w:pPr>
              <w:spacing w:after="0"/>
              <w:rPr>
                <w:sz w:val="18"/>
                <w:szCs w:val="18"/>
              </w:rPr>
            </w:pPr>
            <w:r w:rsidRPr="004F06EA">
              <w:rPr>
                <w:sz w:val="18"/>
                <w:szCs w:val="18"/>
              </w:rPr>
              <w:t xml:space="preserve"> 320 400 </w:t>
            </w:r>
          </w:p>
        </w:tc>
        <w:tc>
          <w:tcPr>
            <w:tcW w:w="370" w:type="pct"/>
            <w:tcBorders>
              <w:top w:val="single" w:sz="4" w:space="0" w:color="auto"/>
            </w:tcBorders>
            <w:vAlign w:val="bottom"/>
          </w:tcPr>
          <w:p w14:paraId="739B8A3B" w14:textId="77777777" w:rsidR="005F400D" w:rsidRPr="00396867" w:rsidRDefault="005F400D" w:rsidP="008C4FE7">
            <w:pPr>
              <w:spacing w:after="0"/>
              <w:jc w:val="center"/>
              <w:rPr>
                <w:rFonts w:ascii="Times New Roman" w:hAnsi="Times New Roman"/>
                <w:sz w:val="18"/>
                <w:szCs w:val="18"/>
              </w:rPr>
            </w:pPr>
            <w:r w:rsidRPr="00396867">
              <w:rPr>
                <w:rFonts w:ascii="Times New Roman" w:hAnsi="Times New Roman"/>
                <w:sz w:val="18"/>
                <w:szCs w:val="18"/>
              </w:rPr>
              <w:t>38</w:t>
            </w:r>
          </w:p>
        </w:tc>
      </w:tr>
      <w:tr w:rsidR="005F400D" w:rsidRPr="00DB09B3" w14:paraId="0E686D9D" w14:textId="77777777" w:rsidTr="00B63DF5">
        <w:trPr>
          <w:trHeight w:val="340"/>
        </w:trPr>
        <w:tc>
          <w:tcPr>
            <w:tcW w:w="617" w:type="pct"/>
            <w:vAlign w:val="bottom"/>
          </w:tcPr>
          <w:p w14:paraId="3DD20D0D" w14:textId="77777777" w:rsidR="005F400D" w:rsidRPr="00DB09B3" w:rsidRDefault="005F400D" w:rsidP="008C4FE7">
            <w:pPr>
              <w:spacing w:after="0"/>
              <w:rPr>
                <w:sz w:val="18"/>
                <w:szCs w:val="18"/>
              </w:rPr>
            </w:pPr>
            <w:r w:rsidRPr="00DB09B3">
              <w:rPr>
                <w:sz w:val="18"/>
                <w:szCs w:val="18"/>
              </w:rPr>
              <w:t>25 – 29 år</w:t>
            </w:r>
          </w:p>
        </w:tc>
        <w:tc>
          <w:tcPr>
            <w:tcW w:w="263" w:type="pct"/>
            <w:vAlign w:val="bottom"/>
          </w:tcPr>
          <w:p w14:paraId="3E4B85F0" w14:textId="77777777" w:rsidR="005F400D" w:rsidRPr="00DB09B3" w:rsidRDefault="005F400D" w:rsidP="008C4FE7">
            <w:pPr>
              <w:spacing w:after="0"/>
              <w:jc w:val="center"/>
              <w:rPr>
                <w:sz w:val="18"/>
                <w:szCs w:val="18"/>
              </w:rPr>
            </w:pPr>
            <w:r w:rsidRPr="00DB09B3">
              <w:rPr>
                <w:sz w:val="18"/>
                <w:szCs w:val="18"/>
              </w:rPr>
              <w:t>93,8</w:t>
            </w:r>
          </w:p>
        </w:tc>
        <w:tc>
          <w:tcPr>
            <w:tcW w:w="265" w:type="pct"/>
            <w:vAlign w:val="bottom"/>
          </w:tcPr>
          <w:p w14:paraId="725E1656" w14:textId="77777777" w:rsidR="005F400D" w:rsidRPr="00DB09B3" w:rsidRDefault="005F400D" w:rsidP="008C4FE7">
            <w:pPr>
              <w:spacing w:after="0"/>
              <w:jc w:val="center"/>
              <w:rPr>
                <w:sz w:val="18"/>
                <w:szCs w:val="18"/>
              </w:rPr>
            </w:pPr>
            <w:r w:rsidRPr="00DB09B3">
              <w:rPr>
                <w:sz w:val="18"/>
                <w:szCs w:val="18"/>
              </w:rPr>
              <w:t>93,4</w:t>
            </w:r>
          </w:p>
        </w:tc>
        <w:tc>
          <w:tcPr>
            <w:tcW w:w="263" w:type="pct"/>
            <w:vAlign w:val="bottom"/>
          </w:tcPr>
          <w:p w14:paraId="1E8BCC64" w14:textId="77777777" w:rsidR="005F400D" w:rsidRPr="00DB09B3" w:rsidRDefault="005F400D" w:rsidP="008C4FE7">
            <w:pPr>
              <w:spacing w:after="0"/>
              <w:jc w:val="center"/>
              <w:rPr>
                <w:sz w:val="18"/>
                <w:szCs w:val="18"/>
              </w:rPr>
            </w:pPr>
            <w:r w:rsidRPr="00DB09B3">
              <w:rPr>
                <w:sz w:val="18"/>
                <w:szCs w:val="18"/>
              </w:rPr>
              <w:t>92,7</w:t>
            </w:r>
          </w:p>
        </w:tc>
        <w:tc>
          <w:tcPr>
            <w:tcW w:w="263" w:type="pct"/>
            <w:tcBorders>
              <w:right w:val="single" w:sz="4" w:space="0" w:color="auto"/>
            </w:tcBorders>
            <w:vAlign w:val="bottom"/>
          </w:tcPr>
          <w:p w14:paraId="742CE893" w14:textId="77777777" w:rsidR="005F400D" w:rsidRPr="00DB09B3" w:rsidRDefault="005F400D" w:rsidP="008C4FE7">
            <w:pPr>
              <w:spacing w:after="0"/>
              <w:jc w:val="center"/>
              <w:rPr>
                <w:sz w:val="18"/>
                <w:szCs w:val="18"/>
              </w:rPr>
            </w:pPr>
            <w:r w:rsidRPr="00DB09B3">
              <w:rPr>
                <w:sz w:val="18"/>
                <w:szCs w:val="18"/>
              </w:rPr>
              <w:t>93,1</w:t>
            </w:r>
          </w:p>
        </w:tc>
        <w:tc>
          <w:tcPr>
            <w:tcW w:w="263" w:type="pct"/>
            <w:tcBorders>
              <w:left w:val="single" w:sz="4" w:space="0" w:color="auto"/>
            </w:tcBorders>
            <w:vAlign w:val="bottom"/>
          </w:tcPr>
          <w:p w14:paraId="79E33DD8" w14:textId="77777777" w:rsidR="005F400D" w:rsidRPr="00DB09B3" w:rsidRDefault="005F400D" w:rsidP="008C4FE7">
            <w:pPr>
              <w:spacing w:after="0"/>
              <w:jc w:val="center"/>
              <w:rPr>
                <w:color w:val="000000"/>
                <w:sz w:val="18"/>
                <w:szCs w:val="18"/>
              </w:rPr>
            </w:pPr>
            <w:r w:rsidRPr="00DB09B3">
              <w:rPr>
                <w:color w:val="000000"/>
                <w:sz w:val="18"/>
                <w:szCs w:val="18"/>
              </w:rPr>
              <w:t>92,0</w:t>
            </w:r>
          </w:p>
        </w:tc>
        <w:tc>
          <w:tcPr>
            <w:tcW w:w="261" w:type="pct"/>
            <w:vAlign w:val="bottom"/>
          </w:tcPr>
          <w:p w14:paraId="1DC87DC8" w14:textId="77777777" w:rsidR="005F400D" w:rsidRPr="00DB09B3" w:rsidRDefault="005F400D" w:rsidP="008C4FE7">
            <w:pPr>
              <w:spacing w:after="0"/>
              <w:jc w:val="center"/>
              <w:rPr>
                <w:color w:val="000000"/>
                <w:sz w:val="18"/>
                <w:szCs w:val="18"/>
              </w:rPr>
            </w:pPr>
            <w:r w:rsidRPr="00DB09B3">
              <w:rPr>
                <w:color w:val="000000"/>
                <w:sz w:val="18"/>
                <w:szCs w:val="18"/>
              </w:rPr>
              <w:t>92,7</w:t>
            </w:r>
          </w:p>
        </w:tc>
        <w:tc>
          <w:tcPr>
            <w:tcW w:w="261" w:type="pct"/>
            <w:vAlign w:val="bottom"/>
          </w:tcPr>
          <w:p w14:paraId="2F8E344E" w14:textId="77777777" w:rsidR="005F400D" w:rsidRPr="00A71605" w:rsidRDefault="005F400D" w:rsidP="008C4FE7">
            <w:pPr>
              <w:spacing w:after="0"/>
              <w:jc w:val="center"/>
              <w:rPr>
                <w:rFonts w:ascii="Times New Roman" w:hAnsi="Times New Roman"/>
                <w:color w:val="000000"/>
                <w:sz w:val="18"/>
                <w:szCs w:val="18"/>
              </w:rPr>
            </w:pPr>
            <w:r w:rsidRPr="00A71605">
              <w:rPr>
                <w:rFonts w:ascii="Times New Roman" w:hAnsi="Times New Roman"/>
                <w:color w:val="000000"/>
                <w:sz w:val="18"/>
                <w:szCs w:val="18"/>
              </w:rPr>
              <w:t>92,7</w:t>
            </w:r>
          </w:p>
        </w:tc>
        <w:tc>
          <w:tcPr>
            <w:tcW w:w="261" w:type="pct"/>
            <w:vAlign w:val="bottom"/>
          </w:tcPr>
          <w:p w14:paraId="7D795538" w14:textId="77777777" w:rsidR="005F400D" w:rsidRPr="00C55AE5" w:rsidRDefault="005F400D" w:rsidP="008C4FE7">
            <w:pPr>
              <w:spacing w:after="100" w:afterAutospacing="1"/>
              <w:jc w:val="center"/>
              <w:rPr>
                <w:rFonts w:ascii="Times New Roman" w:hAnsi="Times New Roman"/>
                <w:color w:val="000000"/>
                <w:sz w:val="18"/>
                <w:szCs w:val="18"/>
              </w:rPr>
            </w:pPr>
            <w:r w:rsidRPr="00C55AE5">
              <w:rPr>
                <w:sz w:val="18"/>
                <w:szCs w:val="18"/>
              </w:rPr>
              <w:t>92,9</w:t>
            </w:r>
          </w:p>
        </w:tc>
        <w:tc>
          <w:tcPr>
            <w:tcW w:w="261" w:type="pct"/>
            <w:vAlign w:val="bottom"/>
          </w:tcPr>
          <w:p w14:paraId="32C75116" w14:textId="77777777" w:rsidR="005F400D" w:rsidRPr="00C55AE5" w:rsidRDefault="005F400D" w:rsidP="008C4FE7">
            <w:pPr>
              <w:spacing w:after="0"/>
              <w:jc w:val="center"/>
              <w:rPr>
                <w:sz w:val="18"/>
                <w:szCs w:val="18"/>
              </w:rPr>
            </w:pPr>
            <w:r>
              <w:rPr>
                <w:color w:val="000000"/>
                <w:sz w:val="18"/>
                <w:szCs w:val="18"/>
              </w:rPr>
              <w:t>93,1</w:t>
            </w:r>
          </w:p>
        </w:tc>
        <w:tc>
          <w:tcPr>
            <w:tcW w:w="261" w:type="pct"/>
            <w:vAlign w:val="bottom"/>
          </w:tcPr>
          <w:p w14:paraId="237E89B1" w14:textId="77777777" w:rsidR="005F400D" w:rsidRPr="00AA2BA1" w:rsidRDefault="005F400D" w:rsidP="008C4FE7">
            <w:pPr>
              <w:spacing w:after="0"/>
              <w:jc w:val="center"/>
              <w:rPr>
                <w:rFonts w:ascii="Times New Roman" w:hAnsi="Times New Roman"/>
                <w:color w:val="000000"/>
                <w:sz w:val="18"/>
                <w:szCs w:val="18"/>
              </w:rPr>
            </w:pPr>
            <w:r w:rsidRPr="00AA2BA1">
              <w:rPr>
                <w:rFonts w:ascii="Times New Roman" w:hAnsi="Times New Roman"/>
                <w:color w:val="000000"/>
                <w:sz w:val="18"/>
                <w:szCs w:val="18"/>
              </w:rPr>
              <w:t>92,6</w:t>
            </w:r>
          </w:p>
        </w:tc>
        <w:tc>
          <w:tcPr>
            <w:tcW w:w="478" w:type="pct"/>
            <w:vAlign w:val="bottom"/>
          </w:tcPr>
          <w:p w14:paraId="487516D4" w14:textId="77777777" w:rsidR="005F400D" w:rsidRPr="004F06EA" w:rsidRDefault="005F400D" w:rsidP="008C4FE7">
            <w:pPr>
              <w:spacing w:after="0"/>
              <w:jc w:val="center"/>
              <w:rPr>
                <w:sz w:val="18"/>
                <w:szCs w:val="18"/>
              </w:rPr>
            </w:pPr>
            <w:r w:rsidRPr="004F06EA">
              <w:rPr>
                <w:sz w:val="18"/>
                <w:szCs w:val="18"/>
              </w:rPr>
              <w:t>92,7</w:t>
            </w:r>
          </w:p>
        </w:tc>
        <w:tc>
          <w:tcPr>
            <w:tcW w:w="494" w:type="pct"/>
            <w:vAlign w:val="bottom"/>
          </w:tcPr>
          <w:p w14:paraId="4EF9A073" w14:textId="77777777" w:rsidR="005F400D" w:rsidRPr="004F06EA" w:rsidRDefault="005F400D" w:rsidP="008C4FE7">
            <w:pPr>
              <w:spacing w:after="0"/>
              <w:rPr>
                <w:sz w:val="18"/>
                <w:szCs w:val="18"/>
              </w:rPr>
            </w:pPr>
            <w:r w:rsidRPr="004F06EA">
              <w:rPr>
                <w:sz w:val="18"/>
                <w:szCs w:val="18"/>
              </w:rPr>
              <w:t xml:space="preserve"> 446 400 </w:t>
            </w:r>
          </w:p>
        </w:tc>
        <w:tc>
          <w:tcPr>
            <w:tcW w:w="420" w:type="pct"/>
            <w:vAlign w:val="bottom"/>
          </w:tcPr>
          <w:p w14:paraId="598D4906" w14:textId="77777777" w:rsidR="005F400D" w:rsidRPr="004F06EA" w:rsidRDefault="005F400D" w:rsidP="008C4FE7">
            <w:pPr>
              <w:spacing w:after="0"/>
              <w:rPr>
                <w:sz w:val="18"/>
                <w:szCs w:val="18"/>
              </w:rPr>
            </w:pPr>
            <w:r w:rsidRPr="004F06EA">
              <w:rPr>
                <w:sz w:val="18"/>
                <w:szCs w:val="18"/>
              </w:rPr>
              <w:t xml:space="preserve"> 414 000 </w:t>
            </w:r>
          </w:p>
        </w:tc>
        <w:tc>
          <w:tcPr>
            <w:tcW w:w="370" w:type="pct"/>
            <w:vAlign w:val="bottom"/>
          </w:tcPr>
          <w:p w14:paraId="1C373E94" w14:textId="77777777" w:rsidR="005F400D" w:rsidRPr="00396867" w:rsidRDefault="005F400D" w:rsidP="008C4FE7">
            <w:pPr>
              <w:spacing w:after="0"/>
              <w:jc w:val="center"/>
              <w:rPr>
                <w:rFonts w:ascii="Times New Roman" w:hAnsi="Times New Roman"/>
                <w:sz w:val="18"/>
                <w:szCs w:val="18"/>
              </w:rPr>
            </w:pPr>
            <w:r w:rsidRPr="00396867">
              <w:rPr>
                <w:rFonts w:ascii="Times New Roman" w:hAnsi="Times New Roman"/>
                <w:sz w:val="18"/>
                <w:szCs w:val="18"/>
              </w:rPr>
              <w:t>37</w:t>
            </w:r>
          </w:p>
        </w:tc>
      </w:tr>
      <w:tr w:rsidR="005F400D" w:rsidRPr="00DB09B3" w14:paraId="67105462" w14:textId="77777777" w:rsidTr="00B63DF5">
        <w:trPr>
          <w:trHeight w:val="340"/>
        </w:trPr>
        <w:tc>
          <w:tcPr>
            <w:tcW w:w="617" w:type="pct"/>
            <w:vAlign w:val="bottom"/>
          </w:tcPr>
          <w:p w14:paraId="5741DC34" w14:textId="77777777" w:rsidR="005F400D" w:rsidRPr="00DB09B3" w:rsidRDefault="005F400D" w:rsidP="008C4FE7">
            <w:pPr>
              <w:spacing w:after="0"/>
              <w:rPr>
                <w:sz w:val="18"/>
                <w:szCs w:val="18"/>
              </w:rPr>
            </w:pPr>
            <w:r w:rsidRPr="00DB09B3">
              <w:rPr>
                <w:sz w:val="18"/>
                <w:szCs w:val="18"/>
              </w:rPr>
              <w:t>30 – 34 år</w:t>
            </w:r>
          </w:p>
        </w:tc>
        <w:tc>
          <w:tcPr>
            <w:tcW w:w="263" w:type="pct"/>
            <w:vAlign w:val="bottom"/>
          </w:tcPr>
          <w:p w14:paraId="14A98B43" w14:textId="77777777" w:rsidR="005F400D" w:rsidRPr="00DB09B3" w:rsidRDefault="005F400D" w:rsidP="008C4FE7">
            <w:pPr>
              <w:spacing w:after="0"/>
              <w:jc w:val="center"/>
              <w:rPr>
                <w:sz w:val="18"/>
                <w:szCs w:val="18"/>
              </w:rPr>
            </w:pPr>
            <w:r w:rsidRPr="00DB09B3">
              <w:rPr>
                <w:sz w:val="18"/>
                <w:szCs w:val="18"/>
              </w:rPr>
              <w:t>90,9</w:t>
            </w:r>
          </w:p>
        </w:tc>
        <w:tc>
          <w:tcPr>
            <w:tcW w:w="265" w:type="pct"/>
            <w:vAlign w:val="bottom"/>
          </w:tcPr>
          <w:p w14:paraId="4750510C" w14:textId="77777777" w:rsidR="005F400D" w:rsidRPr="00DB09B3" w:rsidRDefault="005F400D" w:rsidP="008C4FE7">
            <w:pPr>
              <w:spacing w:after="0"/>
              <w:jc w:val="center"/>
              <w:rPr>
                <w:sz w:val="18"/>
                <w:szCs w:val="18"/>
              </w:rPr>
            </w:pPr>
            <w:r w:rsidRPr="00DB09B3">
              <w:rPr>
                <w:sz w:val="18"/>
                <w:szCs w:val="18"/>
              </w:rPr>
              <w:t>90,6</w:t>
            </w:r>
          </w:p>
        </w:tc>
        <w:tc>
          <w:tcPr>
            <w:tcW w:w="263" w:type="pct"/>
            <w:vAlign w:val="bottom"/>
          </w:tcPr>
          <w:p w14:paraId="6F420CAD" w14:textId="77777777" w:rsidR="005F400D" w:rsidRPr="00DB09B3" w:rsidRDefault="005F400D" w:rsidP="008C4FE7">
            <w:pPr>
              <w:spacing w:after="0"/>
              <w:jc w:val="center"/>
              <w:rPr>
                <w:sz w:val="18"/>
                <w:szCs w:val="18"/>
              </w:rPr>
            </w:pPr>
            <w:r w:rsidRPr="00DB09B3">
              <w:rPr>
                <w:sz w:val="18"/>
                <w:szCs w:val="18"/>
              </w:rPr>
              <w:t>90,1</w:t>
            </w:r>
          </w:p>
        </w:tc>
        <w:tc>
          <w:tcPr>
            <w:tcW w:w="263" w:type="pct"/>
            <w:tcBorders>
              <w:right w:val="single" w:sz="4" w:space="0" w:color="auto"/>
            </w:tcBorders>
            <w:vAlign w:val="bottom"/>
          </w:tcPr>
          <w:p w14:paraId="53ED4873" w14:textId="77777777" w:rsidR="005F400D" w:rsidRPr="00DB09B3" w:rsidRDefault="005F400D" w:rsidP="008C4FE7">
            <w:pPr>
              <w:spacing w:after="0"/>
              <w:jc w:val="center"/>
              <w:rPr>
                <w:sz w:val="18"/>
                <w:szCs w:val="18"/>
              </w:rPr>
            </w:pPr>
            <w:r w:rsidRPr="00DB09B3">
              <w:rPr>
                <w:sz w:val="18"/>
                <w:szCs w:val="18"/>
              </w:rPr>
              <w:t>90,3</w:t>
            </w:r>
          </w:p>
        </w:tc>
        <w:tc>
          <w:tcPr>
            <w:tcW w:w="263" w:type="pct"/>
            <w:tcBorders>
              <w:left w:val="single" w:sz="4" w:space="0" w:color="auto"/>
            </w:tcBorders>
            <w:vAlign w:val="bottom"/>
          </w:tcPr>
          <w:p w14:paraId="51014A81" w14:textId="77777777" w:rsidR="005F400D" w:rsidRPr="00DB09B3" w:rsidRDefault="005F400D" w:rsidP="008C4FE7">
            <w:pPr>
              <w:spacing w:after="0"/>
              <w:jc w:val="center"/>
              <w:rPr>
                <w:color w:val="000000"/>
                <w:sz w:val="18"/>
                <w:szCs w:val="18"/>
              </w:rPr>
            </w:pPr>
            <w:r w:rsidRPr="00DB09B3">
              <w:rPr>
                <w:color w:val="000000"/>
                <w:sz w:val="18"/>
                <w:szCs w:val="18"/>
              </w:rPr>
              <w:t>89,3</w:t>
            </w:r>
          </w:p>
        </w:tc>
        <w:tc>
          <w:tcPr>
            <w:tcW w:w="261" w:type="pct"/>
            <w:vAlign w:val="bottom"/>
          </w:tcPr>
          <w:p w14:paraId="399411D4" w14:textId="77777777" w:rsidR="005F400D" w:rsidRPr="00DB09B3" w:rsidRDefault="005F400D" w:rsidP="008C4FE7">
            <w:pPr>
              <w:spacing w:after="0"/>
              <w:jc w:val="center"/>
              <w:rPr>
                <w:color w:val="000000"/>
                <w:sz w:val="18"/>
                <w:szCs w:val="18"/>
              </w:rPr>
            </w:pPr>
            <w:r w:rsidRPr="00DB09B3">
              <w:rPr>
                <w:color w:val="000000"/>
                <w:sz w:val="18"/>
                <w:szCs w:val="18"/>
              </w:rPr>
              <w:t>90,3</w:t>
            </w:r>
          </w:p>
        </w:tc>
        <w:tc>
          <w:tcPr>
            <w:tcW w:w="261" w:type="pct"/>
            <w:vAlign w:val="bottom"/>
          </w:tcPr>
          <w:p w14:paraId="007CB920" w14:textId="77777777" w:rsidR="005F400D" w:rsidRPr="00A71605" w:rsidRDefault="005F400D" w:rsidP="008C4FE7">
            <w:pPr>
              <w:spacing w:after="0"/>
              <w:jc w:val="center"/>
              <w:rPr>
                <w:rFonts w:ascii="Times New Roman" w:hAnsi="Times New Roman"/>
                <w:color w:val="000000"/>
                <w:sz w:val="18"/>
                <w:szCs w:val="18"/>
              </w:rPr>
            </w:pPr>
            <w:r w:rsidRPr="00A71605">
              <w:rPr>
                <w:rFonts w:ascii="Times New Roman" w:hAnsi="Times New Roman"/>
                <w:color w:val="000000"/>
                <w:sz w:val="18"/>
                <w:szCs w:val="18"/>
              </w:rPr>
              <w:t>91,1</w:t>
            </w:r>
          </w:p>
        </w:tc>
        <w:tc>
          <w:tcPr>
            <w:tcW w:w="261" w:type="pct"/>
            <w:vAlign w:val="bottom"/>
          </w:tcPr>
          <w:p w14:paraId="4BD6C290" w14:textId="77777777" w:rsidR="005F400D" w:rsidRPr="00C55AE5" w:rsidRDefault="005F400D" w:rsidP="008C4FE7">
            <w:pPr>
              <w:spacing w:after="100" w:afterAutospacing="1"/>
              <w:jc w:val="center"/>
              <w:rPr>
                <w:rFonts w:ascii="Times New Roman" w:hAnsi="Times New Roman"/>
                <w:color w:val="000000"/>
                <w:sz w:val="18"/>
                <w:szCs w:val="18"/>
              </w:rPr>
            </w:pPr>
            <w:r w:rsidRPr="00C55AE5">
              <w:rPr>
                <w:sz w:val="18"/>
                <w:szCs w:val="18"/>
              </w:rPr>
              <w:t>91,2</w:t>
            </w:r>
          </w:p>
        </w:tc>
        <w:tc>
          <w:tcPr>
            <w:tcW w:w="261" w:type="pct"/>
            <w:vAlign w:val="bottom"/>
          </w:tcPr>
          <w:p w14:paraId="08F2E22A" w14:textId="77777777" w:rsidR="005F400D" w:rsidRPr="00C55AE5" w:rsidRDefault="005F400D" w:rsidP="008C4FE7">
            <w:pPr>
              <w:spacing w:after="0"/>
              <w:jc w:val="center"/>
              <w:rPr>
                <w:sz w:val="18"/>
                <w:szCs w:val="18"/>
              </w:rPr>
            </w:pPr>
            <w:r>
              <w:rPr>
                <w:color w:val="000000"/>
                <w:sz w:val="18"/>
                <w:szCs w:val="18"/>
              </w:rPr>
              <w:t>92,4</w:t>
            </w:r>
          </w:p>
        </w:tc>
        <w:tc>
          <w:tcPr>
            <w:tcW w:w="261" w:type="pct"/>
            <w:vAlign w:val="bottom"/>
          </w:tcPr>
          <w:p w14:paraId="68DB07A6" w14:textId="77777777" w:rsidR="005F400D" w:rsidRPr="00AA2BA1" w:rsidRDefault="005F400D" w:rsidP="008C4FE7">
            <w:pPr>
              <w:spacing w:after="0"/>
              <w:jc w:val="center"/>
              <w:rPr>
                <w:rFonts w:ascii="Times New Roman" w:hAnsi="Times New Roman"/>
                <w:color w:val="000000"/>
                <w:sz w:val="18"/>
                <w:szCs w:val="18"/>
              </w:rPr>
            </w:pPr>
            <w:r w:rsidRPr="00AA2BA1">
              <w:rPr>
                <w:rFonts w:ascii="Times New Roman" w:hAnsi="Times New Roman"/>
                <w:color w:val="000000"/>
                <w:sz w:val="18"/>
                <w:szCs w:val="18"/>
              </w:rPr>
              <w:t>91,3</w:t>
            </w:r>
          </w:p>
        </w:tc>
        <w:tc>
          <w:tcPr>
            <w:tcW w:w="478" w:type="pct"/>
            <w:vAlign w:val="bottom"/>
          </w:tcPr>
          <w:p w14:paraId="35C15375" w14:textId="77777777" w:rsidR="005F400D" w:rsidRPr="004F06EA" w:rsidRDefault="005F400D" w:rsidP="008C4FE7">
            <w:pPr>
              <w:spacing w:after="0"/>
              <w:jc w:val="center"/>
              <w:rPr>
                <w:sz w:val="18"/>
                <w:szCs w:val="18"/>
              </w:rPr>
            </w:pPr>
            <w:r w:rsidRPr="004F06EA">
              <w:rPr>
                <w:sz w:val="18"/>
                <w:szCs w:val="18"/>
              </w:rPr>
              <w:t>92,2</w:t>
            </w:r>
          </w:p>
        </w:tc>
        <w:tc>
          <w:tcPr>
            <w:tcW w:w="494" w:type="pct"/>
            <w:vAlign w:val="bottom"/>
          </w:tcPr>
          <w:p w14:paraId="54AB7569" w14:textId="77777777" w:rsidR="005F400D" w:rsidRPr="004F06EA" w:rsidRDefault="005F400D" w:rsidP="008C4FE7">
            <w:pPr>
              <w:spacing w:after="0"/>
              <w:rPr>
                <w:sz w:val="18"/>
                <w:szCs w:val="18"/>
              </w:rPr>
            </w:pPr>
            <w:r w:rsidRPr="004F06EA">
              <w:rPr>
                <w:sz w:val="18"/>
                <w:szCs w:val="18"/>
              </w:rPr>
              <w:t xml:space="preserve"> 505 200 </w:t>
            </w:r>
          </w:p>
        </w:tc>
        <w:tc>
          <w:tcPr>
            <w:tcW w:w="420" w:type="pct"/>
            <w:vAlign w:val="bottom"/>
          </w:tcPr>
          <w:p w14:paraId="50C4290A" w14:textId="77777777" w:rsidR="005F400D" w:rsidRPr="004F06EA" w:rsidRDefault="005F400D" w:rsidP="008C4FE7">
            <w:pPr>
              <w:spacing w:after="0"/>
              <w:rPr>
                <w:sz w:val="18"/>
                <w:szCs w:val="18"/>
              </w:rPr>
            </w:pPr>
            <w:r w:rsidRPr="004F06EA">
              <w:rPr>
                <w:sz w:val="18"/>
                <w:szCs w:val="18"/>
              </w:rPr>
              <w:t xml:space="preserve"> 465 600 </w:t>
            </w:r>
          </w:p>
        </w:tc>
        <w:tc>
          <w:tcPr>
            <w:tcW w:w="370" w:type="pct"/>
            <w:vAlign w:val="bottom"/>
          </w:tcPr>
          <w:p w14:paraId="1067540E" w14:textId="77777777" w:rsidR="005F400D" w:rsidRPr="00396867" w:rsidRDefault="005F400D" w:rsidP="008C4FE7">
            <w:pPr>
              <w:spacing w:after="0"/>
              <w:jc w:val="center"/>
              <w:rPr>
                <w:rFonts w:ascii="Times New Roman" w:hAnsi="Times New Roman"/>
                <w:sz w:val="18"/>
                <w:szCs w:val="18"/>
              </w:rPr>
            </w:pPr>
            <w:r w:rsidRPr="00396867">
              <w:rPr>
                <w:rFonts w:ascii="Times New Roman" w:hAnsi="Times New Roman"/>
                <w:sz w:val="18"/>
                <w:szCs w:val="18"/>
              </w:rPr>
              <w:t>37</w:t>
            </w:r>
          </w:p>
        </w:tc>
      </w:tr>
      <w:tr w:rsidR="005F400D" w:rsidRPr="00DB09B3" w14:paraId="2299485D" w14:textId="77777777" w:rsidTr="00B63DF5">
        <w:trPr>
          <w:trHeight w:val="340"/>
        </w:trPr>
        <w:tc>
          <w:tcPr>
            <w:tcW w:w="617" w:type="pct"/>
            <w:vAlign w:val="bottom"/>
          </w:tcPr>
          <w:p w14:paraId="78820F63" w14:textId="77777777" w:rsidR="005F400D" w:rsidRPr="00DB09B3" w:rsidRDefault="005F400D" w:rsidP="008C4FE7">
            <w:pPr>
              <w:spacing w:after="0"/>
              <w:rPr>
                <w:sz w:val="18"/>
                <w:szCs w:val="18"/>
              </w:rPr>
            </w:pPr>
            <w:r w:rsidRPr="00DB09B3">
              <w:rPr>
                <w:sz w:val="18"/>
                <w:szCs w:val="18"/>
              </w:rPr>
              <w:t>35 – 39 år</w:t>
            </w:r>
          </w:p>
        </w:tc>
        <w:tc>
          <w:tcPr>
            <w:tcW w:w="263" w:type="pct"/>
            <w:vAlign w:val="bottom"/>
          </w:tcPr>
          <w:p w14:paraId="3095365D" w14:textId="77777777" w:rsidR="005F400D" w:rsidRPr="00DB09B3" w:rsidRDefault="005F400D" w:rsidP="008C4FE7">
            <w:pPr>
              <w:spacing w:after="0"/>
              <w:jc w:val="center"/>
              <w:rPr>
                <w:sz w:val="18"/>
                <w:szCs w:val="18"/>
              </w:rPr>
            </w:pPr>
            <w:r w:rsidRPr="00DB09B3">
              <w:rPr>
                <w:sz w:val="18"/>
                <w:szCs w:val="18"/>
              </w:rPr>
              <w:t>88,9</w:t>
            </w:r>
          </w:p>
        </w:tc>
        <w:tc>
          <w:tcPr>
            <w:tcW w:w="265" w:type="pct"/>
            <w:vAlign w:val="bottom"/>
          </w:tcPr>
          <w:p w14:paraId="675348C0" w14:textId="77777777" w:rsidR="005F400D" w:rsidRPr="00DB09B3" w:rsidRDefault="005F400D" w:rsidP="008C4FE7">
            <w:pPr>
              <w:spacing w:after="0"/>
              <w:jc w:val="center"/>
              <w:rPr>
                <w:sz w:val="18"/>
                <w:szCs w:val="18"/>
              </w:rPr>
            </w:pPr>
            <w:r w:rsidRPr="00DB09B3">
              <w:rPr>
                <w:sz w:val="18"/>
                <w:szCs w:val="18"/>
              </w:rPr>
              <w:t>88,8</w:t>
            </w:r>
          </w:p>
        </w:tc>
        <w:tc>
          <w:tcPr>
            <w:tcW w:w="263" w:type="pct"/>
            <w:vAlign w:val="bottom"/>
          </w:tcPr>
          <w:p w14:paraId="011AEC15" w14:textId="77777777" w:rsidR="005F400D" w:rsidRPr="00DB09B3" w:rsidRDefault="005F400D" w:rsidP="008C4FE7">
            <w:pPr>
              <w:spacing w:after="0"/>
              <w:jc w:val="center"/>
              <w:rPr>
                <w:sz w:val="18"/>
                <w:szCs w:val="18"/>
              </w:rPr>
            </w:pPr>
            <w:r w:rsidRPr="00DB09B3">
              <w:rPr>
                <w:sz w:val="18"/>
                <w:szCs w:val="18"/>
              </w:rPr>
              <w:t>87,6</w:t>
            </w:r>
          </w:p>
        </w:tc>
        <w:tc>
          <w:tcPr>
            <w:tcW w:w="263" w:type="pct"/>
            <w:tcBorders>
              <w:right w:val="single" w:sz="4" w:space="0" w:color="auto"/>
            </w:tcBorders>
            <w:vAlign w:val="bottom"/>
          </w:tcPr>
          <w:p w14:paraId="00DF9E8D" w14:textId="77777777" w:rsidR="005F400D" w:rsidRPr="00DB09B3" w:rsidRDefault="005F400D" w:rsidP="008C4FE7">
            <w:pPr>
              <w:spacing w:after="0"/>
              <w:jc w:val="center"/>
              <w:rPr>
                <w:sz w:val="18"/>
                <w:szCs w:val="18"/>
              </w:rPr>
            </w:pPr>
            <w:r w:rsidRPr="00DB09B3">
              <w:rPr>
                <w:sz w:val="18"/>
                <w:szCs w:val="18"/>
              </w:rPr>
              <w:t>88,0</w:t>
            </w:r>
          </w:p>
        </w:tc>
        <w:tc>
          <w:tcPr>
            <w:tcW w:w="263" w:type="pct"/>
            <w:tcBorders>
              <w:left w:val="single" w:sz="4" w:space="0" w:color="auto"/>
            </w:tcBorders>
            <w:vAlign w:val="bottom"/>
          </w:tcPr>
          <w:p w14:paraId="1DD22E30" w14:textId="77777777" w:rsidR="005F400D" w:rsidRPr="00DB09B3" w:rsidRDefault="005F400D" w:rsidP="008C4FE7">
            <w:pPr>
              <w:spacing w:after="0"/>
              <w:jc w:val="center"/>
              <w:rPr>
                <w:color w:val="000000"/>
                <w:sz w:val="18"/>
                <w:szCs w:val="18"/>
              </w:rPr>
            </w:pPr>
            <w:r w:rsidRPr="00DB09B3">
              <w:rPr>
                <w:color w:val="000000"/>
                <w:sz w:val="18"/>
                <w:szCs w:val="18"/>
              </w:rPr>
              <w:t>87,0</w:t>
            </w:r>
          </w:p>
        </w:tc>
        <w:tc>
          <w:tcPr>
            <w:tcW w:w="261" w:type="pct"/>
            <w:vAlign w:val="bottom"/>
          </w:tcPr>
          <w:p w14:paraId="2342B7CC" w14:textId="77777777" w:rsidR="005F400D" w:rsidRPr="00DB09B3" w:rsidRDefault="005F400D" w:rsidP="008C4FE7">
            <w:pPr>
              <w:spacing w:after="0"/>
              <w:jc w:val="center"/>
              <w:rPr>
                <w:color w:val="000000"/>
                <w:sz w:val="18"/>
                <w:szCs w:val="18"/>
              </w:rPr>
            </w:pPr>
            <w:r w:rsidRPr="00DB09B3">
              <w:rPr>
                <w:color w:val="000000"/>
                <w:sz w:val="18"/>
                <w:szCs w:val="18"/>
              </w:rPr>
              <w:t>87,</w:t>
            </w:r>
            <w:r>
              <w:rPr>
                <w:color w:val="000000"/>
                <w:sz w:val="18"/>
                <w:szCs w:val="18"/>
              </w:rPr>
              <w:t>6</w:t>
            </w:r>
          </w:p>
        </w:tc>
        <w:tc>
          <w:tcPr>
            <w:tcW w:w="261" w:type="pct"/>
            <w:vAlign w:val="bottom"/>
          </w:tcPr>
          <w:p w14:paraId="5191DBD2" w14:textId="77777777" w:rsidR="005F400D" w:rsidRPr="00A71605" w:rsidRDefault="005F400D" w:rsidP="008C4FE7">
            <w:pPr>
              <w:spacing w:after="0"/>
              <w:jc w:val="center"/>
              <w:rPr>
                <w:rFonts w:ascii="Times New Roman" w:hAnsi="Times New Roman"/>
                <w:color w:val="000000"/>
                <w:sz w:val="18"/>
                <w:szCs w:val="18"/>
              </w:rPr>
            </w:pPr>
            <w:r w:rsidRPr="00A71605">
              <w:rPr>
                <w:rFonts w:ascii="Times New Roman" w:hAnsi="Times New Roman"/>
                <w:color w:val="000000"/>
                <w:sz w:val="18"/>
                <w:szCs w:val="18"/>
              </w:rPr>
              <w:t>88,0</w:t>
            </w:r>
          </w:p>
        </w:tc>
        <w:tc>
          <w:tcPr>
            <w:tcW w:w="261" w:type="pct"/>
            <w:vAlign w:val="bottom"/>
          </w:tcPr>
          <w:p w14:paraId="63AAED27" w14:textId="77777777" w:rsidR="005F400D" w:rsidRPr="00C55AE5" w:rsidRDefault="005F400D" w:rsidP="008C4FE7">
            <w:pPr>
              <w:spacing w:after="100" w:afterAutospacing="1"/>
              <w:jc w:val="center"/>
              <w:rPr>
                <w:rFonts w:ascii="Times New Roman" w:hAnsi="Times New Roman"/>
                <w:color w:val="000000"/>
                <w:sz w:val="18"/>
                <w:szCs w:val="18"/>
              </w:rPr>
            </w:pPr>
            <w:r w:rsidRPr="00C55AE5">
              <w:rPr>
                <w:sz w:val="18"/>
                <w:szCs w:val="18"/>
              </w:rPr>
              <w:t>87,8</w:t>
            </w:r>
          </w:p>
        </w:tc>
        <w:tc>
          <w:tcPr>
            <w:tcW w:w="261" w:type="pct"/>
            <w:vAlign w:val="bottom"/>
          </w:tcPr>
          <w:p w14:paraId="2F58DBDE" w14:textId="77777777" w:rsidR="005F400D" w:rsidRPr="00C55AE5" w:rsidRDefault="005F400D" w:rsidP="008C4FE7">
            <w:pPr>
              <w:spacing w:after="0"/>
              <w:jc w:val="center"/>
              <w:rPr>
                <w:sz w:val="18"/>
                <w:szCs w:val="18"/>
              </w:rPr>
            </w:pPr>
            <w:r>
              <w:rPr>
                <w:color w:val="000000"/>
                <w:sz w:val="18"/>
                <w:szCs w:val="18"/>
              </w:rPr>
              <w:t>89,0</w:t>
            </w:r>
          </w:p>
        </w:tc>
        <w:tc>
          <w:tcPr>
            <w:tcW w:w="261" w:type="pct"/>
            <w:vAlign w:val="bottom"/>
          </w:tcPr>
          <w:p w14:paraId="7EF7A04C" w14:textId="77777777" w:rsidR="005F400D" w:rsidRPr="00AA2BA1" w:rsidRDefault="005F400D" w:rsidP="008C4FE7">
            <w:pPr>
              <w:spacing w:after="0"/>
              <w:jc w:val="center"/>
              <w:rPr>
                <w:rFonts w:ascii="Times New Roman" w:hAnsi="Times New Roman"/>
                <w:color w:val="000000"/>
                <w:sz w:val="18"/>
                <w:szCs w:val="18"/>
              </w:rPr>
            </w:pPr>
            <w:r w:rsidRPr="00AA2BA1">
              <w:rPr>
                <w:rFonts w:ascii="Times New Roman" w:hAnsi="Times New Roman"/>
                <w:color w:val="000000"/>
                <w:sz w:val="18"/>
                <w:szCs w:val="18"/>
              </w:rPr>
              <w:t>88,9</w:t>
            </w:r>
          </w:p>
        </w:tc>
        <w:tc>
          <w:tcPr>
            <w:tcW w:w="478" w:type="pct"/>
            <w:vAlign w:val="bottom"/>
          </w:tcPr>
          <w:p w14:paraId="7CCD7CD7" w14:textId="77777777" w:rsidR="005F400D" w:rsidRPr="004F06EA" w:rsidRDefault="005F400D" w:rsidP="008C4FE7">
            <w:pPr>
              <w:spacing w:after="0"/>
              <w:jc w:val="center"/>
              <w:rPr>
                <w:sz w:val="18"/>
                <w:szCs w:val="18"/>
              </w:rPr>
            </w:pPr>
            <w:r w:rsidRPr="004F06EA">
              <w:rPr>
                <w:sz w:val="18"/>
                <w:szCs w:val="18"/>
              </w:rPr>
              <w:t>89,6</w:t>
            </w:r>
          </w:p>
        </w:tc>
        <w:tc>
          <w:tcPr>
            <w:tcW w:w="494" w:type="pct"/>
            <w:vAlign w:val="bottom"/>
          </w:tcPr>
          <w:p w14:paraId="723B4069" w14:textId="77777777" w:rsidR="005F400D" w:rsidRPr="004F06EA" w:rsidRDefault="005F400D" w:rsidP="008C4FE7">
            <w:pPr>
              <w:spacing w:after="0"/>
              <w:rPr>
                <w:sz w:val="18"/>
                <w:szCs w:val="18"/>
              </w:rPr>
            </w:pPr>
            <w:r w:rsidRPr="004F06EA">
              <w:rPr>
                <w:sz w:val="18"/>
                <w:szCs w:val="18"/>
              </w:rPr>
              <w:t xml:space="preserve"> 554 400 </w:t>
            </w:r>
          </w:p>
        </w:tc>
        <w:tc>
          <w:tcPr>
            <w:tcW w:w="420" w:type="pct"/>
            <w:vAlign w:val="bottom"/>
          </w:tcPr>
          <w:p w14:paraId="6622E32B" w14:textId="77777777" w:rsidR="005F400D" w:rsidRPr="004F06EA" w:rsidRDefault="005F400D" w:rsidP="008C4FE7">
            <w:pPr>
              <w:spacing w:after="0"/>
              <w:rPr>
                <w:sz w:val="18"/>
                <w:szCs w:val="18"/>
              </w:rPr>
            </w:pPr>
            <w:r w:rsidRPr="004F06EA">
              <w:rPr>
                <w:sz w:val="18"/>
                <w:szCs w:val="18"/>
              </w:rPr>
              <w:t xml:space="preserve"> 496 800 </w:t>
            </w:r>
          </w:p>
        </w:tc>
        <w:tc>
          <w:tcPr>
            <w:tcW w:w="370" w:type="pct"/>
            <w:vAlign w:val="bottom"/>
          </w:tcPr>
          <w:p w14:paraId="6371DF88" w14:textId="77777777" w:rsidR="005F400D" w:rsidRPr="00396867" w:rsidRDefault="005F400D" w:rsidP="008C4FE7">
            <w:pPr>
              <w:spacing w:after="0"/>
              <w:jc w:val="center"/>
              <w:rPr>
                <w:rFonts w:ascii="Times New Roman" w:hAnsi="Times New Roman"/>
                <w:sz w:val="18"/>
                <w:szCs w:val="18"/>
              </w:rPr>
            </w:pPr>
            <w:r w:rsidRPr="00396867">
              <w:rPr>
                <w:rFonts w:ascii="Times New Roman" w:hAnsi="Times New Roman"/>
                <w:sz w:val="18"/>
                <w:szCs w:val="18"/>
              </w:rPr>
              <w:t>38</w:t>
            </w:r>
          </w:p>
        </w:tc>
      </w:tr>
      <w:tr w:rsidR="005F400D" w:rsidRPr="00DB09B3" w14:paraId="73F2DE48" w14:textId="77777777" w:rsidTr="00B63DF5">
        <w:trPr>
          <w:trHeight w:val="340"/>
        </w:trPr>
        <w:tc>
          <w:tcPr>
            <w:tcW w:w="617" w:type="pct"/>
            <w:vAlign w:val="bottom"/>
          </w:tcPr>
          <w:p w14:paraId="6D79D719" w14:textId="77777777" w:rsidR="005F400D" w:rsidRPr="00DB09B3" w:rsidRDefault="005F400D" w:rsidP="008C4FE7">
            <w:pPr>
              <w:spacing w:after="0"/>
              <w:rPr>
                <w:sz w:val="18"/>
                <w:szCs w:val="18"/>
              </w:rPr>
            </w:pPr>
            <w:r w:rsidRPr="00DB09B3">
              <w:rPr>
                <w:sz w:val="18"/>
                <w:szCs w:val="18"/>
              </w:rPr>
              <w:t>40 – 44 år</w:t>
            </w:r>
          </w:p>
        </w:tc>
        <w:tc>
          <w:tcPr>
            <w:tcW w:w="263" w:type="pct"/>
            <w:vAlign w:val="bottom"/>
          </w:tcPr>
          <w:p w14:paraId="763DC693" w14:textId="77777777" w:rsidR="005F400D" w:rsidRPr="00DB09B3" w:rsidRDefault="005F400D" w:rsidP="008C4FE7">
            <w:pPr>
              <w:spacing w:after="0"/>
              <w:jc w:val="center"/>
              <w:rPr>
                <w:sz w:val="18"/>
                <w:szCs w:val="18"/>
              </w:rPr>
            </w:pPr>
            <w:r w:rsidRPr="00DB09B3">
              <w:rPr>
                <w:sz w:val="18"/>
                <w:szCs w:val="18"/>
              </w:rPr>
              <w:t>86,5</w:t>
            </w:r>
          </w:p>
        </w:tc>
        <w:tc>
          <w:tcPr>
            <w:tcW w:w="265" w:type="pct"/>
            <w:vAlign w:val="bottom"/>
          </w:tcPr>
          <w:p w14:paraId="3AF7F634" w14:textId="77777777" w:rsidR="005F400D" w:rsidRPr="00DB09B3" w:rsidRDefault="005F400D" w:rsidP="008C4FE7">
            <w:pPr>
              <w:spacing w:after="0"/>
              <w:jc w:val="center"/>
              <w:rPr>
                <w:sz w:val="18"/>
                <w:szCs w:val="18"/>
              </w:rPr>
            </w:pPr>
            <w:r w:rsidRPr="00DB09B3">
              <w:rPr>
                <w:sz w:val="18"/>
                <w:szCs w:val="18"/>
              </w:rPr>
              <w:t>86,8</w:t>
            </w:r>
          </w:p>
        </w:tc>
        <w:tc>
          <w:tcPr>
            <w:tcW w:w="263" w:type="pct"/>
            <w:vAlign w:val="bottom"/>
          </w:tcPr>
          <w:p w14:paraId="55AD0C05" w14:textId="77777777" w:rsidR="005F400D" w:rsidRPr="00DB09B3" w:rsidRDefault="005F400D" w:rsidP="008C4FE7">
            <w:pPr>
              <w:spacing w:after="0"/>
              <w:jc w:val="center"/>
              <w:rPr>
                <w:sz w:val="18"/>
                <w:szCs w:val="18"/>
              </w:rPr>
            </w:pPr>
            <w:r w:rsidRPr="00DB09B3">
              <w:rPr>
                <w:sz w:val="18"/>
                <w:szCs w:val="18"/>
              </w:rPr>
              <w:t>86,5</w:t>
            </w:r>
          </w:p>
        </w:tc>
        <w:tc>
          <w:tcPr>
            <w:tcW w:w="263" w:type="pct"/>
            <w:tcBorders>
              <w:right w:val="single" w:sz="4" w:space="0" w:color="auto"/>
            </w:tcBorders>
            <w:vAlign w:val="bottom"/>
          </w:tcPr>
          <w:p w14:paraId="6AB30191" w14:textId="77777777" w:rsidR="005F400D" w:rsidRPr="00DB09B3" w:rsidRDefault="005F400D" w:rsidP="008C4FE7">
            <w:pPr>
              <w:spacing w:after="0"/>
              <w:jc w:val="center"/>
              <w:rPr>
                <w:sz w:val="18"/>
                <w:szCs w:val="18"/>
              </w:rPr>
            </w:pPr>
            <w:r w:rsidRPr="00DB09B3">
              <w:rPr>
                <w:sz w:val="18"/>
                <w:szCs w:val="18"/>
              </w:rPr>
              <w:t>86,8</w:t>
            </w:r>
          </w:p>
        </w:tc>
        <w:tc>
          <w:tcPr>
            <w:tcW w:w="263" w:type="pct"/>
            <w:tcBorders>
              <w:left w:val="single" w:sz="4" w:space="0" w:color="auto"/>
            </w:tcBorders>
            <w:vAlign w:val="bottom"/>
          </w:tcPr>
          <w:p w14:paraId="70500B23" w14:textId="77777777" w:rsidR="005F400D" w:rsidRPr="00DB09B3" w:rsidRDefault="005F400D" w:rsidP="008C4FE7">
            <w:pPr>
              <w:spacing w:after="0"/>
              <w:jc w:val="center"/>
              <w:rPr>
                <w:color w:val="000000"/>
                <w:sz w:val="18"/>
                <w:szCs w:val="18"/>
              </w:rPr>
            </w:pPr>
            <w:r w:rsidRPr="00DB09B3">
              <w:rPr>
                <w:color w:val="000000"/>
                <w:sz w:val="18"/>
                <w:szCs w:val="18"/>
              </w:rPr>
              <w:t>85,8</w:t>
            </w:r>
          </w:p>
        </w:tc>
        <w:tc>
          <w:tcPr>
            <w:tcW w:w="261" w:type="pct"/>
            <w:vAlign w:val="bottom"/>
          </w:tcPr>
          <w:p w14:paraId="49C83A65" w14:textId="77777777" w:rsidR="005F400D" w:rsidRPr="00DB09B3" w:rsidRDefault="005F400D" w:rsidP="008C4FE7">
            <w:pPr>
              <w:spacing w:after="0"/>
              <w:jc w:val="center"/>
              <w:rPr>
                <w:color w:val="000000"/>
                <w:sz w:val="18"/>
                <w:szCs w:val="18"/>
              </w:rPr>
            </w:pPr>
            <w:r w:rsidRPr="00DB09B3">
              <w:rPr>
                <w:color w:val="000000"/>
                <w:sz w:val="18"/>
                <w:szCs w:val="18"/>
              </w:rPr>
              <w:t>86,</w:t>
            </w:r>
            <w:r>
              <w:rPr>
                <w:color w:val="000000"/>
                <w:sz w:val="18"/>
                <w:szCs w:val="18"/>
              </w:rPr>
              <w:t>7</w:t>
            </w:r>
          </w:p>
        </w:tc>
        <w:tc>
          <w:tcPr>
            <w:tcW w:w="261" w:type="pct"/>
            <w:vAlign w:val="bottom"/>
          </w:tcPr>
          <w:p w14:paraId="21751820" w14:textId="77777777" w:rsidR="005F400D" w:rsidRPr="00A71605" w:rsidRDefault="005F400D" w:rsidP="008C4FE7">
            <w:pPr>
              <w:spacing w:after="0"/>
              <w:jc w:val="center"/>
              <w:rPr>
                <w:rFonts w:ascii="Times New Roman" w:hAnsi="Times New Roman"/>
                <w:color w:val="000000"/>
                <w:sz w:val="18"/>
                <w:szCs w:val="18"/>
              </w:rPr>
            </w:pPr>
            <w:r w:rsidRPr="00A71605">
              <w:rPr>
                <w:rFonts w:ascii="Times New Roman" w:hAnsi="Times New Roman"/>
                <w:color w:val="000000"/>
                <w:sz w:val="18"/>
                <w:szCs w:val="18"/>
              </w:rPr>
              <w:t>87,1</w:t>
            </w:r>
          </w:p>
        </w:tc>
        <w:tc>
          <w:tcPr>
            <w:tcW w:w="261" w:type="pct"/>
            <w:vAlign w:val="bottom"/>
          </w:tcPr>
          <w:p w14:paraId="242B3887" w14:textId="77777777" w:rsidR="005F400D" w:rsidRPr="00C55AE5" w:rsidRDefault="005F400D" w:rsidP="008C4FE7">
            <w:pPr>
              <w:spacing w:after="100" w:afterAutospacing="1"/>
              <w:jc w:val="center"/>
              <w:rPr>
                <w:rFonts w:ascii="Times New Roman" w:hAnsi="Times New Roman"/>
                <w:color w:val="000000"/>
                <w:sz w:val="18"/>
                <w:szCs w:val="18"/>
              </w:rPr>
            </w:pPr>
            <w:r w:rsidRPr="00C55AE5">
              <w:rPr>
                <w:sz w:val="18"/>
                <w:szCs w:val="18"/>
              </w:rPr>
              <w:t>87,4</w:t>
            </w:r>
          </w:p>
        </w:tc>
        <w:tc>
          <w:tcPr>
            <w:tcW w:w="261" w:type="pct"/>
            <w:vAlign w:val="bottom"/>
          </w:tcPr>
          <w:p w14:paraId="29244FA9" w14:textId="77777777" w:rsidR="005F400D" w:rsidRPr="00C55AE5" w:rsidRDefault="005F400D" w:rsidP="008C4FE7">
            <w:pPr>
              <w:spacing w:after="0"/>
              <w:jc w:val="center"/>
              <w:rPr>
                <w:sz w:val="18"/>
                <w:szCs w:val="18"/>
              </w:rPr>
            </w:pPr>
            <w:r>
              <w:rPr>
                <w:color w:val="000000"/>
                <w:sz w:val="18"/>
                <w:szCs w:val="18"/>
              </w:rPr>
              <w:t>88,1</w:t>
            </w:r>
          </w:p>
        </w:tc>
        <w:tc>
          <w:tcPr>
            <w:tcW w:w="261" w:type="pct"/>
            <w:vAlign w:val="bottom"/>
          </w:tcPr>
          <w:p w14:paraId="7110DE35" w14:textId="77777777" w:rsidR="005F400D" w:rsidRPr="00AA2BA1" w:rsidRDefault="005F400D" w:rsidP="008C4FE7">
            <w:pPr>
              <w:spacing w:after="0"/>
              <w:jc w:val="center"/>
              <w:rPr>
                <w:rFonts w:ascii="Times New Roman" w:hAnsi="Times New Roman"/>
                <w:color w:val="000000"/>
                <w:sz w:val="18"/>
                <w:szCs w:val="18"/>
              </w:rPr>
            </w:pPr>
            <w:r w:rsidRPr="00AA2BA1">
              <w:rPr>
                <w:rFonts w:ascii="Times New Roman" w:hAnsi="Times New Roman"/>
                <w:color w:val="000000"/>
                <w:sz w:val="18"/>
                <w:szCs w:val="18"/>
              </w:rPr>
              <w:t>87,5</w:t>
            </w:r>
          </w:p>
        </w:tc>
        <w:tc>
          <w:tcPr>
            <w:tcW w:w="478" w:type="pct"/>
            <w:vAlign w:val="bottom"/>
          </w:tcPr>
          <w:p w14:paraId="2F2992F6" w14:textId="77777777" w:rsidR="005F400D" w:rsidRPr="004F06EA" w:rsidRDefault="005F400D" w:rsidP="008C4FE7">
            <w:pPr>
              <w:spacing w:after="0"/>
              <w:jc w:val="center"/>
              <w:rPr>
                <w:sz w:val="18"/>
                <w:szCs w:val="18"/>
              </w:rPr>
            </w:pPr>
            <w:r w:rsidRPr="004F06EA">
              <w:rPr>
                <w:sz w:val="18"/>
                <w:szCs w:val="18"/>
              </w:rPr>
              <w:t>88,0</w:t>
            </w:r>
          </w:p>
        </w:tc>
        <w:tc>
          <w:tcPr>
            <w:tcW w:w="494" w:type="pct"/>
            <w:vAlign w:val="bottom"/>
          </w:tcPr>
          <w:p w14:paraId="68F7BD02" w14:textId="77777777" w:rsidR="005F400D" w:rsidRPr="004F06EA" w:rsidRDefault="005F400D" w:rsidP="008C4FE7">
            <w:pPr>
              <w:spacing w:after="0"/>
              <w:rPr>
                <w:sz w:val="18"/>
                <w:szCs w:val="18"/>
              </w:rPr>
            </w:pPr>
            <w:r w:rsidRPr="004F06EA">
              <w:rPr>
                <w:sz w:val="18"/>
                <w:szCs w:val="18"/>
              </w:rPr>
              <w:t xml:space="preserve"> 590 400 </w:t>
            </w:r>
          </w:p>
        </w:tc>
        <w:tc>
          <w:tcPr>
            <w:tcW w:w="420" w:type="pct"/>
            <w:vAlign w:val="bottom"/>
          </w:tcPr>
          <w:p w14:paraId="031AE72C" w14:textId="77777777" w:rsidR="005F400D" w:rsidRPr="004F06EA" w:rsidRDefault="005F400D" w:rsidP="008C4FE7">
            <w:pPr>
              <w:spacing w:after="0"/>
              <w:rPr>
                <w:sz w:val="18"/>
                <w:szCs w:val="18"/>
              </w:rPr>
            </w:pPr>
            <w:r w:rsidRPr="004F06EA">
              <w:rPr>
                <w:sz w:val="18"/>
                <w:szCs w:val="18"/>
              </w:rPr>
              <w:t xml:space="preserve"> 519 600 </w:t>
            </w:r>
          </w:p>
        </w:tc>
        <w:tc>
          <w:tcPr>
            <w:tcW w:w="370" w:type="pct"/>
            <w:vAlign w:val="bottom"/>
          </w:tcPr>
          <w:p w14:paraId="3A23369C" w14:textId="77777777" w:rsidR="005F400D" w:rsidRPr="00396867" w:rsidRDefault="005F400D" w:rsidP="008C4FE7">
            <w:pPr>
              <w:spacing w:after="0"/>
              <w:jc w:val="center"/>
              <w:rPr>
                <w:rFonts w:ascii="Times New Roman" w:hAnsi="Times New Roman"/>
                <w:sz w:val="18"/>
                <w:szCs w:val="18"/>
              </w:rPr>
            </w:pPr>
            <w:r w:rsidRPr="00396867">
              <w:rPr>
                <w:rFonts w:ascii="Times New Roman" w:hAnsi="Times New Roman"/>
                <w:sz w:val="18"/>
                <w:szCs w:val="18"/>
              </w:rPr>
              <w:t>38</w:t>
            </w:r>
          </w:p>
        </w:tc>
      </w:tr>
      <w:tr w:rsidR="005F400D" w:rsidRPr="00DB09B3" w14:paraId="27AAFBAA" w14:textId="77777777" w:rsidTr="00B63DF5">
        <w:trPr>
          <w:trHeight w:val="340"/>
        </w:trPr>
        <w:tc>
          <w:tcPr>
            <w:tcW w:w="617" w:type="pct"/>
            <w:vAlign w:val="bottom"/>
          </w:tcPr>
          <w:p w14:paraId="4746584E" w14:textId="77777777" w:rsidR="005F400D" w:rsidRPr="00DB09B3" w:rsidRDefault="005F400D" w:rsidP="008C4FE7">
            <w:pPr>
              <w:spacing w:after="0"/>
              <w:rPr>
                <w:sz w:val="18"/>
                <w:szCs w:val="18"/>
              </w:rPr>
            </w:pPr>
            <w:r w:rsidRPr="00DB09B3">
              <w:rPr>
                <w:sz w:val="18"/>
                <w:szCs w:val="18"/>
              </w:rPr>
              <w:t>45 – 49 år</w:t>
            </w:r>
          </w:p>
        </w:tc>
        <w:tc>
          <w:tcPr>
            <w:tcW w:w="263" w:type="pct"/>
            <w:vAlign w:val="bottom"/>
          </w:tcPr>
          <w:p w14:paraId="70B694C1" w14:textId="77777777" w:rsidR="005F400D" w:rsidRPr="00DB09B3" w:rsidRDefault="005F400D" w:rsidP="008C4FE7">
            <w:pPr>
              <w:spacing w:after="0"/>
              <w:jc w:val="center"/>
              <w:rPr>
                <w:sz w:val="18"/>
                <w:szCs w:val="18"/>
              </w:rPr>
            </w:pPr>
            <w:r w:rsidRPr="00DB09B3">
              <w:rPr>
                <w:sz w:val="18"/>
                <w:szCs w:val="18"/>
              </w:rPr>
              <w:t>83,0</w:t>
            </w:r>
          </w:p>
        </w:tc>
        <w:tc>
          <w:tcPr>
            <w:tcW w:w="265" w:type="pct"/>
            <w:vAlign w:val="bottom"/>
          </w:tcPr>
          <w:p w14:paraId="2775A9F3" w14:textId="77777777" w:rsidR="005F400D" w:rsidRPr="00DB09B3" w:rsidRDefault="005F400D" w:rsidP="008C4FE7">
            <w:pPr>
              <w:spacing w:after="0"/>
              <w:jc w:val="center"/>
              <w:rPr>
                <w:sz w:val="18"/>
                <w:szCs w:val="18"/>
              </w:rPr>
            </w:pPr>
            <w:r w:rsidRPr="00DB09B3">
              <w:rPr>
                <w:sz w:val="18"/>
                <w:szCs w:val="18"/>
              </w:rPr>
              <w:t>83,1</w:t>
            </w:r>
          </w:p>
        </w:tc>
        <w:tc>
          <w:tcPr>
            <w:tcW w:w="263" w:type="pct"/>
            <w:vAlign w:val="bottom"/>
          </w:tcPr>
          <w:p w14:paraId="6805903D" w14:textId="77777777" w:rsidR="005F400D" w:rsidRPr="00DB09B3" w:rsidRDefault="005F400D" w:rsidP="008C4FE7">
            <w:pPr>
              <w:spacing w:after="0"/>
              <w:jc w:val="center"/>
              <w:rPr>
                <w:sz w:val="18"/>
                <w:szCs w:val="18"/>
              </w:rPr>
            </w:pPr>
            <w:r w:rsidRPr="00DB09B3">
              <w:rPr>
                <w:sz w:val="18"/>
                <w:szCs w:val="18"/>
              </w:rPr>
              <w:t>83,2</w:t>
            </w:r>
          </w:p>
        </w:tc>
        <w:tc>
          <w:tcPr>
            <w:tcW w:w="263" w:type="pct"/>
            <w:tcBorders>
              <w:right w:val="single" w:sz="4" w:space="0" w:color="auto"/>
            </w:tcBorders>
            <w:vAlign w:val="bottom"/>
          </w:tcPr>
          <w:p w14:paraId="387B6082" w14:textId="77777777" w:rsidR="005F400D" w:rsidRPr="00DB09B3" w:rsidRDefault="005F400D" w:rsidP="008C4FE7">
            <w:pPr>
              <w:spacing w:after="0"/>
              <w:jc w:val="center"/>
              <w:rPr>
                <w:sz w:val="18"/>
                <w:szCs w:val="18"/>
              </w:rPr>
            </w:pPr>
            <w:r w:rsidRPr="00DB09B3">
              <w:rPr>
                <w:sz w:val="18"/>
                <w:szCs w:val="18"/>
              </w:rPr>
              <w:t>84,2</w:t>
            </w:r>
          </w:p>
        </w:tc>
        <w:tc>
          <w:tcPr>
            <w:tcW w:w="263" w:type="pct"/>
            <w:tcBorders>
              <w:left w:val="single" w:sz="4" w:space="0" w:color="auto"/>
            </w:tcBorders>
            <w:vAlign w:val="bottom"/>
          </w:tcPr>
          <w:p w14:paraId="703227BA" w14:textId="77777777" w:rsidR="005F400D" w:rsidRPr="00DB09B3" w:rsidRDefault="005F400D" w:rsidP="008C4FE7">
            <w:pPr>
              <w:spacing w:after="0"/>
              <w:jc w:val="center"/>
              <w:rPr>
                <w:color w:val="000000"/>
                <w:sz w:val="18"/>
                <w:szCs w:val="18"/>
              </w:rPr>
            </w:pPr>
            <w:r w:rsidRPr="00DB09B3">
              <w:rPr>
                <w:color w:val="000000"/>
                <w:sz w:val="18"/>
                <w:szCs w:val="18"/>
              </w:rPr>
              <w:t>83,3</w:t>
            </w:r>
          </w:p>
        </w:tc>
        <w:tc>
          <w:tcPr>
            <w:tcW w:w="261" w:type="pct"/>
            <w:vAlign w:val="bottom"/>
          </w:tcPr>
          <w:p w14:paraId="4F2AF5DE" w14:textId="77777777" w:rsidR="005F400D" w:rsidRPr="00DB09B3" w:rsidRDefault="005F400D" w:rsidP="008C4FE7">
            <w:pPr>
              <w:spacing w:after="0"/>
              <w:jc w:val="center"/>
              <w:rPr>
                <w:color w:val="000000"/>
                <w:sz w:val="18"/>
                <w:szCs w:val="18"/>
              </w:rPr>
            </w:pPr>
            <w:r w:rsidRPr="00DB09B3">
              <w:rPr>
                <w:color w:val="000000"/>
                <w:sz w:val="18"/>
                <w:szCs w:val="18"/>
              </w:rPr>
              <w:t>84,0</w:t>
            </w:r>
          </w:p>
        </w:tc>
        <w:tc>
          <w:tcPr>
            <w:tcW w:w="261" w:type="pct"/>
            <w:vAlign w:val="bottom"/>
          </w:tcPr>
          <w:p w14:paraId="3E2723AF" w14:textId="77777777" w:rsidR="005F400D" w:rsidRPr="00C55AE5" w:rsidRDefault="005F400D" w:rsidP="008C4FE7">
            <w:pPr>
              <w:spacing w:after="100" w:afterAutospacing="1"/>
              <w:jc w:val="center"/>
              <w:rPr>
                <w:rFonts w:ascii="Calibri" w:hAnsi="Calibri"/>
                <w:color w:val="000000"/>
                <w:sz w:val="18"/>
                <w:szCs w:val="18"/>
              </w:rPr>
            </w:pPr>
            <w:r w:rsidRPr="00C55AE5">
              <w:rPr>
                <w:rFonts w:ascii="Calibri" w:hAnsi="Calibri"/>
                <w:color w:val="000000"/>
                <w:sz w:val="18"/>
                <w:szCs w:val="18"/>
              </w:rPr>
              <w:t>85,</w:t>
            </w:r>
            <w:r>
              <w:rPr>
                <w:rFonts w:ascii="Calibri" w:hAnsi="Calibri"/>
                <w:color w:val="000000"/>
                <w:sz w:val="18"/>
                <w:szCs w:val="18"/>
              </w:rPr>
              <w:t>3</w:t>
            </w:r>
          </w:p>
        </w:tc>
        <w:tc>
          <w:tcPr>
            <w:tcW w:w="261" w:type="pct"/>
            <w:vAlign w:val="bottom"/>
          </w:tcPr>
          <w:p w14:paraId="7E90C8D6" w14:textId="77777777" w:rsidR="005F400D" w:rsidRPr="00C55AE5" w:rsidRDefault="005F400D" w:rsidP="008C4FE7">
            <w:pPr>
              <w:spacing w:after="100" w:afterAutospacing="1"/>
              <w:jc w:val="center"/>
              <w:rPr>
                <w:rFonts w:ascii="Times New Roman" w:hAnsi="Times New Roman"/>
                <w:color w:val="000000"/>
                <w:sz w:val="18"/>
                <w:szCs w:val="18"/>
              </w:rPr>
            </w:pPr>
            <w:r w:rsidRPr="00C55AE5">
              <w:rPr>
                <w:sz w:val="18"/>
                <w:szCs w:val="18"/>
              </w:rPr>
              <w:t>86,0</w:t>
            </w:r>
          </w:p>
        </w:tc>
        <w:tc>
          <w:tcPr>
            <w:tcW w:w="261" w:type="pct"/>
            <w:vAlign w:val="bottom"/>
          </w:tcPr>
          <w:p w14:paraId="1375B8E6" w14:textId="77777777" w:rsidR="005F400D" w:rsidRPr="00C55AE5" w:rsidRDefault="005F400D" w:rsidP="008C4FE7">
            <w:pPr>
              <w:spacing w:after="0"/>
              <w:jc w:val="center"/>
              <w:rPr>
                <w:sz w:val="18"/>
                <w:szCs w:val="18"/>
              </w:rPr>
            </w:pPr>
            <w:r>
              <w:rPr>
                <w:color w:val="000000"/>
                <w:sz w:val="18"/>
                <w:szCs w:val="18"/>
              </w:rPr>
              <w:t>86,9</w:t>
            </w:r>
          </w:p>
        </w:tc>
        <w:tc>
          <w:tcPr>
            <w:tcW w:w="261" w:type="pct"/>
            <w:vAlign w:val="bottom"/>
          </w:tcPr>
          <w:p w14:paraId="26430C79" w14:textId="77777777" w:rsidR="005F400D" w:rsidRPr="00AA2BA1" w:rsidRDefault="005F400D" w:rsidP="008C4FE7">
            <w:pPr>
              <w:spacing w:after="0"/>
              <w:jc w:val="center"/>
              <w:rPr>
                <w:rFonts w:ascii="Times New Roman" w:hAnsi="Times New Roman"/>
                <w:color w:val="000000"/>
                <w:sz w:val="18"/>
                <w:szCs w:val="18"/>
              </w:rPr>
            </w:pPr>
            <w:r w:rsidRPr="00AA2BA1">
              <w:rPr>
                <w:rFonts w:ascii="Times New Roman" w:hAnsi="Times New Roman"/>
                <w:color w:val="000000"/>
                <w:sz w:val="18"/>
                <w:szCs w:val="18"/>
              </w:rPr>
              <w:t>86,9</w:t>
            </w:r>
          </w:p>
        </w:tc>
        <w:tc>
          <w:tcPr>
            <w:tcW w:w="478" w:type="pct"/>
            <w:vAlign w:val="bottom"/>
          </w:tcPr>
          <w:p w14:paraId="75424B48" w14:textId="77777777" w:rsidR="005F400D" w:rsidRPr="004F06EA" w:rsidRDefault="005F400D" w:rsidP="008C4FE7">
            <w:pPr>
              <w:spacing w:after="0"/>
              <w:jc w:val="center"/>
              <w:rPr>
                <w:sz w:val="18"/>
                <w:szCs w:val="18"/>
              </w:rPr>
            </w:pPr>
            <w:r w:rsidRPr="004F06EA">
              <w:rPr>
                <w:sz w:val="18"/>
                <w:szCs w:val="18"/>
              </w:rPr>
              <w:t>87,5</w:t>
            </w:r>
          </w:p>
        </w:tc>
        <w:tc>
          <w:tcPr>
            <w:tcW w:w="494" w:type="pct"/>
            <w:vAlign w:val="bottom"/>
          </w:tcPr>
          <w:p w14:paraId="0B4EF462" w14:textId="77777777" w:rsidR="005F400D" w:rsidRPr="004F06EA" w:rsidRDefault="005F400D" w:rsidP="008C4FE7">
            <w:pPr>
              <w:spacing w:after="0"/>
              <w:rPr>
                <w:sz w:val="18"/>
                <w:szCs w:val="18"/>
              </w:rPr>
            </w:pPr>
            <w:r w:rsidRPr="004F06EA">
              <w:rPr>
                <w:sz w:val="18"/>
                <w:szCs w:val="18"/>
              </w:rPr>
              <w:t xml:space="preserve"> 604 800 </w:t>
            </w:r>
          </w:p>
        </w:tc>
        <w:tc>
          <w:tcPr>
            <w:tcW w:w="420" w:type="pct"/>
            <w:vAlign w:val="bottom"/>
          </w:tcPr>
          <w:p w14:paraId="6F020461" w14:textId="77777777" w:rsidR="005F400D" w:rsidRPr="004F06EA" w:rsidRDefault="005F400D" w:rsidP="008C4FE7">
            <w:pPr>
              <w:spacing w:after="0"/>
              <w:rPr>
                <w:sz w:val="18"/>
                <w:szCs w:val="18"/>
              </w:rPr>
            </w:pPr>
            <w:r w:rsidRPr="004F06EA">
              <w:rPr>
                <w:sz w:val="18"/>
                <w:szCs w:val="18"/>
              </w:rPr>
              <w:t xml:space="preserve"> 529 200 </w:t>
            </w:r>
          </w:p>
        </w:tc>
        <w:tc>
          <w:tcPr>
            <w:tcW w:w="370" w:type="pct"/>
            <w:vAlign w:val="bottom"/>
          </w:tcPr>
          <w:p w14:paraId="3B6EE098" w14:textId="77777777" w:rsidR="005F400D" w:rsidRPr="00396867" w:rsidRDefault="005F400D" w:rsidP="008C4FE7">
            <w:pPr>
              <w:spacing w:after="0"/>
              <w:jc w:val="center"/>
              <w:rPr>
                <w:rFonts w:ascii="Times New Roman" w:hAnsi="Times New Roman"/>
                <w:sz w:val="18"/>
                <w:szCs w:val="18"/>
              </w:rPr>
            </w:pPr>
            <w:r w:rsidRPr="00396867">
              <w:rPr>
                <w:rFonts w:ascii="Times New Roman" w:hAnsi="Times New Roman"/>
                <w:sz w:val="18"/>
                <w:szCs w:val="18"/>
              </w:rPr>
              <w:t>38</w:t>
            </w:r>
          </w:p>
        </w:tc>
      </w:tr>
      <w:tr w:rsidR="005F400D" w:rsidRPr="00DB09B3" w14:paraId="6873E27F" w14:textId="77777777" w:rsidTr="00B63DF5">
        <w:trPr>
          <w:trHeight w:val="340"/>
        </w:trPr>
        <w:tc>
          <w:tcPr>
            <w:tcW w:w="617" w:type="pct"/>
            <w:vAlign w:val="bottom"/>
          </w:tcPr>
          <w:p w14:paraId="6585776E" w14:textId="77777777" w:rsidR="005F400D" w:rsidRPr="00DB09B3" w:rsidRDefault="005F400D" w:rsidP="008C4FE7">
            <w:pPr>
              <w:spacing w:after="0"/>
              <w:rPr>
                <w:sz w:val="18"/>
                <w:szCs w:val="18"/>
              </w:rPr>
            </w:pPr>
            <w:r w:rsidRPr="00DB09B3">
              <w:rPr>
                <w:sz w:val="18"/>
                <w:szCs w:val="18"/>
              </w:rPr>
              <w:t>50 – 54 år</w:t>
            </w:r>
          </w:p>
        </w:tc>
        <w:tc>
          <w:tcPr>
            <w:tcW w:w="263" w:type="pct"/>
            <w:vAlign w:val="bottom"/>
          </w:tcPr>
          <w:p w14:paraId="4C43AC86" w14:textId="77777777" w:rsidR="005F400D" w:rsidRPr="00DB09B3" w:rsidRDefault="005F400D" w:rsidP="008C4FE7">
            <w:pPr>
              <w:spacing w:after="0"/>
              <w:jc w:val="center"/>
              <w:rPr>
                <w:sz w:val="18"/>
                <w:szCs w:val="18"/>
              </w:rPr>
            </w:pPr>
            <w:r w:rsidRPr="00DB09B3">
              <w:rPr>
                <w:sz w:val="18"/>
                <w:szCs w:val="18"/>
              </w:rPr>
              <w:t>82,9</w:t>
            </w:r>
          </w:p>
        </w:tc>
        <w:tc>
          <w:tcPr>
            <w:tcW w:w="265" w:type="pct"/>
            <w:vAlign w:val="bottom"/>
          </w:tcPr>
          <w:p w14:paraId="5B3E6A4B" w14:textId="77777777" w:rsidR="005F400D" w:rsidRPr="00DB09B3" w:rsidRDefault="005F400D" w:rsidP="008C4FE7">
            <w:pPr>
              <w:spacing w:after="0"/>
              <w:jc w:val="center"/>
              <w:rPr>
                <w:sz w:val="18"/>
                <w:szCs w:val="18"/>
              </w:rPr>
            </w:pPr>
            <w:r w:rsidRPr="00DB09B3">
              <w:rPr>
                <w:sz w:val="18"/>
                <w:szCs w:val="18"/>
              </w:rPr>
              <w:t>82,7</w:t>
            </w:r>
          </w:p>
        </w:tc>
        <w:tc>
          <w:tcPr>
            <w:tcW w:w="263" w:type="pct"/>
            <w:vAlign w:val="bottom"/>
          </w:tcPr>
          <w:p w14:paraId="0480A261" w14:textId="77777777" w:rsidR="005F400D" w:rsidRPr="00DB09B3" w:rsidRDefault="005F400D" w:rsidP="008C4FE7">
            <w:pPr>
              <w:spacing w:after="0"/>
              <w:jc w:val="center"/>
              <w:rPr>
                <w:sz w:val="18"/>
                <w:szCs w:val="18"/>
              </w:rPr>
            </w:pPr>
            <w:r w:rsidRPr="00DB09B3">
              <w:rPr>
                <w:sz w:val="18"/>
                <w:szCs w:val="18"/>
              </w:rPr>
              <w:t>82,3</w:t>
            </w:r>
          </w:p>
        </w:tc>
        <w:tc>
          <w:tcPr>
            <w:tcW w:w="263" w:type="pct"/>
            <w:tcBorders>
              <w:right w:val="single" w:sz="4" w:space="0" w:color="auto"/>
            </w:tcBorders>
            <w:vAlign w:val="bottom"/>
          </w:tcPr>
          <w:p w14:paraId="55E222A0" w14:textId="77777777" w:rsidR="005F400D" w:rsidRPr="00DB09B3" w:rsidRDefault="005F400D" w:rsidP="008C4FE7">
            <w:pPr>
              <w:spacing w:after="0"/>
              <w:jc w:val="center"/>
              <w:rPr>
                <w:sz w:val="18"/>
                <w:szCs w:val="18"/>
              </w:rPr>
            </w:pPr>
            <w:r w:rsidRPr="00DB09B3">
              <w:rPr>
                <w:sz w:val="18"/>
                <w:szCs w:val="18"/>
              </w:rPr>
              <w:t>82,5</w:t>
            </w:r>
          </w:p>
        </w:tc>
        <w:tc>
          <w:tcPr>
            <w:tcW w:w="263" w:type="pct"/>
            <w:tcBorders>
              <w:left w:val="single" w:sz="4" w:space="0" w:color="auto"/>
            </w:tcBorders>
            <w:vAlign w:val="bottom"/>
          </w:tcPr>
          <w:p w14:paraId="5F574797" w14:textId="77777777" w:rsidR="005F400D" w:rsidRPr="00DB09B3" w:rsidRDefault="005F400D" w:rsidP="008C4FE7">
            <w:pPr>
              <w:spacing w:after="0"/>
              <w:jc w:val="center"/>
              <w:rPr>
                <w:color w:val="000000"/>
                <w:sz w:val="18"/>
                <w:szCs w:val="18"/>
              </w:rPr>
            </w:pPr>
            <w:r w:rsidRPr="00DB09B3">
              <w:rPr>
                <w:color w:val="000000"/>
                <w:sz w:val="18"/>
                <w:szCs w:val="18"/>
              </w:rPr>
              <w:t>81,8</w:t>
            </w:r>
          </w:p>
        </w:tc>
        <w:tc>
          <w:tcPr>
            <w:tcW w:w="261" w:type="pct"/>
            <w:vAlign w:val="bottom"/>
          </w:tcPr>
          <w:p w14:paraId="3262422D" w14:textId="77777777" w:rsidR="005F400D" w:rsidRPr="00DB09B3" w:rsidRDefault="005F400D" w:rsidP="008C4FE7">
            <w:pPr>
              <w:spacing w:after="0"/>
              <w:jc w:val="center"/>
              <w:rPr>
                <w:color w:val="000000"/>
                <w:sz w:val="18"/>
                <w:szCs w:val="18"/>
              </w:rPr>
            </w:pPr>
            <w:r w:rsidRPr="00DB09B3">
              <w:rPr>
                <w:color w:val="000000"/>
                <w:sz w:val="18"/>
                <w:szCs w:val="18"/>
              </w:rPr>
              <w:t>82,4</w:t>
            </w:r>
          </w:p>
        </w:tc>
        <w:tc>
          <w:tcPr>
            <w:tcW w:w="261" w:type="pct"/>
            <w:vAlign w:val="bottom"/>
          </w:tcPr>
          <w:p w14:paraId="7E917569" w14:textId="77777777" w:rsidR="005F400D" w:rsidRPr="00A71605" w:rsidRDefault="005F400D" w:rsidP="008C4FE7">
            <w:pPr>
              <w:spacing w:after="0"/>
              <w:jc w:val="center"/>
              <w:rPr>
                <w:rFonts w:ascii="Times New Roman" w:hAnsi="Times New Roman"/>
                <w:color w:val="000000"/>
                <w:sz w:val="18"/>
                <w:szCs w:val="18"/>
              </w:rPr>
            </w:pPr>
            <w:r w:rsidRPr="00A71605">
              <w:rPr>
                <w:rFonts w:ascii="Times New Roman" w:hAnsi="Times New Roman"/>
                <w:color w:val="000000"/>
                <w:sz w:val="18"/>
                <w:szCs w:val="18"/>
              </w:rPr>
              <w:t>82,8</w:t>
            </w:r>
          </w:p>
        </w:tc>
        <w:tc>
          <w:tcPr>
            <w:tcW w:w="261" w:type="pct"/>
            <w:vAlign w:val="bottom"/>
          </w:tcPr>
          <w:p w14:paraId="2D523EC6" w14:textId="77777777" w:rsidR="005F400D" w:rsidRPr="00C55AE5" w:rsidRDefault="005F400D" w:rsidP="008C4FE7">
            <w:pPr>
              <w:spacing w:after="100" w:afterAutospacing="1"/>
              <w:jc w:val="center"/>
              <w:rPr>
                <w:rFonts w:ascii="Times New Roman" w:hAnsi="Times New Roman"/>
                <w:color w:val="000000"/>
                <w:sz w:val="18"/>
                <w:szCs w:val="18"/>
              </w:rPr>
            </w:pPr>
            <w:r w:rsidRPr="00C55AE5">
              <w:rPr>
                <w:sz w:val="18"/>
                <w:szCs w:val="18"/>
              </w:rPr>
              <w:t>83,1</w:t>
            </w:r>
          </w:p>
        </w:tc>
        <w:tc>
          <w:tcPr>
            <w:tcW w:w="261" w:type="pct"/>
            <w:vAlign w:val="bottom"/>
          </w:tcPr>
          <w:p w14:paraId="473EEEB2" w14:textId="77777777" w:rsidR="005F400D" w:rsidRPr="00C55AE5" w:rsidRDefault="005F400D" w:rsidP="008C4FE7">
            <w:pPr>
              <w:spacing w:after="0"/>
              <w:jc w:val="center"/>
              <w:rPr>
                <w:sz w:val="18"/>
                <w:szCs w:val="18"/>
              </w:rPr>
            </w:pPr>
            <w:r>
              <w:rPr>
                <w:color w:val="000000"/>
                <w:sz w:val="18"/>
                <w:szCs w:val="18"/>
              </w:rPr>
              <w:t>84,9</w:t>
            </w:r>
          </w:p>
        </w:tc>
        <w:tc>
          <w:tcPr>
            <w:tcW w:w="261" w:type="pct"/>
            <w:vAlign w:val="bottom"/>
          </w:tcPr>
          <w:p w14:paraId="5458086A" w14:textId="77777777" w:rsidR="005F400D" w:rsidRPr="00AA2BA1" w:rsidRDefault="005F400D" w:rsidP="008C4FE7">
            <w:pPr>
              <w:spacing w:after="0"/>
              <w:jc w:val="center"/>
              <w:rPr>
                <w:rFonts w:ascii="Times New Roman" w:hAnsi="Times New Roman"/>
                <w:color w:val="000000"/>
                <w:sz w:val="18"/>
                <w:szCs w:val="18"/>
              </w:rPr>
            </w:pPr>
            <w:r w:rsidRPr="00AA2BA1">
              <w:rPr>
                <w:rFonts w:ascii="Times New Roman" w:hAnsi="Times New Roman"/>
                <w:color w:val="000000"/>
                <w:sz w:val="18"/>
                <w:szCs w:val="18"/>
              </w:rPr>
              <w:t>84,5</w:t>
            </w:r>
          </w:p>
        </w:tc>
        <w:tc>
          <w:tcPr>
            <w:tcW w:w="478" w:type="pct"/>
            <w:vAlign w:val="bottom"/>
          </w:tcPr>
          <w:p w14:paraId="5047BDF9" w14:textId="77777777" w:rsidR="005F400D" w:rsidRPr="004F06EA" w:rsidRDefault="005F400D" w:rsidP="008C4FE7">
            <w:pPr>
              <w:spacing w:after="0"/>
              <w:jc w:val="center"/>
              <w:rPr>
                <w:sz w:val="18"/>
                <w:szCs w:val="18"/>
              </w:rPr>
            </w:pPr>
            <w:r w:rsidRPr="004F06EA">
              <w:rPr>
                <w:sz w:val="18"/>
                <w:szCs w:val="18"/>
              </w:rPr>
              <w:t>85,4</w:t>
            </w:r>
          </w:p>
        </w:tc>
        <w:tc>
          <w:tcPr>
            <w:tcW w:w="494" w:type="pct"/>
            <w:vAlign w:val="bottom"/>
          </w:tcPr>
          <w:p w14:paraId="6B4FCFC6" w14:textId="77777777" w:rsidR="005F400D" w:rsidRPr="004F06EA" w:rsidRDefault="005F400D" w:rsidP="008C4FE7">
            <w:pPr>
              <w:spacing w:after="0"/>
              <w:rPr>
                <w:sz w:val="18"/>
                <w:szCs w:val="18"/>
              </w:rPr>
            </w:pPr>
            <w:r w:rsidRPr="004F06EA">
              <w:rPr>
                <w:sz w:val="18"/>
                <w:szCs w:val="18"/>
              </w:rPr>
              <w:t xml:space="preserve"> 615 600 </w:t>
            </w:r>
          </w:p>
        </w:tc>
        <w:tc>
          <w:tcPr>
            <w:tcW w:w="420" w:type="pct"/>
            <w:vAlign w:val="bottom"/>
          </w:tcPr>
          <w:p w14:paraId="6FE2C25B" w14:textId="77777777" w:rsidR="005F400D" w:rsidRPr="004F06EA" w:rsidRDefault="005F400D" w:rsidP="008C4FE7">
            <w:pPr>
              <w:spacing w:after="0"/>
              <w:rPr>
                <w:sz w:val="18"/>
                <w:szCs w:val="18"/>
              </w:rPr>
            </w:pPr>
            <w:r w:rsidRPr="004F06EA">
              <w:rPr>
                <w:sz w:val="18"/>
                <w:szCs w:val="18"/>
              </w:rPr>
              <w:t xml:space="preserve"> 525 600 </w:t>
            </w:r>
          </w:p>
        </w:tc>
        <w:tc>
          <w:tcPr>
            <w:tcW w:w="370" w:type="pct"/>
            <w:vAlign w:val="bottom"/>
          </w:tcPr>
          <w:p w14:paraId="69471EC2" w14:textId="77777777" w:rsidR="005F400D" w:rsidRPr="00396867" w:rsidRDefault="005F400D" w:rsidP="008C4FE7">
            <w:pPr>
              <w:spacing w:after="0"/>
              <w:jc w:val="center"/>
              <w:rPr>
                <w:rFonts w:ascii="Times New Roman" w:hAnsi="Times New Roman"/>
                <w:sz w:val="18"/>
                <w:szCs w:val="18"/>
              </w:rPr>
            </w:pPr>
            <w:r w:rsidRPr="00396867">
              <w:rPr>
                <w:rFonts w:ascii="Times New Roman" w:hAnsi="Times New Roman"/>
                <w:sz w:val="18"/>
                <w:szCs w:val="18"/>
              </w:rPr>
              <w:t>37</w:t>
            </w:r>
          </w:p>
        </w:tc>
      </w:tr>
      <w:tr w:rsidR="005F400D" w:rsidRPr="00DB09B3" w14:paraId="7C0D3317" w14:textId="77777777" w:rsidTr="00B63DF5">
        <w:trPr>
          <w:trHeight w:val="340"/>
        </w:trPr>
        <w:tc>
          <w:tcPr>
            <w:tcW w:w="617" w:type="pct"/>
            <w:vAlign w:val="bottom"/>
          </w:tcPr>
          <w:p w14:paraId="40C5232A" w14:textId="77777777" w:rsidR="005F400D" w:rsidRPr="00DB09B3" w:rsidRDefault="005F400D" w:rsidP="008C4FE7">
            <w:pPr>
              <w:spacing w:after="0"/>
              <w:rPr>
                <w:sz w:val="18"/>
                <w:szCs w:val="18"/>
              </w:rPr>
            </w:pPr>
            <w:r w:rsidRPr="00DB09B3">
              <w:rPr>
                <w:sz w:val="18"/>
                <w:szCs w:val="18"/>
              </w:rPr>
              <w:t>55 – 59 år</w:t>
            </w:r>
          </w:p>
        </w:tc>
        <w:tc>
          <w:tcPr>
            <w:tcW w:w="263" w:type="pct"/>
            <w:vAlign w:val="bottom"/>
          </w:tcPr>
          <w:p w14:paraId="65E2D3DA" w14:textId="77777777" w:rsidR="005F400D" w:rsidRPr="00DB09B3" w:rsidRDefault="005F400D" w:rsidP="008C4FE7">
            <w:pPr>
              <w:spacing w:after="0"/>
              <w:jc w:val="center"/>
              <w:rPr>
                <w:sz w:val="18"/>
                <w:szCs w:val="18"/>
              </w:rPr>
            </w:pPr>
            <w:r w:rsidRPr="00DB09B3">
              <w:rPr>
                <w:sz w:val="18"/>
                <w:szCs w:val="18"/>
              </w:rPr>
              <w:t>82,1</w:t>
            </w:r>
          </w:p>
        </w:tc>
        <w:tc>
          <w:tcPr>
            <w:tcW w:w="265" w:type="pct"/>
            <w:vAlign w:val="bottom"/>
          </w:tcPr>
          <w:p w14:paraId="49E64AFB" w14:textId="77777777" w:rsidR="005F400D" w:rsidRPr="00DB09B3" w:rsidRDefault="005F400D" w:rsidP="008C4FE7">
            <w:pPr>
              <w:spacing w:after="0"/>
              <w:jc w:val="center"/>
              <w:rPr>
                <w:sz w:val="18"/>
                <w:szCs w:val="18"/>
              </w:rPr>
            </w:pPr>
            <w:r w:rsidRPr="00DB09B3">
              <w:rPr>
                <w:sz w:val="18"/>
                <w:szCs w:val="18"/>
              </w:rPr>
              <w:t>82,1</w:t>
            </w:r>
          </w:p>
        </w:tc>
        <w:tc>
          <w:tcPr>
            <w:tcW w:w="263" w:type="pct"/>
            <w:vAlign w:val="bottom"/>
          </w:tcPr>
          <w:p w14:paraId="22D75188" w14:textId="77777777" w:rsidR="005F400D" w:rsidRPr="00DB09B3" w:rsidRDefault="005F400D" w:rsidP="008C4FE7">
            <w:pPr>
              <w:spacing w:after="0"/>
              <w:jc w:val="center"/>
              <w:rPr>
                <w:sz w:val="18"/>
                <w:szCs w:val="18"/>
              </w:rPr>
            </w:pPr>
            <w:r w:rsidRPr="00DB09B3">
              <w:rPr>
                <w:sz w:val="18"/>
                <w:szCs w:val="18"/>
              </w:rPr>
              <w:t>82,0</w:t>
            </w:r>
          </w:p>
        </w:tc>
        <w:tc>
          <w:tcPr>
            <w:tcW w:w="263" w:type="pct"/>
            <w:tcBorders>
              <w:right w:val="single" w:sz="4" w:space="0" w:color="auto"/>
            </w:tcBorders>
            <w:vAlign w:val="bottom"/>
          </w:tcPr>
          <w:p w14:paraId="395F99C9" w14:textId="77777777" w:rsidR="005F400D" w:rsidRPr="00DB09B3" w:rsidRDefault="005F400D" w:rsidP="008C4FE7">
            <w:pPr>
              <w:spacing w:after="0"/>
              <w:jc w:val="center"/>
              <w:rPr>
                <w:sz w:val="18"/>
                <w:szCs w:val="18"/>
              </w:rPr>
            </w:pPr>
            <w:r w:rsidRPr="00DB09B3">
              <w:rPr>
                <w:sz w:val="18"/>
                <w:szCs w:val="18"/>
              </w:rPr>
              <w:t>82,7</w:t>
            </w:r>
          </w:p>
        </w:tc>
        <w:tc>
          <w:tcPr>
            <w:tcW w:w="263" w:type="pct"/>
            <w:tcBorders>
              <w:left w:val="single" w:sz="4" w:space="0" w:color="auto"/>
            </w:tcBorders>
            <w:vAlign w:val="bottom"/>
          </w:tcPr>
          <w:p w14:paraId="239B8385" w14:textId="77777777" w:rsidR="005F400D" w:rsidRPr="00DB09B3" w:rsidRDefault="005F400D" w:rsidP="008C4FE7">
            <w:pPr>
              <w:spacing w:after="0"/>
              <w:jc w:val="center"/>
              <w:rPr>
                <w:color w:val="000000"/>
                <w:sz w:val="18"/>
                <w:szCs w:val="18"/>
              </w:rPr>
            </w:pPr>
            <w:r w:rsidRPr="00DB09B3">
              <w:rPr>
                <w:color w:val="000000"/>
                <w:sz w:val="18"/>
                <w:szCs w:val="18"/>
              </w:rPr>
              <w:t>82,3</w:t>
            </w:r>
          </w:p>
        </w:tc>
        <w:tc>
          <w:tcPr>
            <w:tcW w:w="261" w:type="pct"/>
            <w:vAlign w:val="bottom"/>
          </w:tcPr>
          <w:p w14:paraId="20115471" w14:textId="77777777" w:rsidR="005F400D" w:rsidRPr="00DB09B3" w:rsidRDefault="005F400D" w:rsidP="008C4FE7">
            <w:pPr>
              <w:spacing w:after="0"/>
              <w:jc w:val="center"/>
              <w:rPr>
                <w:color w:val="000000"/>
                <w:sz w:val="18"/>
                <w:szCs w:val="18"/>
              </w:rPr>
            </w:pPr>
            <w:r w:rsidRPr="00DB09B3">
              <w:rPr>
                <w:color w:val="000000"/>
                <w:sz w:val="18"/>
                <w:szCs w:val="18"/>
              </w:rPr>
              <w:t>82,</w:t>
            </w:r>
            <w:r>
              <w:rPr>
                <w:color w:val="000000"/>
                <w:sz w:val="18"/>
                <w:szCs w:val="18"/>
              </w:rPr>
              <w:t>7</w:t>
            </w:r>
          </w:p>
        </w:tc>
        <w:tc>
          <w:tcPr>
            <w:tcW w:w="261" w:type="pct"/>
            <w:vAlign w:val="bottom"/>
          </w:tcPr>
          <w:p w14:paraId="53E145B2" w14:textId="77777777" w:rsidR="005F400D" w:rsidRPr="00A71605" w:rsidRDefault="005F400D" w:rsidP="008C4FE7">
            <w:pPr>
              <w:spacing w:after="0"/>
              <w:jc w:val="center"/>
              <w:rPr>
                <w:rFonts w:ascii="Times New Roman" w:hAnsi="Times New Roman"/>
                <w:color w:val="000000"/>
                <w:sz w:val="18"/>
                <w:szCs w:val="18"/>
              </w:rPr>
            </w:pPr>
            <w:r w:rsidRPr="00C55AE5">
              <w:rPr>
                <w:rFonts w:ascii="Times New Roman" w:hAnsi="Times New Roman"/>
                <w:color w:val="000000"/>
                <w:sz w:val="18"/>
                <w:szCs w:val="18"/>
              </w:rPr>
              <w:t>82,</w:t>
            </w:r>
            <w:r>
              <w:rPr>
                <w:rFonts w:ascii="Times New Roman" w:hAnsi="Times New Roman"/>
                <w:color w:val="000000"/>
                <w:sz w:val="18"/>
                <w:szCs w:val="18"/>
              </w:rPr>
              <w:t>6</w:t>
            </w:r>
          </w:p>
        </w:tc>
        <w:tc>
          <w:tcPr>
            <w:tcW w:w="261" w:type="pct"/>
            <w:vAlign w:val="bottom"/>
          </w:tcPr>
          <w:p w14:paraId="043BA4EB" w14:textId="77777777" w:rsidR="005F400D" w:rsidRPr="00C55AE5" w:rsidRDefault="005F400D" w:rsidP="008C4FE7">
            <w:pPr>
              <w:spacing w:after="100" w:afterAutospacing="1"/>
              <w:jc w:val="center"/>
              <w:rPr>
                <w:rFonts w:ascii="Times New Roman" w:hAnsi="Times New Roman"/>
                <w:color w:val="000000"/>
                <w:sz w:val="18"/>
                <w:szCs w:val="18"/>
              </w:rPr>
            </w:pPr>
            <w:r w:rsidRPr="00C55AE5">
              <w:rPr>
                <w:sz w:val="18"/>
                <w:szCs w:val="18"/>
              </w:rPr>
              <w:t>82,3</w:t>
            </w:r>
          </w:p>
        </w:tc>
        <w:tc>
          <w:tcPr>
            <w:tcW w:w="261" w:type="pct"/>
            <w:vAlign w:val="bottom"/>
          </w:tcPr>
          <w:p w14:paraId="7F328A62" w14:textId="77777777" w:rsidR="005F400D" w:rsidRPr="00C55AE5" w:rsidRDefault="005F400D" w:rsidP="008C4FE7">
            <w:pPr>
              <w:spacing w:after="0"/>
              <w:jc w:val="center"/>
              <w:rPr>
                <w:sz w:val="18"/>
                <w:szCs w:val="18"/>
              </w:rPr>
            </w:pPr>
            <w:r>
              <w:rPr>
                <w:color w:val="000000"/>
                <w:sz w:val="18"/>
                <w:szCs w:val="18"/>
              </w:rPr>
              <w:t>83,4</w:t>
            </w:r>
          </w:p>
        </w:tc>
        <w:tc>
          <w:tcPr>
            <w:tcW w:w="261" w:type="pct"/>
            <w:vAlign w:val="bottom"/>
          </w:tcPr>
          <w:p w14:paraId="50F3C896" w14:textId="77777777" w:rsidR="005F400D" w:rsidRPr="00AA2BA1" w:rsidRDefault="005F400D" w:rsidP="008C4FE7">
            <w:pPr>
              <w:spacing w:after="0"/>
              <w:jc w:val="center"/>
              <w:rPr>
                <w:rFonts w:ascii="Times New Roman" w:hAnsi="Times New Roman"/>
                <w:color w:val="000000"/>
                <w:sz w:val="18"/>
                <w:szCs w:val="18"/>
              </w:rPr>
            </w:pPr>
            <w:r w:rsidRPr="00AA2BA1">
              <w:rPr>
                <w:rFonts w:ascii="Times New Roman" w:hAnsi="Times New Roman"/>
                <w:color w:val="000000"/>
                <w:sz w:val="18"/>
                <w:szCs w:val="18"/>
              </w:rPr>
              <w:t>82,7</w:t>
            </w:r>
          </w:p>
        </w:tc>
        <w:tc>
          <w:tcPr>
            <w:tcW w:w="478" w:type="pct"/>
            <w:vAlign w:val="bottom"/>
          </w:tcPr>
          <w:p w14:paraId="33630D6A" w14:textId="77777777" w:rsidR="005F400D" w:rsidRPr="004F06EA" w:rsidRDefault="005F400D" w:rsidP="008C4FE7">
            <w:pPr>
              <w:spacing w:after="0"/>
              <w:jc w:val="center"/>
              <w:rPr>
                <w:sz w:val="18"/>
                <w:szCs w:val="18"/>
              </w:rPr>
            </w:pPr>
            <w:r w:rsidRPr="004F06EA">
              <w:rPr>
                <w:sz w:val="18"/>
                <w:szCs w:val="18"/>
              </w:rPr>
              <w:t>83,4</w:t>
            </w:r>
          </w:p>
        </w:tc>
        <w:tc>
          <w:tcPr>
            <w:tcW w:w="494" w:type="pct"/>
            <w:vAlign w:val="bottom"/>
          </w:tcPr>
          <w:p w14:paraId="7A067D10" w14:textId="77777777" w:rsidR="005F400D" w:rsidRPr="004F06EA" w:rsidRDefault="005F400D" w:rsidP="008C4FE7">
            <w:pPr>
              <w:spacing w:after="0"/>
              <w:rPr>
                <w:sz w:val="18"/>
                <w:szCs w:val="18"/>
              </w:rPr>
            </w:pPr>
            <w:r w:rsidRPr="004F06EA">
              <w:rPr>
                <w:sz w:val="18"/>
                <w:szCs w:val="18"/>
              </w:rPr>
              <w:t xml:space="preserve"> 613 200 </w:t>
            </w:r>
          </w:p>
        </w:tc>
        <w:tc>
          <w:tcPr>
            <w:tcW w:w="420" w:type="pct"/>
            <w:vAlign w:val="bottom"/>
          </w:tcPr>
          <w:p w14:paraId="65F8BBAE" w14:textId="77777777" w:rsidR="005F400D" w:rsidRPr="004F06EA" w:rsidRDefault="005F400D" w:rsidP="008C4FE7">
            <w:pPr>
              <w:spacing w:after="0"/>
              <w:rPr>
                <w:sz w:val="18"/>
                <w:szCs w:val="18"/>
              </w:rPr>
            </w:pPr>
            <w:r w:rsidRPr="004F06EA">
              <w:rPr>
                <w:sz w:val="18"/>
                <w:szCs w:val="18"/>
              </w:rPr>
              <w:t xml:space="preserve"> 511 200 </w:t>
            </w:r>
          </w:p>
        </w:tc>
        <w:tc>
          <w:tcPr>
            <w:tcW w:w="370" w:type="pct"/>
            <w:vAlign w:val="bottom"/>
          </w:tcPr>
          <w:p w14:paraId="1244FF92" w14:textId="77777777" w:rsidR="005F400D" w:rsidRPr="00396867" w:rsidRDefault="005F400D" w:rsidP="008C4FE7">
            <w:pPr>
              <w:spacing w:after="0"/>
              <w:jc w:val="center"/>
              <w:rPr>
                <w:rFonts w:ascii="Times New Roman" w:hAnsi="Times New Roman"/>
                <w:sz w:val="18"/>
                <w:szCs w:val="18"/>
              </w:rPr>
            </w:pPr>
            <w:r w:rsidRPr="00396867">
              <w:rPr>
                <w:rFonts w:ascii="Times New Roman" w:hAnsi="Times New Roman"/>
                <w:sz w:val="18"/>
                <w:szCs w:val="18"/>
              </w:rPr>
              <w:t>34</w:t>
            </w:r>
          </w:p>
        </w:tc>
      </w:tr>
      <w:tr w:rsidR="005F400D" w:rsidRPr="00DB09B3" w14:paraId="19E8844B" w14:textId="77777777" w:rsidTr="00B63DF5">
        <w:trPr>
          <w:trHeight w:val="340"/>
        </w:trPr>
        <w:tc>
          <w:tcPr>
            <w:tcW w:w="617" w:type="pct"/>
            <w:tcBorders>
              <w:bottom w:val="single" w:sz="4" w:space="0" w:color="auto"/>
            </w:tcBorders>
            <w:vAlign w:val="bottom"/>
          </w:tcPr>
          <w:p w14:paraId="216DFC42" w14:textId="77777777" w:rsidR="005F400D" w:rsidRPr="00DB09B3" w:rsidRDefault="005F400D" w:rsidP="008C4FE7">
            <w:pPr>
              <w:spacing w:after="0"/>
              <w:rPr>
                <w:sz w:val="18"/>
                <w:szCs w:val="18"/>
              </w:rPr>
            </w:pPr>
            <w:r w:rsidRPr="00DB09B3">
              <w:rPr>
                <w:sz w:val="18"/>
                <w:szCs w:val="18"/>
              </w:rPr>
              <w:t>60</w:t>
            </w:r>
            <w:r>
              <w:rPr>
                <w:sz w:val="18"/>
                <w:szCs w:val="18"/>
              </w:rPr>
              <w:t xml:space="preserve"> år</w:t>
            </w:r>
            <w:r w:rsidRPr="00DB09B3">
              <w:rPr>
                <w:sz w:val="18"/>
                <w:szCs w:val="18"/>
              </w:rPr>
              <w:t xml:space="preserve"> og over</w:t>
            </w:r>
          </w:p>
        </w:tc>
        <w:tc>
          <w:tcPr>
            <w:tcW w:w="263" w:type="pct"/>
            <w:tcBorders>
              <w:bottom w:val="single" w:sz="4" w:space="0" w:color="auto"/>
            </w:tcBorders>
            <w:vAlign w:val="bottom"/>
          </w:tcPr>
          <w:p w14:paraId="1373300B" w14:textId="77777777" w:rsidR="005F400D" w:rsidRPr="00DB09B3" w:rsidRDefault="005F400D" w:rsidP="008C4FE7">
            <w:pPr>
              <w:spacing w:after="0"/>
              <w:jc w:val="center"/>
              <w:rPr>
                <w:sz w:val="18"/>
                <w:szCs w:val="18"/>
              </w:rPr>
            </w:pPr>
            <w:r w:rsidRPr="00DB09B3">
              <w:rPr>
                <w:sz w:val="18"/>
                <w:szCs w:val="18"/>
              </w:rPr>
              <w:t>81,5</w:t>
            </w:r>
          </w:p>
        </w:tc>
        <w:tc>
          <w:tcPr>
            <w:tcW w:w="265" w:type="pct"/>
            <w:tcBorders>
              <w:bottom w:val="single" w:sz="4" w:space="0" w:color="auto"/>
            </w:tcBorders>
            <w:vAlign w:val="bottom"/>
          </w:tcPr>
          <w:p w14:paraId="4506D516" w14:textId="77777777" w:rsidR="005F400D" w:rsidRPr="00DB09B3" w:rsidRDefault="005F400D" w:rsidP="008C4FE7">
            <w:pPr>
              <w:spacing w:after="0"/>
              <w:jc w:val="center"/>
              <w:rPr>
                <w:sz w:val="18"/>
                <w:szCs w:val="18"/>
              </w:rPr>
            </w:pPr>
            <w:r w:rsidRPr="00DB09B3">
              <w:rPr>
                <w:sz w:val="18"/>
                <w:szCs w:val="18"/>
              </w:rPr>
              <w:t>80,9</w:t>
            </w:r>
          </w:p>
        </w:tc>
        <w:tc>
          <w:tcPr>
            <w:tcW w:w="263" w:type="pct"/>
            <w:tcBorders>
              <w:bottom w:val="single" w:sz="4" w:space="0" w:color="auto"/>
            </w:tcBorders>
            <w:vAlign w:val="bottom"/>
          </w:tcPr>
          <w:p w14:paraId="32298496" w14:textId="77777777" w:rsidR="005F400D" w:rsidRPr="00DB09B3" w:rsidRDefault="005F400D" w:rsidP="008C4FE7">
            <w:pPr>
              <w:spacing w:after="0"/>
              <w:jc w:val="center"/>
              <w:rPr>
                <w:sz w:val="18"/>
                <w:szCs w:val="18"/>
              </w:rPr>
            </w:pPr>
            <w:r w:rsidRPr="00DB09B3">
              <w:rPr>
                <w:sz w:val="18"/>
                <w:szCs w:val="18"/>
              </w:rPr>
              <w:t>80,7</w:t>
            </w:r>
          </w:p>
        </w:tc>
        <w:tc>
          <w:tcPr>
            <w:tcW w:w="263" w:type="pct"/>
            <w:tcBorders>
              <w:bottom w:val="single" w:sz="4" w:space="0" w:color="auto"/>
              <w:right w:val="single" w:sz="4" w:space="0" w:color="auto"/>
            </w:tcBorders>
            <w:vAlign w:val="bottom"/>
          </w:tcPr>
          <w:p w14:paraId="7DD02EED" w14:textId="77777777" w:rsidR="005F400D" w:rsidRPr="00DB09B3" w:rsidRDefault="005F400D" w:rsidP="008C4FE7">
            <w:pPr>
              <w:spacing w:after="0"/>
              <w:jc w:val="center"/>
              <w:rPr>
                <w:sz w:val="18"/>
                <w:szCs w:val="18"/>
              </w:rPr>
            </w:pPr>
            <w:r w:rsidRPr="00DB09B3">
              <w:rPr>
                <w:sz w:val="18"/>
                <w:szCs w:val="18"/>
              </w:rPr>
              <w:t>81,6</w:t>
            </w:r>
          </w:p>
        </w:tc>
        <w:tc>
          <w:tcPr>
            <w:tcW w:w="263" w:type="pct"/>
            <w:tcBorders>
              <w:left w:val="single" w:sz="4" w:space="0" w:color="auto"/>
              <w:bottom w:val="single" w:sz="4" w:space="0" w:color="auto"/>
            </w:tcBorders>
            <w:vAlign w:val="bottom"/>
          </w:tcPr>
          <w:p w14:paraId="36A54265" w14:textId="77777777" w:rsidR="005F400D" w:rsidRPr="00DB09B3" w:rsidRDefault="005F400D" w:rsidP="008C4FE7">
            <w:pPr>
              <w:spacing w:after="0"/>
              <w:jc w:val="center"/>
              <w:rPr>
                <w:color w:val="000000"/>
                <w:sz w:val="18"/>
                <w:szCs w:val="18"/>
              </w:rPr>
            </w:pPr>
            <w:r w:rsidRPr="00DB09B3">
              <w:rPr>
                <w:color w:val="000000"/>
                <w:sz w:val="18"/>
                <w:szCs w:val="18"/>
              </w:rPr>
              <w:t>81,0</w:t>
            </w:r>
          </w:p>
        </w:tc>
        <w:tc>
          <w:tcPr>
            <w:tcW w:w="261" w:type="pct"/>
            <w:tcBorders>
              <w:bottom w:val="single" w:sz="4" w:space="0" w:color="auto"/>
            </w:tcBorders>
            <w:vAlign w:val="bottom"/>
          </w:tcPr>
          <w:p w14:paraId="7CF0DFC0" w14:textId="77777777" w:rsidR="005F400D" w:rsidRPr="00DB09B3" w:rsidRDefault="005F400D" w:rsidP="008C4FE7">
            <w:pPr>
              <w:spacing w:after="0"/>
              <w:jc w:val="center"/>
              <w:rPr>
                <w:color w:val="000000"/>
                <w:sz w:val="18"/>
                <w:szCs w:val="18"/>
              </w:rPr>
            </w:pPr>
            <w:r w:rsidRPr="00DB09B3">
              <w:rPr>
                <w:color w:val="000000"/>
                <w:sz w:val="18"/>
                <w:szCs w:val="18"/>
              </w:rPr>
              <w:t>81,2</w:t>
            </w:r>
          </w:p>
        </w:tc>
        <w:tc>
          <w:tcPr>
            <w:tcW w:w="261" w:type="pct"/>
            <w:tcBorders>
              <w:bottom w:val="single" w:sz="4" w:space="0" w:color="auto"/>
            </w:tcBorders>
            <w:vAlign w:val="bottom"/>
          </w:tcPr>
          <w:p w14:paraId="3FC4B865" w14:textId="77777777" w:rsidR="005F400D" w:rsidRPr="00A71605" w:rsidRDefault="005F400D" w:rsidP="008C4FE7">
            <w:pPr>
              <w:spacing w:after="0"/>
              <w:jc w:val="center"/>
              <w:rPr>
                <w:rFonts w:ascii="Times New Roman" w:hAnsi="Times New Roman"/>
                <w:color w:val="000000"/>
                <w:sz w:val="18"/>
                <w:szCs w:val="18"/>
              </w:rPr>
            </w:pPr>
            <w:r w:rsidRPr="00A71605">
              <w:rPr>
                <w:rFonts w:ascii="Times New Roman" w:hAnsi="Times New Roman"/>
                <w:color w:val="000000"/>
                <w:sz w:val="18"/>
                <w:szCs w:val="18"/>
              </w:rPr>
              <w:t>82,0</w:t>
            </w:r>
          </w:p>
        </w:tc>
        <w:tc>
          <w:tcPr>
            <w:tcW w:w="261" w:type="pct"/>
            <w:tcBorders>
              <w:bottom w:val="single" w:sz="4" w:space="0" w:color="auto"/>
            </w:tcBorders>
            <w:vAlign w:val="bottom"/>
          </w:tcPr>
          <w:p w14:paraId="78E2C70A" w14:textId="77777777" w:rsidR="005F400D" w:rsidRPr="00C55AE5" w:rsidRDefault="005F400D" w:rsidP="008C4FE7">
            <w:pPr>
              <w:spacing w:after="100" w:afterAutospacing="1"/>
              <w:jc w:val="center"/>
              <w:rPr>
                <w:rFonts w:ascii="Times New Roman" w:hAnsi="Times New Roman"/>
                <w:color w:val="000000"/>
                <w:sz w:val="18"/>
                <w:szCs w:val="18"/>
              </w:rPr>
            </w:pPr>
            <w:r>
              <w:rPr>
                <w:sz w:val="18"/>
                <w:szCs w:val="18"/>
              </w:rPr>
              <w:t>81,8</w:t>
            </w:r>
          </w:p>
        </w:tc>
        <w:tc>
          <w:tcPr>
            <w:tcW w:w="261" w:type="pct"/>
            <w:tcBorders>
              <w:bottom w:val="single" w:sz="4" w:space="0" w:color="auto"/>
            </w:tcBorders>
            <w:vAlign w:val="bottom"/>
          </w:tcPr>
          <w:p w14:paraId="2EFACE5C" w14:textId="77777777" w:rsidR="005F400D" w:rsidRPr="00C55AE5" w:rsidRDefault="005F400D" w:rsidP="008C4FE7">
            <w:pPr>
              <w:spacing w:after="0"/>
              <w:jc w:val="center"/>
              <w:rPr>
                <w:sz w:val="18"/>
                <w:szCs w:val="18"/>
              </w:rPr>
            </w:pPr>
            <w:r>
              <w:rPr>
                <w:color w:val="000000"/>
                <w:sz w:val="18"/>
                <w:szCs w:val="18"/>
              </w:rPr>
              <w:t>82,5</w:t>
            </w:r>
          </w:p>
        </w:tc>
        <w:tc>
          <w:tcPr>
            <w:tcW w:w="261" w:type="pct"/>
            <w:tcBorders>
              <w:bottom w:val="single" w:sz="4" w:space="0" w:color="auto"/>
            </w:tcBorders>
            <w:vAlign w:val="bottom"/>
          </w:tcPr>
          <w:p w14:paraId="66CB5F7C" w14:textId="77777777" w:rsidR="005F400D" w:rsidRPr="00AA2BA1" w:rsidRDefault="005F400D" w:rsidP="008C4FE7">
            <w:pPr>
              <w:spacing w:after="0"/>
              <w:jc w:val="center"/>
              <w:rPr>
                <w:rFonts w:ascii="Times New Roman" w:hAnsi="Times New Roman"/>
                <w:color w:val="000000"/>
                <w:sz w:val="18"/>
                <w:szCs w:val="18"/>
              </w:rPr>
            </w:pPr>
            <w:r w:rsidRPr="00AA2BA1">
              <w:rPr>
                <w:rFonts w:ascii="Times New Roman" w:hAnsi="Times New Roman"/>
                <w:color w:val="000000"/>
                <w:sz w:val="18"/>
                <w:szCs w:val="18"/>
              </w:rPr>
              <w:t>82,5</w:t>
            </w:r>
          </w:p>
        </w:tc>
        <w:tc>
          <w:tcPr>
            <w:tcW w:w="478" w:type="pct"/>
            <w:tcBorders>
              <w:bottom w:val="single" w:sz="4" w:space="0" w:color="auto"/>
            </w:tcBorders>
            <w:vAlign w:val="bottom"/>
          </w:tcPr>
          <w:p w14:paraId="231AFD80" w14:textId="77777777" w:rsidR="005F400D" w:rsidRPr="004F06EA" w:rsidRDefault="005F400D" w:rsidP="008C4FE7">
            <w:pPr>
              <w:spacing w:after="0"/>
              <w:jc w:val="center"/>
              <w:rPr>
                <w:sz w:val="18"/>
                <w:szCs w:val="18"/>
              </w:rPr>
            </w:pPr>
            <w:r w:rsidRPr="004F06EA">
              <w:rPr>
                <w:sz w:val="18"/>
                <w:szCs w:val="18"/>
              </w:rPr>
              <w:t>82,9</w:t>
            </w:r>
          </w:p>
        </w:tc>
        <w:tc>
          <w:tcPr>
            <w:tcW w:w="494" w:type="pct"/>
            <w:tcBorders>
              <w:bottom w:val="single" w:sz="4" w:space="0" w:color="auto"/>
            </w:tcBorders>
            <w:vAlign w:val="bottom"/>
          </w:tcPr>
          <w:p w14:paraId="5D7BEF17" w14:textId="77777777" w:rsidR="005F400D" w:rsidRPr="004F06EA" w:rsidRDefault="005F400D" w:rsidP="008C4FE7">
            <w:pPr>
              <w:spacing w:after="0"/>
              <w:rPr>
                <w:sz w:val="18"/>
                <w:szCs w:val="18"/>
              </w:rPr>
            </w:pPr>
            <w:r w:rsidRPr="004F06EA">
              <w:rPr>
                <w:sz w:val="18"/>
                <w:szCs w:val="18"/>
              </w:rPr>
              <w:t xml:space="preserve"> 602 400 </w:t>
            </w:r>
          </w:p>
        </w:tc>
        <w:tc>
          <w:tcPr>
            <w:tcW w:w="420" w:type="pct"/>
            <w:tcBorders>
              <w:bottom w:val="single" w:sz="4" w:space="0" w:color="auto"/>
            </w:tcBorders>
            <w:vAlign w:val="bottom"/>
          </w:tcPr>
          <w:p w14:paraId="76902C27" w14:textId="77777777" w:rsidR="005F400D" w:rsidRPr="004F06EA" w:rsidRDefault="005F400D" w:rsidP="008C4FE7">
            <w:pPr>
              <w:spacing w:after="0"/>
              <w:rPr>
                <w:sz w:val="18"/>
                <w:szCs w:val="18"/>
              </w:rPr>
            </w:pPr>
            <w:r w:rsidRPr="004F06EA">
              <w:rPr>
                <w:sz w:val="18"/>
                <w:szCs w:val="18"/>
              </w:rPr>
              <w:t xml:space="preserve"> 499 200 </w:t>
            </w:r>
          </w:p>
        </w:tc>
        <w:tc>
          <w:tcPr>
            <w:tcW w:w="370" w:type="pct"/>
            <w:tcBorders>
              <w:bottom w:val="single" w:sz="4" w:space="0" w:color="auto"/>
            </w:tcBorders>
            <w:vAlign w:val="bottom"/>
          </w:tcPr>
          <w:p w14:paraId="13FADC77" w14:textId="77777777" w:rsidR="005F400D" w:rsidRPr="00396867" w:rsidRDefault="005F400D" w:rsidP="008C4FE7">
            <w:pPr>
              <w:spacing w:after="0"/>
              <w:jc w:val="center"/>
              <w:rPr>
                <w:rFonts w:ascii="Times New Roman" w:hAnsi="Times New Roman"/>
                <w:sz w:val="18"/>
                <w:szCs w:val="18"/>
              </w:rPr>
            </w:pPr>
            <w:r w:rsidRPr="00396867">
              <w:rPr>
                <w:rFonts w:ascii="Times New Roman" w:hAnsi="Times New Roman"/>
                <w:sz w:val="18"/>
                <w:szCs w:val="18"/>
              </w:rPr>
              <w:t>31</w:t>
            </w:r>
          </w:p>
        </w:tc>
      </w:tr>
      <w:tr w:rsidR="005F400D" w:rsidRPr="00DB09B3" w14:paraId="7A798978" w14:textId="77777777" w:rsidTr="00B63DF5">
        <w:trPr>
          <w:trHeight w:val="340"/>
        </w:trPr>
        <w:tc>
          <w:tcPr>
            <w:tcW w:w="617" w:type="pct"/>
            <w:tcBorders>
              <w:top w:val="single" w:sz="4" w:space="0" w:color="auto"/>
              <w:bottom w:val="single" w:sz="4" w:space="0" w:color="auto"/>
            </w:tcBorders>
            <w:vAlign w:val="bottom"/>
          </w:tcPr>
          <w:p w14:paraId="0827FA88" w14:textId="77777777" w:rsidR="005F400D" w:rsidRPr="00DB09B3" w:rsidRDefault="005F400D" w:rsidP="008C4FE7">
            <w:pPr>
              <w:spacing w:after="0"/>
              <w:rPr>
                <w:sz w:val="18"/>
                <w:szCs w:val="18"/>
              </w:rPr>
            </w:pPr>
            <w:r w:rsidRPr="00DB09B3">
              <w:rPr>
                <w:sz w:val="18"/>
                <w:szCs w:val="18"/>
              </w:rPr>
              <w:t>Gjennomsnitt heltidsansatte</w:t>
            </w:r>
          </w:p>
        </w:tc>
        <w:tc>
          <w:tcPr>
            <w:tcW w:w="263" w:type="pct"/>
            <w:tcBorders>
              <w:top w:val="single" w:sz="4" w:space="0" w:color="auto"/>
              <w:bottom w:val="single" w:sz="4" w:space="0" w:color="auto"/>
            </w:tcBorders>
            <w:vAlign w:val="bottom"/>
          </w:tcPr>
          <w:p w14:paraId="00C2D940" w14:textId="77777777" w:rsidR="005F400D" w:rsidRPr="00DB09B3" w:rsidRDefault="005F400D" w:rsidP="008C4FE7">
            <w:pPr>
              <w:spacing w:after="0"/>
              <w:jc w:val="center"/>
              <w:rPr>
                <w:sz w:val="18"/>
                <w:szCs w:val="18"/>
              </w:rPr>
            </w:pPr>
            <w:r w:rsidRPr="00DB09B3">
              <w:rPr>
                <w:sz w:val="18"/>
                <w:szCs w:val="18"/>
              </w:rPr>
              <w:t>86,8</w:t>
            </w:r>
          </w:p>
        </w:tc>
        <w:tc>
          <w:tcPr>
            <w:tcW w:w="265" w:type="pct"/>
            <w:tcBorders>
              <w:top w:val="single" w:sz="4" w:space="0" w:color="auto"/>
              <w:bottom w:val="single" w:sz="4" w:space="0" w:color="auto"/>
            </w:tcBorders>
            <w:vAlign w:val="bottom"/>
          </w:tcPr>
          <w:p w14:paraId="4E15154F" w14:textId="77777777" w:rsidR="005F400D" w:rsidRPr="00DB09B3" w:rsidRDefault="005F400D" w:rsidP="008C4FE7">
            <w:pPr>
              <w:spacing w:after="0"/>
              <w:jc w:val="center"/>
              <w:rPr>
                <w:sz w:val="18"/>
                <w:szCs w:val="18"/>
              </w:rPr>
            </w:pPr>
            <w:r w:rsidRPr="00DB09B3">
              <w:rPr>
                <w:sz w:val="18"/>
                <w:szCs w:val="18"/>
              </w:rPr>
              <w:t>86,8</w:t>
            </w:r>
          </w:p>
        </w:tc>
        <w:tc>
          <w:tcPr>
            <w:tcW w:w="263" w:type="pct"/>
            <w:tcBorders>
              <w:top w:val="single" w:sz="4" w:space="0" w:color="auto"/>
              <w:bottom w:val="single" w:sz="4" w:space="0" w:color="auto"/>
            </w:tcBorders>
            <w:vAlign w:val="bottom"/>
          </w:tcPr>
          <w:p w14:paraId="19DF6639" w14:textId="77777777" w:rsidR="005F400D" w:rsidRPr="00DB09B3" w:rsidRDefault="005F400D" w:rsidP="008C4FE7">
            <w:pPr>
              <w:spacing w:after="0"/>
              <w:jc w:val="center"/>
              <w:rPr>
                <w:sz w:val="18"/>
                <w:szCs w:val="18"/>
              </w:rPr>
            </w:pPr>
            <w:r w:rsidRPr="00DB09B3">
              <w:rPr>
                <w:sz w:val="18"/>
                <w:szCs w:val="18"/>
              </w:rPr>
              <w:t>86,5</w:t>
            </w:r>
          </w:p>
        </w:tc>
        <w:tc>
          <w:tcPr>
            <w:tcW w:w="263" w:type="pct"/>
            <w:tcBorders>
              <w:top w:val="single" w:sz="4" w:space="0" w:color="auto"/>
              <w:bottom w:val="single" w:sz="4" w:space="0" w:color="auto"/>
              <w:right w:val="single" w:sz="4" w:space="0" w:color="auto"/>
            </w:tcBorders>
            <w:vAlign w:val="bottom"/>
          </w:tcPr>
          <w:p w14:paraId="2A615494" w14:textId="77777777" w:rsidR="005F400D" w:rsidRPr="00DB09B3" w:rsidRDefault="005F400D" w:rsidP="008C4FE7">
            <w:pPr>
              <w:spacing w:after="0"/>
              <w:jc w:val="center"/>
              <w:rPr>
                <w:sz w:val="18"/>
                <w:szCs w:val="18"/>
              </w:rPr>
            </w:pPr>
            <w:r w:rsidRPr="00DB09B3">
              <w:rPr>
                <w:sz w:val="18"/>
                <w:szCs w:val="18"/>
              </w:rPr>
              <w:t>87,1</w:t>
            </w:r>
          </w:p>
        </w:tc>
        <w:tc>
          <w:tcPr>
            <w:tcW w:w="263" w:type="pct"/>
            <w:tcBorders>
              <w:top w:val="single" w:sz="4" w:space="0" w:color="auto"/>
              <w:left w:val="single" w:sz="4" w:space="0" w:color="auto"/>
              <w:bottom w:val="single" w:sz="4" w:space="0" w:color="auto"/>
            </w:tcBorders>
            <w:vAlign w:val="bottom"/>
          </w:tcPr>
          <w:p w14:paraId="72F66A42" w14:textId="77777777" w:rsidR="005F400D" w:rsidRPr="00DB09B3" w:rsidRDefault="005F400D" w:rsidP="008C4FE7">
            <w:pPr>
              <w:spacing w:after="0"/>
              <w:jc w:val="center"/>
              <w:rPr>
                <w:color w:val="000000"/>
                <w:sz w:val="18"/>
                <w:szCs w:val="18"/>
              </w:rPr>
            </w:pPr>
            <w:r w:rsidRPr="00DB09B3">
              <w:rPr>
                <w:color w:val="000000"/>
                <w:sz w:val="18"/>
                <w:szCs w:val="18"/>
              </w:rPr>
              <w:t>86,3</w:t>
            </w:r>
          </w:p>
        </w:tc>
        <w:tc>
          <w:tcPr>
            <w:tcW w:w="261" w:type="pct"/>
            <w:tcBorders>
              <w:top w:val="single" w:sz="4" w:space="0" w:color="auto"/>
              <w:bottom w:val="single" w:sz="4" w:space="0" w:color="auto"/>
            </w:tcBorders>
            <w:vAlign w:val="bottom"/>
          </w:tcPr>
          <w:p w14:paraId="72576487" w14:textId="77777777" w:rsidR="005F400D" w:rsidRPr="00DB09B3" w:rsidRDefault="005F400D" w:rsidP="008C4FE7">
            <w:pPr>
              <w:spacing w:after="0"/>
              <w:jc w:val="center"/>
              <w:rPr>
                <w:color w:val="000000"/>
                <w:sz w:val="18"/>
                <w:szCs w:val="18"/>
              </w:rPr>
            </w:pPr>
            <w:r w:rsidRPr="00DB09B3">
              <w:rPr>
                <w:color w:val="000000"/>
                <w:sz w:val="18"/>
                <w:szCs w:val="18"/>
              </w:rPr>
              <w:t>86,7</w:t>
            </w:r>
          </w:p>
        </w:tc>
        <w:tc>
          <w:tcPr>
            <w:tcW w:w="261" w:type="pct"/>
            <w:tcBorders>
              <w:top w:val="single" w:sz="4" w:space="0" w:color="auto"/>
              <w:bottom w:val="single" w:sz="4" w:space="0" w:color="auto"/>
            </w:tcBorders>
            <w:vAlign w:val="bottom"/>
          </w:tcPr>
          <w:p w14:paraId="1DB8874E" w14:textId="77777777" w:rsidR="005F400D" w:rsidRPr="00A71605" w:rsidRDefault="005F400D" w:rsidP="008C4FE7">
            <w:pPr>
              <w:spacing w:after="0"/>
              <w:jc w:val="center"/>
              <w:rPr>
                <w:rFonts w:ascii="Times New Roman" w:hAnsi="Times New Roman"/>
                <w:color w:val="000000"/>
                <w:sz w:val="18"/>
                <w:szCs w:val="18"/>
              </w:rPr>
            </w:pPr>
            <w:r w:rsidRPr="00A71605">
              <w:rPr>
                <w:rFonts w:ascii="Times New Roman" w:hAnsi="Times New Roman"/>
                <w:color w:val="000000"/>
                <w:sz w:val="18"/>
                <w:szCs w:val="18"/>
              </w:rPr>
              <w:t>87,2</w:t>
            </w:r>
          </w:p>
        </w:tc>
        <w:tc>
          <w:tcPr>
            <w:tcW w:w="261" w:type="pct"/>
            <w:tcBorders>
              <w:top w:val="single" w:sz="4" w:space="0" w:color="auto"/>
              <w:bottom w:val="single" w:sz="4" w:space="0" w:color="auto"/>
            </w:tcBorders>
            <w:vAlign w:val="bottom"/>
          </w:tcPr>
          <w:p w14:paraId="4B2B8357" w14:textId="77777777" w:rsidR="005F400D" w:rsidRPr="00C55AE5" w:rsidRDefault="005F400D" w:rsidP="008C4FE7">
            <w:pPr>
              <w:spacing w:after="100" w:afterAutospacing="1"/>
              <w:jc w:val="center"/>
              <w:rPr>
                <w:rFonts w:ascii="Times New Roman" w:hAnsi="Times New Roman"/>
                <w:color w:val="000000"/>
                <w:sz w:val="18"/>
                <w:szCs w:val="18"/>
              </w:rPr>
            </w:pPr>
            <w:r w:rsidRPr="00C55AE5">
              <w:rPr>
                <w:sz w:val="18"/>
                <w:szCs w:val="18"/>
              </w:rPr>
              <w:t>87,2</w:t>
            </w:r>
          </w:p>
        </w:tc>
        <w:tc>
          <w:tcPr>
            <w:tcW w:w="261" w:type="pct"/>
            <w:tcBorders>
              <w:top w:val="single" w:sz="4" w:space="0" w:color="auto"/>
              <w:bottom w:val="single" w:sz="4" w:space="0" w:color="auto"/>
            </w:tcBorders>
            <w:vAlign w:val="bottom"/>
          </w:tcPr>
          <w:p w14:paraId="5F5A8FCC" w14:textId="77777777" w:rsidR="005F400D" w:rsidRPr="00C55AE5" w:rsidRDefault="005F400D" w:rsidP="008C4FE7">
            <w:pPr>
              <w:spacing w:after="0"/>
              <w:jc w:val="center"/>
              <w:rPr>
                <w:sz w:val="18"/>
                <w:szCs w:val="18"/>
              </w:rPr>
            </w:pPr>
            <w:r>
              <w:rPr>
                <w:color w:val="000000"/>
                <w:sz w:val="18"/>
                <w:szCs w:val="18"/>
              </w:rPr>
              <w:t>88,3</w:t>
            </w:r>
          </w:p>
        </w:tc>
        <w:tc>
          <w:tcPr>
            <w:tcW w:w="261" w:type="pct"/>
            <w:tcBorders>
              <w:top w:val="single" w:sz="4" w:space="0" w:color="auto"/>
              <w:bottom w:val="single" w:sz="4" w:space="0" w:color="auto"/>
            </w:tcBorders>
            <w:vAlign w:val="bottom"/>
          </w:tcPr>
          <w:p w14:paraId="304B743B" w14:textId="77777777" w:rsidR="005F400D" w:rsidRPr="009D7CFC" w:rsidRDefault="005F400D" w:rsidP="008C4FE7">
            <w:pPr>
              <w:spacing w:after="0"/>
              <w:jc w:val="center"/>
              <w:rPr>
                <w:sz w:val="18"/>
                <w:szCs w:val="18"/>
              </w:rPr>
            </w:pPr>
            <w:r w:rsidRPr="009D7CFC">
              <w:rPr>
                <w:sz w:val="18"/>
                <w:szCs w:val="18"/>
              </w:rPr>
              <w:t>87,9</w:t>
            </w:r>
          </w:p>
        </w:tc>
        <w:tc>
          <w:tcPr>
            <w:tcW w:w="478" w:type="pct"/>
            <w:tcBorders>
              <w:top w:val="single" w:sz="4" w:space="0" w:color="auto"/>
              <w:bottom w:val="single" w:sz="4" w:space="0" w:color="auto"/>
            </w:tcBorders>
            <w:vAlign w:val="bottom"/>
          </w:tcPr>
          <w:p w14:paraId="59B6BD38" w14:textId="77777777" w:rsidR="005F400D" w:rsidRPr="004F06EA" w:rsidRDefault="005F400D" w:rsidP="008C4FE7">
            <w:pPr>
              <w:spacing w:after="0"/>
              <w:jc w:val="center"/>
              <w:rPr>
                <w:sz w:val="18"/>
                <w:szCs w:val="18"/>
              </w:rPr>
            </w:pPr>
            <w:r w:rsidRPr="004F06EA">
              <w:rPr>
                <w:sz w:val="18"/>
                <w:szCs w:val="18"/>
              </w:rPr>
              <w:t>88,4</w:t>
            </w:r>
          </w:p>
        </w:tc>
        <w:tc>
          <w:tcPr>
            <w:tcW w:w="494" w:type="pct"/>
            <w:tcBorders>
              <w:top w:val="single" w:sz="4" w:space="0" w:color="auto"/>
              <w:bottom w:val="single" w:sz="4" w:space="0" w:color="auto"/>
            </w:tcBorders>
            <w:vAlign w:val="bottom"/>
          </w:tcPr>
          <w:p w14:paraId="5285F99D" w14:textId="77777777" w:rsidR="005F400D" w:rsidRPr="004F06EA" w:rsidRDefault="005F400D" w:rsidP="008C4FE7">
            <w:pPr>
              <w:spacing w:after="0"/>
              <w:rPr>
                <w:sz w:val="18"/>
                <w:szCs w:val="18"/>
              </w:rPr>
            </w:pPr>
            <w:r w:rsidRPr="004F06EA">
              <w:rPr>
                <w:sz w:val="18"/>
                <w:szCs w:val="18"/>
              </w:rPr>
              <w:t xml:space="preserve"> 548 400 </w:t>
            </w:r>
          </w:p>
        </w:tc>
        <w:tc>
          <w:tcPr>
            <w:tcW w:w="420" w:type="pct"/>
            <w:tcBorders>
              <w:top w:val="single" w:sz="4" w:space="0" w:color="auto"/>
              <w:bottom w:val="single" w:sz="4" w:space="0" w:color="auto"/>
            </w:tcBorders>
            <w:vAlign w:val="bottom"/>
          </w:tcPr>
          <w:p w14:paraId="78C5E7EE" w14:textId="77777777" w:rsidR="005F400D" w:rsidRPr="004F06EA" w:rsidRDefault="005F400D" w:rsidP="008C4FE7">
            <w:pPr>
              <w:spacing w:after="0"/>
              <w:rPr>
                <w:sz w:val="18"/>
                <w:szCs w:val="18"/>
              </w:rPr>
            </w:pPr>
            <w:r w:rsidRPr="004F06EA">
              <w:rPr>
                <w:sz w:val="18"/>
                <w:szCs w:val="18"/>
              </w:rPr>
              <w:t xml:space="preserve"> 484 800 </w:t>
            </w:r>
          </w:p>
        </w:tc>
        <w:tc>
          <w:tcPr>
            <w:tcW w:w="370" w:type="pct"/>
            <w:tcBorders>
              <w:top w:val="single" w:sz="4" w:space="0" w:color="auto"/>
              <w:bottom w:val="single" w:sz="4" w:space="0" w:color="auto"/>
            </w:tcBorders>
            <w:vAlign w:val="bottom"/>
          </w:tcPr>
          <w:p w14:paraId="5B5F84E1" w14:textId="77777777" w:rsidR="005F400D" w:rsidRPr="00396867" w:rsidRDefault="005F400D" w:rsidP="008C4FE7">
            <w:pPr>
              <w:spacing w:after="0"/>
              <w:jc w:val="center"/>
              <w:rPr>
                <w:rFonts w:ascii="Times New Roman" w:hAnsi="Times New Roman"/>
                <w:bCs/>
                <w:sz w:val="18"/>
                <w:szCs w:val="18"/>
              </w:rPr>
            </w:pPr>
            <w:r w:rsidRPr="00396867">
              <w:rPr>
                <w:rFonts w:ascii="Times New Roman" w:hAnsi="Times New Roman"/>
                <w:bCs/>
                <w:sz w:val="18"/>
                <w:szCs w:val="18"/>
              </w:rPr>
              <w:t>37</w:t>
            </w:r>
          </w:p>
        </w:tc>
      </w:tr>
    </w:tbl>
    <w:p w14:paraId="239BC9B7" w14:textId="77777777" w:rsidR="005F400D" w:rsidRDefault="005F400D" w:rsidP="006E305B">
      <w:pPr>
        <w:pStyle w:val="tabell-noter"/>
        <w:numPr>
          <w:ilvl w:val="0"/>
          <w:numId w:val="52"/>
        </w:numPr>
        <w:spacing w:after="0"/>
      </w:pPr>
      <w:r>
        <w:t>Per september/oktober/desember.</w:t>
      </w:r>
    </w:p>
    <w:p w14:paraId="2A96348B" w14:textId="77777777" w:rsidR="005F400D" w:rsidRDefault="005F400D" w:rsidP="006E305B">
      <w:pPr>
        <w:pStyle w:val="tabell-noter"/>
        <w:numPr>
          <w:ilvl w:val="0"/>
          <w:numId w:val="52"/>
        </w:numPr>
        <w:spacing w:after="0"/>
        <w:rPr>
          <w:iCs/>
        </w:rPr>
      </w:pPr>
      <w:r w:rsidRPr="006306AE">
        <w:rPr>
          <w:iCs/>
        </w:rPr>
        <w:t xml:space="preserve">Tallene er beregnet etter </w:t>
      </w:r>
      <w:r>
        <w:rPr>
          <w:iCs/>
        </w:rPr>
        <w:t>ny næringsstandard.</w:t>
      </w:r>
    </w:p>
    <w:p w14:paraId="14017B80" w14:textId="77777777" w:rsidR="005F400D" w:rsidRPr="00272F6B" w:rsidRDefault="005F400D" w:rsidP="00B63DF5">
      <w:pPr>
        <w:pStyle w:val="tabell-noter"/>
        <w:spacing w:after="240"/>
      </w:pPr>
      <w:r>
        <w:t>Kilder: Statistisk sentralbyrå og Beregningsutvalget.</w:t>
      </w:r>
    </w:p>
    <w:p w14:paraId="61E55082" w14:textId="0370C441" w:rsidR="005F400D" w:rsidRDefault="005F400D" w:rsidP="005F400D">
      <w:pPr>
        <w:pStyle w:val="avsnitt-tit"/>
      </w:pPr>
      <w:r>
        <w:t>Likelønnstrekk ved oppgjørene i 201</w:t>
      </w:r>
      <w:r w:rsidR="00D43BE4">
        <w:t>5</w:t>
      </w:r>
    </w:p>
    <w:p w14:paraId="354E7075" w14:textId="77777777" w:rsidR="005F400D" w:rsidRDefault="005F400D" w:rsidP="005F400D">
      <w:pPr>
        <w:tabs>
          <w:tab w:val="left" w:pos="438"/>
          <w:tab w:val="left" w:pos="1878"/>
          <w:tab w:val="left" w:pos="2598"/>
          <w:tab w:val="left" w:pos="3318"/>
          <w:tab w:val="left" w:pos="4038"/>
          <w:tab w:val="left" w:pos="4758"/>
          <w:tab w:val="left" w:pos="5478"/>
          <w:tab w:val="left" w:pos="6198"/>
          <w:tab w:val="left" w:pos="6918"/>
          <w:tab w:val="left" w:pos="7638"/>
          <w:tab w:val="left" w:pos="8358"/>
        </w:tabs>
        <w:rPr>
          <w:color w:val="000000"/>
        </w:rPr>
      </w:pPr>
      <w:r>
        <w:rPr>
          <w:color w:val="000000"/>
        </w:rPr>
        <w:t>Følgende trekk ved lønnsoppgjørene er av sentral betyd</w:t>
      </w:r>
      <w:r>
        <w:rPr>
          <w:color w:val="000000"/>
        </w:rPr>
        <w:softHyphen/>
        <w:t>ning for hvordan de relative lønns</w:t>
      </w:r>
      <w:r>
        <w:rPr>
          <w:color w:val="000000"/>
        </w:rPr>
        <w:softHyphen/>
      </w:r>
      <w:r>
        <w:rPr>
          <w:color w:val="000000"/>
        </w:rPr>
        <w:softHyphen/>
        <w:t>forskjellene mellom kvinner og menn utvikler seg:</w:t>
      </w:r>
    </w:p>
    <w:p w14:paraId="1D3CFB31" w14:textId="41E4349D" w:rsidR="005F400D" w:rsidRDefault="005F400D" w:rsidP="005F400D">
      <w:pPr>
        <w:pStyle w:val="Liste"/>
      </w:pPr>
      <w:r>
        <w:t>Formen på de sentrale tilleggene, dvs. om det gis generelle prosent</w:t>
      </w:r>
      <w:r>
        <w:softHyphen/>
        <w:t>tillegg og/eller krone</w:t>
      </w:r>
      <w:r>
        <w:softHyphen/>
        <w:t>tillegg, om det gis spesielle lavlønnstillegg, tillegg til bestemte yrkesgrupper mv. Et likt kronetillegg vil gi en noe sterkere gjennomsnittlig prosentvis lønns</w:t>
      </w:r>
      <w:r>
        <w:softHyphen/>
        <w:t>vekst for kvinner enn for menn, ettersom det ofte er flere kvin</w:t>
      </w:r>
      <w:r>
        <w:softHyphen/>
        <w:t xml:space="preserve">ner enn menn i lavlønnsgruppene. </w:t>
      </w:r>
    </w:p>
    <w:p w14:paraId="477D539A" w14:textId="77777777" w:rsidR="005F400D" w:rsidRDefault="005F400D" w:rsidP="005F400D">
      <w:pPr>
        <w:pStyle w:val="Liste"/>
      </w:pPr>
      <w:r>
        <w:t>Fordelingen av de lokale tilleggene.</w:t>
      </w:r>
    </w:p>
    <w:p w14:paraId="2DFD1BC1" w14:textId="77777777" w:rsidR="005F400D" w:rsidRDefault="005F400D" w:rsidP="005F400D">
      <w:pPr>
        <w:pStyle w:val="Liste"/>
      </w:pPr>
      <w:r>
        <w:t xml:space="preserve">De relative lønnstilleggene i typiske kvinnesektorer og næringer til forskjell fra mannsdominerte sektorer og næringer. </w:t>
      </w:r>
    </w:p>
    <w:p w14:paraId="621E88AA" w14:textId="77777777" w:rsidR="005F400D" w:rsidRDefault="005F400D" w:rsidP="005F400D">
      <w:pPr>
        <w:pStyle w:val="Liste"/>
        <w:numPr>
          <w:ilvl w:val="0"/>
          <w:numId w:val="0"/>
        </w:numPr>
        <w:ind w:left="397"/>
      </w:pPr>
    </w:p>
    <w:p w14:paraId="34890213" w14:textId="2948C51B" w:rsidR="00D43BE4" w:rsidRPr="00A72506" w:rsidRDefault="00804D37" w:rsidP="00D43BE4">
      <w:r>
        <w:t>Forhandlingsløsningen i mellomoppgjøret 2015 m</w:t>
      </w:r>
      <w:r w:rsidR="00D43BE4">
        <w:t xml:space="preserve">ellom </w:t>
      </w:r>
      <w:r w:rsidR="00D43BE4" w:rsidRPr="00DC08BC">
        <w:rPr>
          <w:i/>
        </w:rPr>
        <w:t>LO</w:t>
      </w:r>
      <w:r w:rsidR="00D43BE4">
        <w:t xml:space="preserve"> og </w:t>
      </w:r>
      <w:r w:rsidR="00D43BE4" w:rsidRPr="00DC08BC">
        <w:rPr>
          <w:i/>
        </w:rPr>
        <w:t>NHO</w:t>
      </w:r>
      <w:r w:rsidR="00D43BE4">
        <w:t xml:space="preserve"> </w:t>
      </w:r>
      <w:r w:rsidR="00973C11">
        <w:t xml:space="preserve">innebar </w:t>
      </w:r>
      <w:r w:rsidR="00D43BE4">
        <w:t xml:space="preserve">et lønnstillegg fra 1. april 2015 på kr 1,75 per time til arbeidstakere på overenskomster med gjennomsnittslønn </w:t>
      </w:r>
      <w:r>
        <w:t>fra</w:t>
      </w:r>
      <w:r w:rsidR="00D43BE4">
        <w:t xml:space="preserve"> 90 prosent av gjennomsnittlig industriarbeiderlønn i 2014 (</w:t>
      </w:r>
      <w:r w:rsidR="00FE286A">
        <w:t>388 013</w:t>
      </w:r>
      <w:r w:rsidR="00D43BE4">
        <w:t xml:space="preserve"> kroner)</w:t>
      </w:r>
      <w:r w:rsidR="00973C11">
        <w:t xml:space="preserve"> og nedover</w:t>
      </w:r>
      <w:r w:rsidR="00D43BE4">
        <w:t xml:space="preserve">. </w:t>
      </w:r>
      <w:r>
        <w:t xml:space="preserve">Dette har likelønnsprofil siden nær halvparten av dem som får </w:t>
      </w:r>
      <w:r w:rsidR="008A7614">
        <w:t>lavlønnstillegget er kvinner, mens kvinner utgjør en drøy femtedel av hele området.</w:t>
      </w:r>
    </w:p>
    <w:p w14:paraId="072162C8" w14:textId="67BE5BF9" w:rsidR="00D43BE4" w:rsidRPr="00DC08BC" w:rsidRDefault="00115100" w:rsidP="00D43BE4">
      <w:r>
        <w:t>P</w:t>
      </w:r>
      <w:r w:rsidR="00D43BE4">
        <w:t xml:space="preserve">å Landsoverenskomsten med bransjeavtaler mellom </w:t>
      </w:r>
      <w:r w:rsidR="00D43BE4" w:rsidRPr="00DC08BC">
        <w:rPr>
          <w:i/>
        </w:rPr>
        <w:t>Handel og Kontor</w:t>
      </w:r>
      <w:r w:rsidR="00D43BE4">
        <w:t xml:space="preserve"> </w:t>
      </w:r>
      <w:r w:rsidR="00D43BE4" w:rsidRPr="00DC08BC">
        <w:rPr>
          <w:i/>
        </w:rPr>
        <w:t>(LO)</w:t>
      </w:r>
      <w:r w:rsidR="00D43BE4">
        <w:t xml:space="preserve"> og </w:t>
      </w:r>
      <w:r w:rsidR="00D43BE4" w:rsidRPr="00DC08BC">
        <w:rPr>
          <w:i/>
        </w:rPr>
        <w:t>Virke</w:t>
      </w:r>
      <w:r w:rsidR="00D43BE4">
        <w:t xml:space="preserve"> </w:t>
      </w:r>
      <w:r>
        <w:t xml:space="preserve">ble det </w:t>
      </w:r>
      <w:r w:rsidR="005A1678">
        <w:t xml:space="preserve">utover lavlønnstillegget på kr 1,75 per time </w:t>
      </w:r>
      <w:r w:rsidR="00D43BE4">
        <w:t>gitt en økning i minstelønnssatsene 1-5 på kr 2,50 per time</w:t>
      </w:r>
      <w:r w:rsidR="005A1678">
        <w:rPr>
          <w:rFonts w:ascii="Times New Roman" w:eastAsia="Times New Roman" w:hAnsi="Times New Roman"/>
          <w:szCs w:val="24"/>
        </w:rPr>
        <w:t>, og den høyeste (trinn 6) med kr 0,50 per time</w:t>
      </w:r>
      <w:r w:rsidR="00D43BE4">
        <w:t xml:space="preserve">. Også mellom </w:t>
      </w:r>
      <w:r w:rsidR="00D43BE4" w:rsidRPr="00DC08BC">
        <w:rPr>
          <w:i/>
        </w:rPr>
        <w:t>YS</w:t>
      </w:r>
      <w:r w:rsidR="00D43BE4">
        <w:t xml:space="preserve"> og </w:t>
      </w:r>
      <w:r w:rsidR="00D43BE4" w:rsidRPr="00DC08BC">
        <w:rPr>
          <w:i/>
        </w:rPr>
        <w:t xml:space="preserve">Virke </w:t>
      </w:r>
      <w:r w:rsidR="00D43BE4">
        <w:t xml:space="preserve">ble det på </w:t>
      </w:r>
      <w:r w:rsidR="00D43BE4" w:rsidRPr="00DC08BC">
        <w:rPr>
          <w:i/>
        </w:rPr>
        <w:t xml:space="preserve">Funksjonæravtalene </w:t>
      </w:r>
      <w:r w:rsidR="00D43BE4">
        <w:t xml:space="preserve">og </w:t>
      </w:r>
      <w:r w:rsidR="00D43BE4" w:rsidRPr="00DC08BC">
        <w:rPr>
          <w:i/>
        </w:rPr>
        <w:t xml:space="preserve">Kontoroverenskomsten </w:t>
      </w:r>
      <w:r w:rsidR="00D43BE4">
        <w:t xml:space="preserve">i tillegg </w:t>
      </w:r>
      <w:r w:rsidR="00C90F73">
        <w:t>til</w:t>
      </w:r>
      <w:r w:rsidR="009E2DB4">
        <w:t xml:space="preserve"> </w:t>
      </w:r>
      <w:r w:rsidR="00C90F73">
        <w:t xml:space="preserve">lønnstillegget på kr 1,75 per time </w:t>
      </w:r>
      <w:r w:rsidR="00D43BE4">
        <w:t>gitt en økning i minstelønnssatsene 1-5 på kr 2,50 per time</w:t>
      </w:r>
      <w:r w:rsidR="005A1678">
        <w:t xml:space="preserve"> </w:t>
      </w:r>
      <w:r w:rsidR="005A1678">
        <w:rPr>
          <w:rFonts w:ascii="Times New Roman" w:eastAsia="Times New Roman" w:hAnsi="Times New Roman"/>
          <w:szCs w:val="24"/>
        </w:rPr>
        <w:t>og den høyeste (trinn 6) med kr 0,50 per time</w:t>
      </w:r>
      <w:r w:rsidR="00D43BE4">
        <w:t>. Dette gir en likelønnsprofil, ettersom kvinner i større grad enn menn befinner seg på minstelønnssatsene.</w:t>
      </w:r>
    </w:p>
    <w:p w14:paraId="26D737E6" w14:textId="77777777" w:rsidR="00D43BE4" w:rsidRDefault="00D43BE4" w:rsidP="00D43BE4">
      <w:r>
        <w:t xml:space="preserve">I forhandlingene mellom </w:t>
      </w:r>
      <w:r w:rsidRPr="00DC08BC">
        <w:rPr>
          <w:i/>
        </w:rPr>
        <w:t>Finans Norge</w:t>
      </w:r>
      <w:r>
        <w:t xml:space="preserve"> og </w:t>
      </w:r>
      <w:r w:rsidRPr="00137E8B">
        <w:rPr>
          <w:i/>
        </w:rPr>
        <w:t>Finansforbundet</w:t>
      </w:r>
      <w:r>
        <w:t xml:space="preserve"> og mellom </w:t>
      </w:r>
      <w:r w:rsidRPr="00137E8B">
        <w:rPr>
          <w:i/>
        </w:rPr>
        <w:t>Finans Norge</w:t>
      </w:r>
      <w:r>
        <w:t xml:space="preserve"> og </w:t>
      </w:r>
      <w:r w:rsidRPr="00DC08BC">
        <w:rPr>
          <w:i/>
        </w:rPr>
        <w:t>HK/Postkom/LO</w:t>
      </w:r>
      <w:r>
        <w:t xml:space="preserve"> ble partene enige om å gi et lønnstillegg på kroner 3 100 per år på alle lønnstrinnene.  I tillegg ble det enighet om viktigheten av at bedriftene har særlig oppmerksomhet på eventuelt ubegrunnede lønnsforskjeller mellom kvinner og menn. Det vises til nåværende forpliktelser i avtaleverket og man henstiller de lokale parter om å ta opp forholdene rundt likelønn i passende samarbeidsfora innen 1. januar 2016. </w:t>
      </w:r>
    </w:p>
    <w:p w14:paraId="29883099" w14:textId="2649B4A9" w:rsidR="00D43BE4" w:rsidRPr="00DC08BC" w:rsidRDefault="00D43BE4" w:rsidP="00D43BE4">
      <w:r w:rsidRPr="00A72506">
        <w:t xml:space="preserve">I det </w:t>
      </w:r>
      <w:r w:rsidRPr="00A72506">
        <w:rPr>
          <w:i/>
        </w:rPr>
        <w:t>statlige tariffområdet</w:t>
      </w:r>
      <w:r w:rsidRPr="00A72506">
        <w:t xml:space="preserve"> ble det </w:t>
      </w:r>
      <w:r>
        <w:t xml:space="preserve">enighet om et generelt tillegg fra </w:t>
      </w:r>
      <w:r w:rsidR="009E2DB4">
        <w:t xml:space="preserve">1. </w:t>
      </w:r>
      <w:r>
        <w:t xml:space="preserve">mai 2015 på 0,19 prosent.  Fra lønnstrinn 19 til 39 ble det gitt et tillegg på kr 700 per år. </w:t>
      </w:r>
    </w:p>
    <w:p w14:paraId="68BD2057" w14:textId="74A476DB" w:rsidR="00D43BE4" w:rsidRDefault="00D43BE4" w:rsidP="00D43BE4">
      <w:r w:rsidRPr="00A72506">
        <w:t xml:space="preserve">I </w:t>
      </w:r>
      <w:r w:rsidRPr="00A72506">
        <w:rPr>
          <w:i/>
        </w:rPr>
        <w:t>KS-området</w:t>
      </w:r>
      <w:r w:rsidRPr="00A72506">
        <w:t xml:space="preserve"> </w:t>
      </w:r>
      <w:r>
        <w:t xml:space="preserve">ble det for arbeidstakere </w:t>
      </w:r>
      <w:r w:rsidRPr="00A72506">
        <w:t xml:space="preserve">med hovedsakelig sentral lønnsdannelse </w:t>
      </w:r>
      <w:r>
        <w:t>ikke gitt noen tillegg utover det som ble avtalt i 2014, dvs. et tillegg på 1,</w:t>
      </w:r>
      <w:r w:rsidR="00966E8A">
        <w:t xml:space="preserve">4 </w:t>
      </w:r>
      <w:r>
        <w:t>prosent fra 1. mai 2015 for alle. Arbeidstakere med minimum 20 års ansiennitet skal ikke skal ha lavere grunnlønn per 1</w:t>
      </w:r>
      <w:r w:rsidR="00966E8A">
        <w:t>.</w:t>
      </w:r>
      <w:r>
        <w:t xml:space="preserve"> mai 2015 enn kr 377 400 i 100 prosent stilling. Dette omfatter i stor grad kvinner. </w:t>
      </w:r>
    </w:p>
    <w:p w14:paraId="3A8EA3BD" w14:textId="77777777" w:rsidR="00D43BE4" w:rsidRDefault="00D43BE4" w:rsidP="00D43BE4">
      <w:r w:rsidRPr="00A72506">
        <w:t xml:space="preserve">I </w:t>
      </w:r>
      <w:r w:rsidRPr="00A72506">
        <w:rPr>
          <w:i/>
        </w:rPr>
        <w:t>helseforetakene</w:t>
      </w:r>
      <w:r w:rsidRPr="00A72506">
        <w:t xml:space="preserve"> ble det enighet mellom </w:t>
      </w:r>
      <w:r w:rsidRPr="00A72506">
        <w:rPr>
          <w:i/>
        </w:rPr>
        <w:t>Norsk Sykepleierforbund, Utdanningsforbundet, Norsk Fysioterapeutforbund og Norsk Ergoterapeutforbund og Spekter- Helse</w:t>
      </w:r>
      <w:r w:rsidRPr="00A72506">
        <w:t xml:space="preserve"> om </w:t>
      </w:r>
      <w:r>
        <w:t xml:space="preserve">et generelt tillegg på kr 2 000 per år med virkning fra 1. mai 2015. Minstelønnssatsene ble hevet tilsvarende. Spesialsykepleiere, spesialergoterapeuter, pedagoger med spesialkompetanse og ledere fikk kr 4 000 også fra 1. mai. </w:t>
      </w:r>
    </w:p>
    <w:p w14:paraId="4E5EEA1B" w14:textId="0D2C665A" w:rsidR="009D0BB8" w:rsidRDefault="00D43BE4" w:rsidP="00D43BE4">
      <w:r w:rsidRPr="00A72506">
        <w:t>Se vedlegg 1 for nærmere omtale av lønnsoppgjørene i 201</w:t>
      </w:r>
      <w:r>
        <w:t>5</w:t>
      </w:r>
      <w:r w:rsidRPr="00A72506">
        <w:t xml:space="preserve">. </w:t>
      </w:r>
      <w:r w:rsidR="009D0BB8">
        <w:t xml:space="preserve"> </w:t>
      </w:r>
    </w:p>
    <w:p w14:paraId="2A47FAE8" w14:textId="77777777" w:rsidR="005F400D" w:rsidRDefault="005F400D" w:rsidP="005F400D">
      <w:pPr>
        <w:pStyle w:val="Overskrift2"/>
      </w:pPr>
      <w:bookmarkStart w:id="160" w:name="_Toc351913442"/>
      <w:bookmarkStart w:id="161" w:name="_Toc383961344"/>
      <w:bookmarkStart w:id="162" w:name="_Toc391030032"/>
      <w:bookmarkStart w:id="163" w:name="_Toc422226830"/>
      <w:bookmarkStart w:id="164" w:name="_Toc286073364"/>
      <w:bookmarkStart w:id="165" w:name="_Toc286074007"/>
      <w:bookmarkStart w:id="166" w:name="_Toc286075008"/>
      <w:bookmarkStart w:id="167" w:name="_Toc286075257"/>
      <w:bookmarkStart w:id="168" w:name="_Toc286076977"/>
      <w:bookmarkStart w:id="169" w:name="_Toc320820679"/>
      <w:r w:rsidRPr="00F306CD">
        <w:t>Lønnsutviklingen etter</w:t>
      </w:r>
      <w:r>
        <w:t xml:space="preserve"> utdanning</w:t>
      </w:r>
      <w:bookmarkEnd w:id="160"/>
      <w:bookmarkEnd w:id="161"/>
      <w:bookmarkEnd w:id="162"/>
      <w:bookmarkEnd w:id="163"/>
    </w:p>
    <w:p w14:paraId="26715BBE" w14:textId="6470A9FD" w:rsidR="005F400D" w:rsidRDefault="005F400D" w:rsidP="005F400D">
      <w:r>
        <w:t xml:space="preserve">I tabell 1.18 vises lønnsutviklingen for heltidsansatte etter næring og utdanningslengde for perioden 2005-2014. Tabellen er fremkommet ved å koble lønnsstatistikken mot utdanningsregisteret. Tabellen viser at fordelingen av ansatte på de ulike utdanningslengdene varierer mellom næringer. I 2014 var det innenfor industri, bygg og anlegg og varehandel 69 prosent eller flere av de ansatte som hadde grunnskole og videregående skole (inklusive fagutdanning) som lengste utdanning. I skoleverket var tilsvarende andel 3 prosent, i kommune og </w:t>
      </w:r>
      <w:r w:rsidR="00A864A2">
        <w:t>fylkeskommune</w:t>
      </w:r>
      <w:r>
        <w:t xml:space="preserve"> eksklusive skoleverket 44 prosent, blant ansatte i helseforetakene 25 prosent og blant statsansatte 30 prosent. </w:t>
      </w:r>
    </w:p>
    <w:p w14:paraId="65D94A1C" w14:textId="77777777" w:rsidR="005F400D" w:rsidRDefault="00EA7BDC" w:rsidP="005F400D">
      <w:r>
        <w:rPr>
          <w:noProof/>
        </w:rPr>
        <w:t>I 2011 og 2012 gjennomførte Statistisk sentralbyrå en spørreundersøkelse om innvandrernes utdanningsnivå. Inkludering av disse opplysningene har påvirket lønnsstatistikken og medført et brudd i 2012. Hvordan dette bruddet er behandlet i tabell 1.18 er nærmere beskrevet i boks 1.4.</w:t>
      </w:r>
      <w:r>
        <w:rPr>
          <w:noProof/>
        </w:rPr>
        <w:br/>
      </w:r>
    </w:p>
    <w:p w14:paraId="5BFCF5F4" w14:textId="77777777" w:rsidR="005F400D" w:rsidRDefault="005F400D" w:rsidP="005F400D">
      <w:pPr>
        <w:rPr>
          <w:i/>
          <w:noProof/>
        </w:rPr>
      </w:pPr>
      <w:r w:rsidRPr="00C643B5">
        <w:rPr>
          <w:i/>
          <w:noProof/>
        </w:rPr>
        <w:t>Samlet vekst</w:t>
      </w:r>
      <w:r>
        <w:t xml:space="preserve"> </w:t>
      </w:r>
      <w:r w:rsidRPr="00C643B5">
        <w:rPr>
          <w:i/>
          <w:noProof/>
        </w:rPr>
        <w:t>fra 200</w:t>
      </w:r>
      <w:r>
        <w:rPr>
          <w:i/>
          <w:noProof/>
        </w:rPr>
        <w:t>9</w:t>
      </w:r>
      <w:r w:rsidRPr="00C643B5">
        <w:rPr>
          <w:i/>
          <w:noProof/>
        </w:rPr>
        <w:t>-201</w:t>
      </w:r>
      <w:r>
        <w:rPr>
          <w:i/>
          <w:noProof/>
        </w:rPr>
        <w:t>4 etter utdanningslengde</w:t>
      </w:r>
    </w:p>
    <w:p w14:paraId="12746D0E" w14:textId="2D3C3A88" w:rsidR="005F400D" w:rsidRDefault="005F400D" w:rsidP="005F400D">
      <w:pPr>
        <w:rPr>
          <w:noProof/>
        </w:rPr>
      </w:pPr>
      <w:r>
        <w:rPr>
          <w:noProof/>
        </w:rPr>
        <w:t xml:space="preserve">For grunnskoleutdannede har den høyeste veksten de siste fem årene vært for ansatte i staten (23,2 prosent). For personer på videregående skolenivå er det finanstjenester som har hatt høyest lønnsvekst (23,4 prosent). For fagutdannede er det ansatte i kommunene samlet som har hatt høyest lønnsvekst (23,8 prosent). For universitet og høyskoleutdannede til og med 4 år er det ansatte i kommunene eksklusive skoleverket som har hatt høyest lønnsvekst (22,0 prosent), mens det for universitets- eller høyskoleutdannede lenger enn 4 år er ansatte i bygg og anlegg </w:t>
      </w:r>
      <w:r w:rsidR="003D7F7A">
        <w:rPr>
          <w:noProof/>
        </w:rPr>
        <w:t xml:space="preserve">som har hatt størst lønnsvekst </w:t>
      </w:r>
      <w:r>
        <w:rPr>
          <w:noProof/>
        </w:rPr>
        <w:t xml:space="preserve">(26,4 prosent). </w:t>
      </w:r>
    </w:p>
    <w:p w14:paraId="17887CA4" w14:textId="77777777" w:rsidR="005F400D" w:rsidRDefault="005F400D" w:rsidP="005F400D">
      <w:pPr>
        <w:spacing w:after="240"/>
        <w:rPr>
          <w:noProof/>
        </w:rPr>
      </w:pPr>
      <w:r>
        <w:rPr>
          <w:noProof/>
        </w:rPr>
        <w:t xml:space="preserve">I enkelte næringer er andelen personer </w:t>
      </w:r>
      <w:r w:rsidR="00EA7BDC">
        <w:rPr>
          <w:noProof/>
        </w:rPr>
        <w:t xml:space="preserve">i noen av </w:t>
      </w:r>
      <w:r>
        <w:rPr>
          <w:noProof/>
        </w:rPr>
        <w:t>utdanningslengdene ganske liten. F.eks innenfor skoleverket er det kun 0,4 prosent av de ansatte i utvalget som har grunnskoleutdanning.I bygg og anlegg og i varehandel er det kun 3 prosent  som har universitet og høyskoleutdanning lenger enn 4 år. I disse tilfellene bør tallene tolkes med varsomhet.</w:t>
      </w:r>
    </w:p>
    <w:p w14:paraId="6A226F26" w14:textId="77777777" w:rsidR="00D87C14" w:rsidRDefault="00D87C14" w:rsidP="005F400D">
      <w:pPr>
        <w:spacing w:after="240"/>
        <w:rPr>
          <w:noProof/>
        </w:rPr>
      </w:pPr>
    </w:p>
    <w:p w14:paraId="460F0143" w14:textId="77777777" w:rsidR="00D87C14" w:rsidRDefault="00D87C14">
      <w:pPr>
        <w:spacing w:after="0"/>
        <w:rPr>
          <w:noProof/>
        </w:rPr>
      </w:pPr>
      <w:r>
        <w:rPr>
          <w:noProof/>
        </w:rPr>
        <w:br w:type="page"/>
      </w:r>
    </w:p>
    <w:p w14:paraId="48B035DD" w14:textId="77777777" w:rsidR="009D0BB8" w:rsidRDefault="009D0BB8" w:rsidP="005F400D">
      <w:pPr>
        <w:spacing w:after="240"/>
        <w:rPr>
          <w:noProof/>
        </w:rPr>
      </w:pPr>
    </w:p>
    <w:p w14:paraId="2B0F46EA" w14:textId="77777777" w:rsidR="005F400D" w:rsidRDefault="00C67156" w:rsidP="00D87C14">
      <w:pPr>
        <w:spacing w:after="0"/>
        <w:rPr>
          <w:noProof/>
        </w:rPr>
      </w:pPr>
      <w:r>
        <w:rPr>
          <w:noProof/>
        </w:rPr>
        <mc:AlternateContent>
          <mc:Choice Requires="wps">
            <w:drawing>
              <wp:anchor distT="0" distB="0" distL="114300" distR="114300" simplePos="0" relativeHeight="251669504" behindDoc="0" locked="0" layoutInCell="1" allowOverlap="1" wp14:anchorId="70E0DB9A" wp14:editId="7D55A0E5">
                <wp:simplePos x="0" y="0"/>
                <wp:positionH relativeFrom="column">
                  <wp:align>center</wp:align>
                </wp:positionH>
                <wp:positionV relativeFrom="paragraph">
                  <wp:posOffset>0</wp:posOffset>
                </wp:positionV>
                <wp:extent cx="5600065" cy="4841875"/>
                <wp:effectExtent l="8255" t="8890" r="11430" b="6985"/>
                <wp:wrapNone/>
                <wp:docPr id="8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065" cy="4841875"/>
                        </a:xfrm>
                        <a:prstGeom prst="rect">
                          <a:avLst/>
                        </a:prstGeom>
                        <a:solidFill>
                          <a:srgbClr val="FFFFFF"/>
                        </a:solidFill>
                        <a:ln w="9525">
                          <a:solidFill>
                            <a:srgbClr val="000000"/>
                          </a:solidFill>
                          <a:miter lim="800000"/>
                          <a:headEnd/>
                          <a:tailEnd/>
                        </a:ln>
                      </wps:spPr>
                      <wps:txbx>
                        <w:txbxContent>
                          <w:p w14:paraId="0C7685C7" w14:textId="77777777" w:rsidR="009C4B1A" w:rsidRPr="009473CE" w:rsidRDefault="009C4B1A" w:rsidP="00D87C14">
                            <w:pPr>
                              <w:jc w:val="center"/>
                              <w:rPr>
                                <w:rFonts w:ascii="Arial" w:hAnsi="Arial" w:cs="Arial"/>
                                <w:b/>
                                <w:szCs w:val="24"/>
                              </w:rPr>
                            </w:pPr>
                            <w:r w:rsidRPr="009473CE">
                              <w:rPr>
                                <w:rFonts w:ascii="Arial" w:hAnsi="Arial" w:cs="Arial"/>
                                <w:b/>
                                <w:szCs w:val="24"/>
                              </w:rPr>
                              <w:t>Boks1.4 Nye opplysninger om innvandrernes utdanningsnivå</w:t>
                            </w:r>
                          </w:p>
                          <w:p w14:paraId="39F6CDC7" w14:textId="77777777" w:rsidR="009C4B1A" w:rsidRDefault="009C4B1A" w:rsidP="00D87C14">
                            <w:r>
                              <w:t xml:space="preserve">Pga sterk innvandring de siste årene har det over tid bygget seg opp en stor gruppe med personer man ikke har utdanningsopplysninger om. Statistisk sentralbyrå gjennomførte derfor i 2011 en spørreundersøkelse om innvandrernes utdanningslengde for de man manglet opplysninger om. Det ble også gjennomført en tilleggsundersøkelse i 2012 for å få en større dekningsgrad. Et resultat av dette var at en stor gruppe innvandrere (ca 139 000 personer) som tidligere var oppført under uoppgitt utdanning nå fikk tildelt utdanningskode. Egne analyser fra Statistisk sentralbyrå viser at disse i snitt hadde noe lavere lønn enn resten av lønnstakerne med tilsvarende utdanningslengde.  Dette kan bl.a. ha årsak i kortere ansiennitet eller at de er i yrker som ikke samsvarer med den type utdanning de har. </w:t>
                            </w:r>
                          </w:p>
                          <w:p w14:paraId="4C4124C2" w14:textId="7A9E4AD8" w:rsidR="009C4B1A" w:rsidRDefault="009C4B1A" w:rsidP="00D87C14">
                            <w:r>
                              <w:t xml:space="preserve">Beregning av lønn etter utdanning baserer seg på utdanningsopplysninger fra året før fordi utdanningsopplysninger blir senere oppdatert enn lønnsopplysninger. Generelt er ikke dette noe stort problem så lenge de nye gruppene som kommer inn det enkelte år ikke er for store. Dette var ikke tilfelle i 2012 da vi fikk inn en ny stor gruppe med innvandrere som tidligere har vært oppført under ”uoppgitt utdanning”. For å få til sammenlignbare grupper mellom to år og begrense bruddet i lønnsstatistikken mellom 2011 og 2012, har man derfor i tabell 1.18 valgt å ta utgangspunkt i to datasett for 2011. Et ”gammelt” 2011 datasett hvor de nye utdanningskodene ikke er med når en beregner lønnsveksten fra 2010 til 2011, og et ”nytt” 2011datasett hvor de nye utdanningskodene er med og som brukes når en beregner lønnveksten fra 2011 til 2012.  </w:t>
                            </w:r>
                            <w:r w:rsidRPr="0038139D">
                              <w:t>Tabellen inneholder altså to ulike lønnsnivåtall for 2011. Det ene tallet er sammenliknbart med</w:t>
                            </w:r>
                            <w:r>
                              <w:t xml:space="preserve"> øvrige lønnsnivå fram til 2011</w:t>
                            </w:r>
                            <w:r w:rsidRPr="0038139D">
                              <w:t>, og måler veksten fra 2010-2011. Det andre inkluderer alle nye opplysninger om utdanningsnivå for innvandrere, og er utgangspunktet for mål</w:t>
                            </w:r>
                            <w:r>
                              <w:t>ing av lønnsvekst fra 2011-2012.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0DB9A" id="Text Box 25" o:spid="_x0000_s1028" type="#_x0000_t202" style="position:absolute;margin-left:0;margin-top:0;width:440.95pt;height:381.2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">
                <v:textbox>
                  <w:txbxContent>
                    <w:p w14:paraId="0C7685C7" w14:textId="77777777" w:rsidR="009C4B1A" w:rsidRPr="009473CE" w:rsidRDefault="009C4B1A" w:rsidP="00D87C14">
                      <w:pPr>
                        <w:jc w:val="center"/>
                        <w:rPr>
                          <w:rFonts w:ascii="Arial" w:hAnsi="Arial" w:cs="Arial"/>
                          <w:b/>
                          <w:szCs w:val="24"/>
                        </w:rPr>
                      </w:pPr>
                      <w:r w:rsidRPr="009473CE">
                        <w:rPr>
                          <w:rFonts w:ascii="Arial" w:hAnsi="Arial" w:cs="Arial"/>
                          <w:b/>
                          <w:szCs w:val="24"/>
                        </w:rPr>
                        <w:t>Boks1.4 Nye opplysninger om innvandrernes utdanningsnivå</w:t>
                      </w:r>
                    </w:p>
                    <w:p w14:paraId="39F6CDC7" w14:textId="77777777" w:rsidR="009C4B1A" w:rsidRDefault="009C4B1A" w:rsidP="00D87C14">
                      <w:r>
                        <w:t xml:space="preserve">Pga sterk innvandring de siste årene har det over tid bygget seg opp en stor gruppe med personer man ikke har utdanningsopplysninger om. Statistisk sentralbyrå gjennomførte derfor i 2011 en spørreundersøkelse om innvandrernes utdanningslengde for de man manglet opplysninger om. Det ble også gjennomført en tilleggsundersøkelse i 2012 for å få en større dekningsgrad. Et resultat av dette var at en stor gruppe innvandrere (ca 139 000 personer) som tidligere var oppført under uoppgitt utdanning nå fikk tildelt utdanningskode. Egne analyser fra Statistisk sentralbyrå viser at disse i snitt hadde noe lavere lønn enn resten av lønnstakerne med tilsvarende utdanningslengde.  Dette kan bl.a. ha årsak i kortere ansiennitet eller at de er i yrker som ikke samsvarer med den type utdanning de har. </w:t>
                      </w:r>
                    </w:p>
                    <w:p w14:paraId="4C4124C2" w14:textId="7A9E4AD8" w:rsidR="009C4B1A" w:rsidRDefault="009C4B1A" w:rsidP="00D87C14">
                      <w:r>
                        <w:t xml:space="preserve">Beregning av lønn etter utdanning baserer seg på utdanningsopplysninger fra året før fordi utdanningsopplysninger blir senere oppdatert enn lønnsopplysninger. Generelt er ikke dette noe stort problem så lenge de nye gruppene som kommer inn det enkelte år ikke er for store. Dette var ikke tilfelle i 2012 da vi fikk inn en ny stor gruppe med innvandrere som tidligere har vært oppført under ”uoppgitt utdanning”. For å få til sammenlignbare grupper mellom to år og begrense bruddet i lønnsstatistikken mellom 2011 og 2012, har man derfor i tabell 1.18 valgt å ta utgangspunkt i to datasett for 2011. Et ”gammelt” 2011 datasett hvor de nye utdanningskodene ikke er med når en beregner lønnsveksten fra 2010 til 2011, og et ”nytt” 2011datasett hvor de nye utdanningskodene er med og som brukes når en beregner lønnveksten fra 2011 til 2012.  </w:t>
                      </w:r>
                      <w:r w:rsidRPr="0038139D">
                        <w:t>Tabellen inneholder altså to ulike lønnsnivåtall for 2011. Det ene tallet er sammenliknbart med</w:t>
                      </w:r>
                      <w:r>
                        <w:t xml:space="preserve"> øvrige lønnsnivå fram til 2011</w:t>
                      </w:r>
                      <w:r w:rsidRPr="0038139D">
                        <w:t>, og måler veksten fra 2010-2011. Det andre inkluderer alle nye opplysninger om utdanningsnivå for innvandrere, og er utgangspunktet for mål</w:t>
                      </w:r>
                      <w:r>
                        <w:t>ing av lønnsvekst fra 2011-2012.</w:t>
                      </w:r>
                    </w:p>
                  </w:txbxContent>
                </v:textbox>
              </v:shape>
            </w:pict>
          </mc:Fallback>
        </mc:AlternateContent>
      </w:r>
      <w:r w:rsidR="005F400D">
        <w:rPr>
          <w:noProof/>
        </w:rPr>
        <w:br w:type="page"/>
      </w:r>
    </w:p>
    <w:p w14:paraId="04203A81" w14:textId="77777777" w:rsidR="005F400D" w:rsidRPr="000171BC" w:rsidRDefault="005F400D" w:rsidP="006E305B">
      <w:pPr>
        <w:pStyle w:val="tabell-tittel"/>
        <w:numPr>
          <w:ilvl w:val="6"/>
          <w:numId w:val="31"/>
        </w:numPr>
        <w:spacing w:before="120" w:after="0" w:line="240" w:lineRule="auto"/>
      </w:pPr>
      <w:r w:rsidRPr="00011274">
        <w:t>Gjennomsnittslønn</w:t>
      </w:r>
      <w:r w:rsidRPr="00011274">
        <w:rPr>
          <w:vertAlign w:val="superscript"/>
        </w:rPr>
        <w:t>1</w:t>
      </w:r>
      <w:r w:rsidRPr="00011274">
        <w:t xml:space="preserve"> per dato</w:t>
      </w:r>
      <w:r w:rsidRPr="00011274">
        <w:rPr>
          <w:vertAlign w:val="superscript"/>
        </w:rPr>
        <w:t>2</w:t>
      </w:r>
      <w:r w:rsidRPr="00011274">
        <w:t xml:space="preserve"> for heltidsansatte etter næring</w:t>
      </w:r>
      <w:r w:rsidRPr="00011274">
        <w:rPr>
          <w:vertAlign w:val="superscript"/>
        </w:rPr>
        <w:t>3</w:t>
      </w:r>
      <w:r w:rsidRPr="00011274">
        <w:t xml:space="preserve"> og utdanningslengde</w:t>
      </w:r>
      <w:r w:rsidRPr="00011274">
        <w:rPr>
          <w:vertAlign w:val="superscript"/>
        </w:rPr>
        <w:t>4</w:t>
      </w:r>
      <w:r w:rsidRPr="00011274" w:rsidDel="00720731">
        <w:rPr>
          <w:vertAlign w:val="superscript"/>
        </w:rPr>
        <w:t>.</w:t>
      </w:r>
      <w:r w:rsidRPr="00011274">
        <w:t xml:space="preserve"> Vekst fra året før i prosent. (</w:t>
      </w:r>
      <w:r>
        <w:t xml:space="preserve">Inklusive oppdaterte </w:t>
      </w:r>
      <w:r w:rsidRPr="00011274">
        <w:t xml:space="preserve">opplysninger om innvandrernes </w:t>
      </w:r>
      <w:r>
        <w:t>utdanningslengde</w:t>
      </w:r>
      <w:r w:rsidRPr="00011274">
        <w:rPr>
          <w:vertAlign w:val="superscript"/>
        </w:rPr>
        <w:t>1</w:t>
      </w:r>
      <w:r>
        <w:rPr>
          <w:vertAlign w:val="superscript"/>
        </w:rPr>
        <w:t>0</w:t>
      </w:r>
      <w:r>
        <w:t>)</w:t>
      </w:r>
      <w:r w:rsidRPr="000171BC">
        <w:rPr>
          <w:b/>
          <w:sz w:val="20"/>
        </w:rPr>
        <w:tab/>
      </w:r>
    </w:p>
    <w:tbl>
      <w:tblPr>
        <w:tblW w:w="5091" w:type="pct"/>
        <w:tblCellMar>
          <w:left w:w="28" w:type="dxa"/>
          <w:right w:w="28" w:type="dxa"/>
        </w:tblCellMar>
        <w:tblLook w:val="04A0" w:firstRow="1" w:lastRow="0" w:firstColumn="1" w:lastColumn="0" w:noHBand="0" w:noVBand="1"/>
      </w:tblPr>
      <w:tblGrid>
        <w:gridCol w:w="1860"/>
        <w:gridCol w:w="606"/>
        <w:gridCol w:w="486"/>
        <w:gridCol w:w="486"/>
        <w:gridCol w:w="486"/>
        <w:gridCol w:w="486"/>
        <w:gridCol w:w="486"/>
        <w:gridCol w:w="486"/>
        <w:gridCol w:w="571"/>
        <w:gridCol w:w="606"/>
        <w:gridCol w:w="606"/>
        <w:gridCol w:w="622"/>
        <w:gridCol w:w="693"/>
        <w:gridCol w:w="755"/>
      </w:tblGrid>
      <w:tr w:rsidR="005F400D" w:rsidRPr="002A06C3" w14:paraId="381506E2" w14:textId="77777777" w:rsidTr="00EA7BDC">
        <w:trPr>
          <w:trHeight w:val="466"/>
          <w:tblHeader/>
        </w:trPr>
        <w:tc>
          <w:tcPr>
            <w:tcW w:w="1007" w:type="pct"/>
            <w:tcBorders>
              <w:top w:val="single" w:sz="4" w:space="0" w:color="auto"/>
              <w:bottom w:val="single" w:sz="4" w:space="0" w:color="auto"/>
            </w:tcBorders>
            <w:shd w:val="clear" w:color="auto" w:fill="auto"/>
            <w:vAlign w:val="bottom"/>
            <w:hideMark/>
          </w:tcPr>
          <w:p w14:paraId="637122E1" w14:textId="77777777" w:rsidR="005F400D" w:rsidRPr="002A06C3" w:rsidRDefault="005F400D" w:rsidP="00EA7BDC">
            <w:pPr>
              <w:spacing w:after="0"/>
              <w:ind w:right="-28"/>
              <w:rPr>
                <w:rFonts w:ascii="Times New Roman" w:hAnsi="Times New Roman"/>
                <w:b/>
                <w:bCs/>
                <w:sz w:val="18"/>
                <w:szCs w:val="18"/>
              </w:rPr>
            </w:pPr>
            <w:r w:rsidRPr="002A06C3">
              <w:rPr>
                <w:rFonts w:ascii="Times New Roman" w:hAnsi="Times New Roman"/>
                <w:b/>
                <w:bCs/>
                <w:sz w:val="18"/>
                <w:szCs w:val="18"/>
              </w:rPr>
              <w:t> </w:t>
            </w:r>
          </w:p>
        </w:tc>
        <w:tc>
          <w:tcPr>
            <w:tcW w:w="328" w:type="pct"/>
            <w:tcBorders>
              <w:top w:val="single" w:sz="4" w:space="0" w:color="auto"/>
              <w:bottom w:val="single" w:sz="4" w:space="0" w:color="auto"/>
            </w:tcBorders>
            <w:shd w:val="clear" w:color="auto" w:fill="auto"/>
            <w:vAlign w:val="bottom"/>
            <w:hideMark/>
          </w:tcPr>
          <w:p w14:paraId="0653FE8A"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An-deler</w:t>
            </w:r>
            <w:r w:rsidRPr="00A3498F">
              <w:rPr>
                <w:rFonts w:ascii="Times New Roman" w:hAnsi="Times New Roman"/>
                <w:sz w:val="18"/>
                <w:szCs w:val="18"/>
                <w:vertAlign w:val="superscript"/>
              </w:rPr>
              <w:t>5</w:t>
            </w:r>
          </w:p>
        </w:tc>
        <w:tc>
          <w:tcPr>
            <w:tcW w:w="2880" w:type="pct"/>
            <w:gridSpan w:val="10"/>
            <w:tcBorders>
              <w:top w:val="single" w:sz="4" w:space="0" w:color="auto"/>
              <w:bottom w:val="single" w:sz="4" w:space="0" w:color="auto"/>
            </w:tcBorders>
            <w:shd w:val="clear" w:color="auto" w:fill="auto"/>
            <w:vAlign w:val="bottom"/>
            <w:hideMark/>
          </w:tcPr>
          <w:p w14:paraId="5F589DB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Vekst i prosent fra samme tidspunkt året før</w:t>
            </w:r>
          </w:p>
        </w:tc>
        <w:tc>
          <w:tcPr>
            <w:tcW w:w="375" w:type="pct"/>
            <w:vMerge w:val="restart"/>
            <w:tcBorders>
              <w:top w:val="single" w:sz="4" w:space="0" w:color="auto"/>
            </w:tcBorders>
            <w:shd w:val="clear" w:color="auto" w:fill="auto"/>
            <w:vAlign w:val="bottom"/>
            <w:hideMark/>
          </w:tcPr>
          <w:p w14:paraId="65A76E6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Samlet vekst fra 2009 til 2014</w:t>
            </w:r>
            <w:r w:rsidRPr="002A06C3">
              <w:rPr>
                <w:rFonts w:ascii="Times New Roman" w:hAnsi="Times New Roman"/>
                <w:sz w:val="18"/>
                <w:szCs w:val="18"/>
                <w:vertAlign w:val="superscript"/>
              </w:rPr>
              <w:t>10</w:t>
            </w:r>
          </w:p>
        </w:tc>
        <w:tc>
          <w:tcPr>
            <w:tcW w:w="409" w:type="pct"/>
            <w:vMerge w:val="restart"/>
            <w:tcBorders>
              <w:top w:val="single" w:sz="4" w:space="0" w:color="auto"/>
            </w:tcBorders>
            <w:shd w:val="clear" w:color="auto" w:fill="auto"/>
            <w:vAlign w:val="bottom"/>
            <w:hideMark/>
          </w:tcPr>
          <w:p w14:paraId="6343B8C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Måneds-lønn per dato</w:t>
            </w:r>
            <w:r w:rsidRPr="002A06C3">
              <w:rPr>
                <w:rFonts w:ascii="Times New Roman" w:hAnsi="Times New Roman"/>
                <w:sz w:val="18"/>
                <w:szCs w:val="18"/>
                <w:vertAlign w:val="superscript"/>
              </w:rPr>
              <w:t>2</w:t>
            </w:r>
            <w:r w:rsidRPr="002A06C3">
              <w:rPr>
                <w:rFonts w:ascii="Times New Roman" w:hAnsi="Times New Roman"/>
                <w:sz w:val="18"/>
                <w:szCs w:val="18"/>
              </w:rPr>
              <w:t>*12</w:t>
            </w:r>
            <w:r w:rsidRPr="002A06C3">
              <w:rPr>
                <w:rFonts w:ascii="Times New Roman" w:hAnsi="Times New Roman"/>
                <w:sz w:val="18"/>
                <w:szCs w:val="18"/>
              </w:rPr>
              <w:br/>
              <w:t>2014</w:t>
            </w:r>
            <w:r w:rsidRPr="002A06C3">
              <w:rPr>
                <w:rFonts w:ascii="Times New Roman" w:hAnsi="Times New Roman"/>
                <w:sz w:val="18"/>
                <w:szCs w:val="18"/>
                <w:vertAlign w:val="superscript"/>
              </w:rPr>
              <w:t>10</w:t>
            </w:r>
          </w:p>
        </w:tc>
      </w:tr>
      <w:tr w:rsidR="005F400D" w:rsidRPr="002A06C3" w14:paraId="1990F37B" w14:textId="77777777" w:rsidTr="00EA7BDC">
        <w:trPr>
          <w:trHeight w:val="80"/>
          <w:tblHeader/>
        </w:trPr>
        <w:tc>
          <w:tcPr>
            <w:tcW w:w="1007" w:type="pct"/>
            <w:tcBorders>
              <w:top w:val="single" w:sz="4" w:space="0" w:color="auto"/>
              <w:bottom w:val="single" w:sz="4" w:space="0" w:color="auto"/>
            </w:tcBorders>
            <w:shd w:val="clear" w:color="auto" w:fill="auto"/>
            <w:vAlign w:val="bottom"/>
            <w:hideMark/>
          </w:tcPr>
          <w:p w14:paraId="19B5DC5A" w14:textId="77777777" w:rsidR="005F400D" w:rsidRPr="002A06C3" w:rsidRDefault="005F400D" w:rsidP="008C4FE7">
            <w:pPr>
              <w:spacing w:after="0"/>
              <w:rPr>
                <w:rFonts w:ascii="Times New Roman" w:hAnsi="Times New Roman"/>
                <w:b/>
                <w:bCs/>
                <w:sz w:val="18"/>
                <w:szCs w:val="18"/>
              </w:rPr>
            </w:pPr>
            <w:r w:rsidRPr="002A06C3">
              <w:rPr>
                <w:rFonts w:ascii="Times New Roman" w:hAnsi="Times New Roman"/>
                <w:b/>
                <w:bCs/>
                <w:sz w:val="18"/>
                <w:szCs w:val="18"/>
              </w:rPr>
              <w:t> </w:t>
            </w:r>
          </w:p>
        </w:tc>
        <w:tc>
          <w:tcPr>
            <w:tcW w:w="328" w:type="pct"/>
            <w:tcBorders>
              <w:top w:val="single" w:sz="4" w:space="0" w:color="auto"/>
              <w:bottom w:val="single" w:sz="4" w:space="0" w:color="auto"/>
            </w:tcBorders>
            <w:shd w:val="clear" w:color="auto" w:fill="auto"/>
            <w:vAlign w:val="bottom"/>
            <w:hideMark/>
          </w:tcPr>
          <w:p w14:paraId="70D330C6" w14:textId="77777777" w:rsidR="005F400D" w:rsidRPr="00A3498F" w:rsidRDefault="005F400D" w:rsidP="008C4FE7">
            <w:pPr>
              <w:spacing w:after="0"/>
              <w:jc w:val="center"/>
              <w:rPr>
                <w:rFonts w:ascii="Times New Roman" w:hAnsi="Times New Roman"/>
                <w:sz w:val="18"/>
                <w:szCs w:val="18"/>
                <w:vertAlign w:val="superscript"/>
              </w:rPr>
            </w:pPr>
            <w:r w:rsidRPr="00A3498F">
              <w:rPr>
                <w:rFonts w:ascii="Times New Roman" w:hAnsi="Times New Roman"/>
                <w:sz w:val="18"/>
                <w:szCs w:val="18"/>
              </w:rPr>
              <w:t>2014</w:t>
            </w:r>
            <w:r w:rsidRPr="00A3498F">
              <w:rPr>
                <w:rFonts w:ascii="Times New Roman" w:hAnsi="Times New Roman"/>
                <w:sz w:val="18"/>
                <w:szCs w:val="18"/>
                <w:vertAlign w:val="superscript"/>
              </w:rPr>
              <w:t>10</w:t>
            </w:r>
          </w:p>
        </w:tc>
        <w:tc>
          <w:tcPr>
            <w:tcW w:w="263" w:type="pct"/>
            <w:tcBorders>
              <w:top w:val="single" w:sz="4" w:space="0" w:color="auto"/>
              <w:bottom w:val="single" w:sz="4" w:space="0" w:color="auto"/>
            </w:tcBorders>
            <w:shd w:val="clear" w:color="auto" w:fill="auto"/>
            <w:vAlign w:val="bottom"/>
            <w:hideMark/>
          </w:tcPr>
          <w:p w14:paraId="7103121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2005</w:t>
            </w:r>
          </w:p>
        </w:tc>
        <w:tc>
          <w:tcPr>
            <w:tcW w:w="263" w:type="pct"/>
            <w:tcBorders>
              <w:top w:val="single" w:sz="4" w:space="0" w:color="auto"/>
              <w:bottom w:val="single" w:sz="4" w:space="0" w:color="auto"/>
            </w:tcBorders>
            <w:shd w:val="clear" w:color="auto" w:fill="auto"/>
            <w:vAlign w:val="bottom"/>
            <w:hideMark/>
          </w:tcPr>
          <w:p w14:paraId="1DD9E76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2006</w:t>
            </w:r>
          </w:p>
        </w:tc>
        <w:tc>
          <w:tcPr>
            <w:tcW w:w="263" w:type="pct"/>
            <w:tcBorders>
              <w:top w:val="single" w:sz="4" w:space="0" w:color="auto"/>
              <w:bottom w:val="single" w:sz="4" w:space="0" w:color="auto"/>
            </w:tcBorders>
            <w:shd w:val="clear" w:color="auto" w:fill="auto"/>
            <w:vAlign w:val="bottom"/>
            <w:hideMark/>
          </w:tcPr>
          <w:p w14:paraId="4B90302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2007</w:t>
            </w:r>
          </w:p>
        </w:tc>
        <w:tc>
          <w:tcPr>
            <w:tcW w:w="263" w:type="pct"/>
            <w:tcBorders>
              <w:top w:val="single" w:sz="4" w:space="0" w:color="auto"/>
              <w:bottom w:val="single" w:sz="4" w:space="0" w:color="auto"/>
            </w:tcBorders>
            <w:shd w:val="clear" w:color="auto" w:fill="auto"/>
            <w:vAlign w:val="bottom"/>
            <w:hideMark/>
          </w:tcPr>
          <w:p w14:paraId="7594A6D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2008</w:t>
            </w:r>
          </w:p>
        </w:tc>
        <w:tc>
          <w:tcPr>
            <w:tcW w:w="263" w:type="pct"/>
            <w:tcBorders>
              <w:top w:val="single" w:sz="4" w:space="0" w:color="auto"/>
              <w:bottom w:val="single" w:sz="4" w:space="0" w:color="auto"/>
            </w:tcBorders>
            <w:shd w:val="clear" w:color="auto" w:fill="auto"/>
            <w:vAlign w:val="bottom"/>
            <w:hideMark/>
          </w:tcPr>
          <w:p w14:paraId="62D1F31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2009</w:t>
            </w:r>
          </w:p>
        </w:tc>
        <w:tc>
          <w:tcPr>
            <w:tcW w:w="263" w:type="pct"/>
            <w:tcBorders>
              <w:top w:val="single" w:sz="4" w:space="0" w:color="auto"/>
              <w:bottom w:val="single" w:sz="4" w:space="0" w:color="auto"/>
            </w:tcBorders>
            <w:shd w:val="clear" w:color="auto" w:fill="auto"/>
            <w:vAlign w:val="bottom"/>
            <w:hideMark/>
          </w:tcPr>
          <w:p w14:paraId="2B681AA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2010</w:t>
            </w:r>
          </w:p>
        </w:tc>
        <w:tc>
          <w:tcPr>
            <w:tcW w:w="309" w:type="pct"/>
            <w:tcBorders>
              <w:top w:val="single" w:sz="4" w:space="0" w:color="auto"/>
              <w:bottom w:val="single" w:sz="4" w:space="0" w:color="auto"/>
            </w:tcBorders>
            <w:shd w:val="clear" w:color="auto" w:fill="auto"/>
            <w:vAlign w:val="bottom"/>
            <w:hideMark/>
          </w:tcPr>
          <w:p w14:paraId="53D3CD0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2011</w:t>
            </w:r>
          </w:p>
        </w:tc>
        <w:tc>
          <w:tcPr>
            <w:tcW w:w="328" w:type="pct"/>
            <w:tcBorders>
              <w:top w:val="single" w:sz="4" w:space="0" w:color="auto"/>
              <w:bottom w:val="single" w:sz="4" w:space="0" w:color="auto"/>
            </w:tcBorders>
            <w:shd w:val="clear" w:color="auto" w:fill="auto"/>
            <w:vAlign w:val="bottom"/>
            <w:hideMark/>
          </w:tcPr>
          <w:p w14:paraId="7F6CE37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2012</w:t>
            </w:r>
            <w:r w:rsidRPr="002A06C3">
              <w:rPr>
                <w:rFonts w:ascii="Times New Roman" w:hAnsi="Times New Roman"/>
                <w:sz w:val="18"/>
                <w:szCs w:val="18"/>
                <w:vertAlign w:val="superscript"/>
              </w:rPr>
              <w:t>10</w:t>
            </w:r>
          </w:p>
        </w:tc>
        <w:tc>
          <w:tcPr>
            <w:tcW w:w="328" w:type="pct"/>
            <w:tcBorders>
              <w:top w:val="single" w:sz="4" w:space="0" w:color="auto"/>
              <w:bottom w:val="single" w:sz="4" w:space="0" w:color="auto"/>
            </w:tcBorders>
            <w:shd w:val="clear" w:color="auto" w:fill="auto"/>
            <w:vAlign w:val="bottom"/>
            <w:hideMark/>
          </w:tcPr>
          <w:p w14:paraId="0F5E9A2F" w14:textId="77777777" w:rsidR="005F400D" w:rsidRPr="002A06C3" w:rsidRDefault="005F400D" w:rsidP="008C4FE7">
            <w:pPr>
              <w:spacing w:after="0"/>
              <w:jc w:val="center"/>
              <w:rPr>
                <w:rFonts w:ascii="Times New Roman" w:hAnsi="Times New Roman"/>
                <w:sz w:val="18"/>
                <w:szCs w:val="18"/>
                <w:vertAlign w:val="superscript"/>
              </w:rPr>
            </w:pPr>
            <w:r w:rsidRPr="002A06C3">
              <w:rPr>
                <w:rFonts w:ascii="Times New Roman" w:hAnsi="Times New Roman"/>
                <w:sz w:val="18"/>
                <w:szCs w:val="18"/>
              </w:rPr>
              <w:t>2013</w:t>
            </w:r>
            <w:r w:rsidRPr="002A06C3">
              <w:rPr>
                <w:rFonts w:ascii="Times New Roman" w:hAnsi="Times New Roman"/>
                <w:sz w:val="18"/>
                <w:szCs w:val="18"/>
                <w:vertAlign w:val="superscript"/>
              </w:rPr>
              <w:t>10</w:t>
            </w:r>
          </w:p>
        </w:tc>
        <w:tc>
          <w:tcPr>
            <w:tcW w:w="336" w:type="pct"/>
            <w:tcBorders>
              <w:top w:val="single" w:sz="4" w:space="0" w:color="auto"/>
              <w:bottom w:val="single" w:sz="4" w:space="0" w:color="auto"/>
            </w:tcBorders>
            <w:shd w:val="clear" w:color="auto" w:fill="auto"/>
            <w:vAlign w:val="bottom"/>
            <w:hideMark/>
          </w:tcPr>
          <w:p w14:paraId="3B4DA3AA" w14:textId="77777777" w:rsidR="005F400D" w:rsidRPr="002A06C3" w:rsidRDefault="005F400D" w:rsidP="008C4FE7">
            <w:pPr>
              <w:spacing w:after="0"/>
              <w:jc w:val="center"/>
              <w:rPr>
                <w:rFonts w:ascii="Times New Roman" w:hAnsi="Times New Roman"/>
                <w:sz w:val="18"/>
                <w:szCs w:val="18"/>
                <w:vertAlign w:val="superscript"/>
              </w:rPr>
            </w:pPr>
            <w:r w:rsidRPr="002A06C3">
              <w:rPr>
                <w:rFonts w:ascii="Times New Roman" w:hAnsi="Times New Roman"/>
                <w:sz w:val="18"/>
                <w:szCs w:val="18"/>
              </w:rPr>
              <w:t>2014</w:t>
            </w:r>
            <w:r w:rsidRPr="002A06C3">
              <w:rPr>
                <w:rFonts w:ascii="Times New Roman" w:hAnsi="Times New Roman"/>
                <w:sz w:val="18"/>
                <w:szCs w:val="18"/>
                <w:vertAlign w:val="superscript"/>
              </w:rPr>
              <w:t>10</w:t>
            </w:r>
          </w:p>
        </w:tc>
        <w:tc>
          <w:tcPr>
            <w:tcW w:w="375" w:type="pct"/>
            <w:vMerge/>
            <w:tcBorders>
              <w:bottom w:val="single" w:sz="4" w:space="0" w:color="auto"/>
            </w:tcBorders>
            <w:shd w:val="clear" w:color="auto" w:fill="auto"/>
            <w:vAlign w:val="bottom"/>
            <w:hideMark/>
          </w:tcPr>
          <w:p w14:paraId="2C8C7924" w14:textId="77777777" w:rsidR="005F400D" w:rsidRPr="002A06C3" w:rsidRDefault="005F400D" w:rsidP="008C4FE7">
            <w:pPr>
              <w:spacing w:after="0"/>
              <w:ind w:left="67"/>
              <w:jc w:val="center"/>
              <w:rPr>
                <w:rFonts w:ascii="Times New Roman" w:hAnsi="Times New Roman"/>
                <w:sz w:val="18"/>
                <w:szCs w:val="18"/>
              </w:rPr>
            </w:pPr>
          </w:p>
        </w:tc>
        <w:tc>
          <w:tcPr>
            <w:tcW w:w="409" w:type="pct"/>
            <w:vMerge/>
            <w:tcBorders>
              <w:bottom w:val="single" w:sz="4" w:space="0" w:color="auto"/>
            </w:tcBorders>
            <w:shd w:val="clear" w:color="auto" w:fill="auto"/>
            <w:vAlign w:val="bottom"/>
            <w:hideMark/>
          </w:tcPr>
          <w:p w14:paraId="24101F64" w14:textId="77777777" w:rsidR="005F400D" w:rsidRPr="002A06C3" w:rsidRDefault="005F400D" w:rsidP="008C4FE7">
            <w:pPr>
              <w:spacing w:after="0"/>
              <w:jc w:val="center"/>
              <w:rPr>
                <w:rFonts w:ascii="Times New Roman" w:hAnsi="Times New Roman"/>
                <w:sz w:val="18"/>
                <w:szCs w:val="18"/>
              </w:rPr>
            </w:pPr>
          </w:p>
        </w:tc>
      </w:tr>
      <w:tr w:rsidR="005F400D" w:rsidRPr="002A06C3" w14:paraId="250B7CD8" w14:textId="77777777" w:rsidTr="00EA7BDC">
        <w:trPr>
          <w:trHeight w:val="255"/>
        </w:trPr>
        <w:tc>
          <w:tcPr>
            <w:tcW w:w="1007" w:type="pct"/>
            <w:tcBorders>
              <w:top w:val="single" w:sz="4" w:space="0" w:color="auto"/>
            </w:tcBorders>
            <w:shd w:val="clear" w:color="auto" w:fill="auto"/>
            <w:vAlign w:val="bottom"/>
            <w:hideMark/>
          </w:tcPr>
          <w:p w14:paraId="68D97957" w14:textId="77777777" w:rsidR="005F400D" w:rsidRPr="002A06C3" w:rsidRDefault="005F400D" w:rsidP="008C4FE7">
            <w:pPr>
              <w:spacing w:after="0"/>
              <w:rPr>
                <w:rFonts w:ascii="Times New Roman" w:hAnsi="Times New Roman"/>
                <w:b/>
                <w:bCs/>
                <w:sz w:val="18"/>
                <w:szCs w:val="18"/>
                <w:vertAlign w:val="superscript"/>
              </w:rPr>
            </w:pPr>
            <w:r w:rsidRPr="002A06C3">
              <w:rPr>
                <w:rFonts w:ascii="Times New Roman" w:hAnsi="Times New Roman"/>
                <w:b/>
                <w:bCs/>
                <w:sz w:val="18"/>
                <w:szCs w:val="18"/>
              </w:rPr>
              <w:t>Industri i alt</w:t>
            </w:r>
            <w:r w:rsidRPr="002A06C3">
              <w:rPr>
                <w:rFonts w:ascii="Times New Roman" w:hAnsi="Times New Roman"/>
                <w:b/>
                <w:bCs/>
                <w:sz w:val="18"/>
                <w:szCs w:val="18"/>
                <w:vertAlign w:val="superscript"/>
              </w:rPr>
              <w:t>8</w:t>
            </w:r>
          </w:p>
        </w:tc>
        <w:tc>
          <w:tcPr>
            <w:tcW w:w="328" w:type="pct"/>
            <w:tcBorders>
              <w:top w:val="single" w:sz="4" w:space="0" w:color="auto"/>
            </w:tcBorders>
            <w:shd w:val="clear" w:color="auto" w:fill="auto"/>
            <w:vAlign w:val="bottom"/>
            <w:hideMark/>
          </w:tcPr>
          <w:p w14:paraId="7A10FFA1"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100</w:t>
            </w:r>
          </w:p>
        </w:tc>
        <w:tc>
          <w:tcPr>
            <w:tcW w:w="263" w:type="pct"/>
            <w:tcBorders>
              <w:top w:val="single" w:sz="4" w:space="0" w:color="auto"/>
            </w:tcBorders>
            <w:shd w:val="clear" w:color="auto" w:fill="auto"/>
            <w:vAlign w:val="bottom"/>
            <w:hideMark/>
          </w:tcPr>
          <w:p w14:paraId="792BBB7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263" w:type="pct"/>
            <w:tcBorders>
              <w:top w:val="single" w:sz="4" w:space="0" w:color="auto"/>
            </w:tcBorders>
            <w:shd w:val="clear" w:color="auto" w:fill="auto"/>
            <w:vAlign w:val="bottom"/>
            <w:hideMark/>
          </w:tcPr>
          <w:p w14:paraId="1DC2FD4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4,3</w:t>
            </w:r>
          </w:p>
        </w:tc>
        <w:tc>
          <w:tcPr>
            <w:tcW w:w="263" w:type="pct"/>
            <w:tcBorders>
              <w:top w:val="single" w:sz="4" w:space="0" w:color="auto"/>
            </w:tcBorders>
            <w:shd w:val="clear" w:color="auto" w:fill="auto"/>
            <w:vAlign w:val="bottom"/>
            <w:hideMark/>
          </w:tcPr>
          <w:p w14:paraId="5C7B3FD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w:t>
            </w:r>
            <w:r w:rsidR="003D7F7A">
              <w:rPr>
                <w:rFonts w:ascii="Times New Roman" w:hAnsi="Times New Roman"/>
                <w:sz w:val="18"/>
                <w:szCs w:val="18"/>
              </w:rPr>
              <w:t>,0</w:t>
            </w:r>
          </w:p>
        </w:tc>
        <w:tc>
          <w:tcPr>
            <w:tcW w:w="263" w:type="pct"/>
            <w:tcBorders>
              <w:top w:val="single" w:sz="4" w:space="0" w:color="auto"/>
            </w:tcBorders>
            <w:shd w:val="clear" w:color="auto" w:fill="auto"/>
            <w:vAlign w:val="bottom"/>
            <w:hideMark/>
          </w:tcPr>
          <w:p w14:paraId="7F4C298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6,2</w:t>
            </w:r>
          </w:p>
        </w:tc>
        <w:tc>
          <w:tcPr>
            <w:tcW w:w="263" w:type="pct"/>
            <w:tcBorders>
              <w:top w:val="single" w:sz="4" w:space="0" w:color="auto"/>
            </w:tcBorders>
            <w:shd w:val="clear" w:color="auto" w:fill="auto"/>
            <w:vAlign w:val="bottom"/>
            <w:hideMark/>
          </w:tcPr>
          <w:p w14:paraId="27E178B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263" w:type="pct"/>
            <w:tcBorders>
              <w:top w:val="single" w:sz="4" w:space="0" w:color="auto"/>
            </w:tcBorders>
            <w:shd w:val="clear" w:color="auto" w:fill="auto"/>
            <w:vAlign w:val="bottom"/>
            <w:hideMark/>
          </w:tcPr>
          <w:p w14:paraId="0FE083C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309" w:type="pct"/>
            <w:tcBorders>
              <w:top w:val="single" w:sz="4" w:space="0" w:color="auto"/>
            </w:tcBorders>
            <w:shd w:val="clear" w:color="auto" w:fill="auto"/>
            <w:vAlign w:val="bottom"/>
            <w:hideMark/>
          </w:tcPr>
          <w:p w14:paraId="332D5DB0" w14:textId="77777777" w:rsidR="005F400D" w:rsidRPr="002A06C3" w:rsidRDefault="005F400D" w:rsidP="008C4FE7">
            <w:pPr>
              <w:spacing w:after="0"/>
              <w:jc w:val="center"/>
              <w:rPr>
                <w:rFonts w:ascii="Times New Roman" w:hAnsi="Times New Roman"/>
                <w:sz w:val="18"/>
                <w:szCs w:val="18"/>
              </w:rPr>
            </w:pPr>
            <w:r>
              <w:rPr>
                <w:rFonts w:ascii="Times New Roman" w:hAnsi="Times New Roman"/>
                <w:sz w:val="18"/>
                <w:szCs w:val="18"/>
              </w:rPr>
              <w:t>4,3</w:t>
            </w:r>
          </w:p>
        </w:tc>
        <w:tc>
          <w:tcPr>
            <w:tcW w:w="328" w:type="pct"/>
            <w:tcBorders>
              <w:top w:val="single" w:sz="4" w:space="0" w:color="auto"/>
            </w:tcBorders>
            <w:shd w:val="clear" w:color="auto" w:fill="auto"/>
            <w:vAlign w:val="bottom"/>
            <w:hideMark/>
          </w:tcPr>
          <w:p w14:paraId="6E6FF95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3,4</w:t>
            </w:r>
          </w:p>
        </w:tc>
        <w:tc>
          <w:tcPr>
            <w:tcW w:w="328" w:type="pct"/>
            <w:tcBorders>
              <w:top w:val="single" w:sz="4" w:space="0" w:color="auto"/>
            </w:tcBorders>
            <w:shd w:val="clear" w:color="auto" w:fill="auto"/>
            <w:vAlign w:val="bottom"/>
            <w:hideMark/>
          </w:tcPr>
          <w:p w14:paraId="58BD2E42"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4,0</w:t>
            </w:r>
          </w:p>
        </w:tc>
        <w:tc>
          <w:tcPr>
            <w:tcW w:w="336" w:type="pct"/>
            <w:tcBorders>
              <w:top w:val="single" w:sz="4" w:space="0" w:color="auto"/>
            </w:tcBorders>
            <w:shd w:val="clear" w:color="auto" w:fill="auto"/>
            <w:vAlign w:val="bottom"/>
            <w:hideMark/>
          </w:tcPr>
          <w:p w14:paraId="6CA487E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375" w:type="pct"/>
            <w:tcBorders>
              <w:top w:val="single" w:sz="4" w:space="0" w:color="auto"/>
            </w:tcBorders>
            <w:shd w:val="clear" w:color="auto" w:fill="auto"/>
            <w:noWrap/>
            <w:vAlign w:val="bottom"/>
            <w:hideMark/>
          </w:tcPr>
          <w:p w14:paraId="7EFE47EF" w14:textId="77777777" w:rsidR="005F400D" w:rsidRPr="00EA7BDC" w:rsidRDefault="005F400D" w:rsidP="008C4FE7">
            <w:pPr>
              <w:spacing w:after="0"/>
              <w:jc w:val="center"/>
              <w:rPr>
                <w:rFonts w:ascii="Times New Roman" w:hAnsi="Times New Roman"/>
                <w:sz w:val="18"/>
                <w:szCs w:val="18"/>
              </w:rPr>
            </w:pPr>
            <w:r w:rsidRPr="00EA7BDC">
              <w:rPr>
                <w:rFonts w:ascii="Times New Roman" w:eastAsia="Times New Roman" w:hAnsi="Times New Roman"/>
                <w:sz w:val="18"/>
                <w:szCs w:val="18"/>
              </w:rPr>
              <w:t>19,4</w:t>
            </w:r>
          </w:p>
        </w:tc>
        <w:tc>
          <w:tcPr>
            <w:tcW w:w="409" w:type="pct"/>
            <w:tcBorders>
              <w:top w:val="single" w:sz="4" w:space="0" w:color="auto"/>
            </w:tcBorders>
            <w:shd w:val="clear" w:color="auto" w:fill="auto"/>
            <w:vAlign w:val="bottom"/>
            <w:hideMark/>
          </w:tcPr>
          <w:p w14:paraId="7C1AA3D1" w14:textId="77777777" w:rsidR="005F400D" w:rsidRPr="002A06C3" w:rsidRDefault="005F400D" w:rsidP="008C4FE7">
            <w:pPr>
              <w:spacing w:after="0"/>
              <w:rPr>
                <w:rFonts w:ascii="Times New Roman" w:hAnsi="Times New Roman"/>
                <w:color w:val="000000"/>
                <w:sz w:val="18"/>
                <w:szCs w:val="18"/>
              </w:rPr>
            </w:pPr>
            <w:r w:rsidRPr="002A06C3">
              <w:rPr>
                <w:rFonts w:ascii="Times New Roman" w:hAnsi="Times New Roman"/>
                <w:color w:val="000000"/>
                <w:sz w:val="18"/>
                <w:szCs w:val="18"/>
              </w:rPr>
              <w:t xml:space="preserve">510 000 </w:t>
            </w:r>
          </w:p>
        </w:tc>
      </w:tr>
      <w:tr w:rsidR="005F400D" w:rsidRPr="002A06C3" w14:paraId="5172C8F3" w14:textId="77777777" w:rsidTr="00EA7BDC">
        <w:trPr>
          <w:trHeight w:val="255"/>
        </w:trPr>
        <w:tc>
          <w:tcPr>
            <w:tcW w:w="1007" w:type="pct"/>
            <w:shd w:val="clear" w:color="auto" w:fill="auto"/>
            <w:vAlign w:val="bottom"/>
            <w:hideMark/>
          </w:tcPr>
          <w:p w14:paraId="44C11DF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grunnskolenivå</w:t>
            </w:r>
          </w:p>
        </w:tc>
        <w:tc>
          <w:tcPr>
            <w:tcW w:w="328" w:type="pct"/>
            <w:shd w:val="clear" w:color="auto" w:fill="auto"/>
            <w:vAlign w:val="bottom"/>
            <w:hideMark/>
          </w:tcPr>
          <w:p w14:paraId="3FA69E96"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18</w:t>
            </w:r>
          </w:p>
        </w:tc>
        <w:tc>
          <w:tcPr>
            <w:tcW w:w="263" w:type="pct"/>
            <w:shd w:val="clear" w:color="auto" w:fill="auto"/>
            <w:vAlign w:val="bottom"/>
            <w:hideMark/>
          </w:tcPr>
          <w:p w14:paraId="761EB9E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263" w:type="pct"/>
            <w:shd w:val="clear" w:color="auto" w:fill="auto"/>
            <w:vAlign w:val="bottom"/>
            <w:hideMark/>
          </w:tcPr>
          <w:p w14:paraId="13CDE15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263" w:type="pct"/>
            <w:shd w:val="clear" w:color="auto" w:fill="auto"/>
            <w:vAlign w:val="bottom"/>
            <w:hideMark/>
          </w:tcPr>
          <w:p w14:paraId="5C4A1F4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263" w:type="pct"/>
            <w:shd w:val="clear" w:color="auto" w:fill="auto"/>
            <w:vAlign w:val="bottom"/>
            <w:hideMark/>
          </w:tcPr>
          <w:p w14:paraId="229E660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5,8</w:t>
            </w:r>
          </w:p>
        </w:tc>
        <w:tc>
          <w:tcPr>
            <w:tcW w:w="263" w:type="pct"/>
            <w:shd w:val="clear" w:color="auto" w:fill="auto"/>
            <w:vAlign w:val="bottom"/>
            <w:hideMark/>
          </w:tcPr>
          <w:p w14:paraId="31BD94E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263" w:type="pct"/>
            <w:shd w:val="clear" w:color="auto" w:fill="auto"/>
            <w:vAlign w:val="bottom"/>
            <w:hideMark/>
          </w:tcPr>
          <w:p w14:paraId="5105504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309" w:type="pct"/>
            <w:shd w:val="clear" w:color="auto" w:fill="auto"/>
            <w:vAlign w:val="bottom"/>
            <w:hideMark/>
          </w:tcPr>
          <w:p w14:paraId="53E4C99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328" w:type="pct"/>
            <w:shd w:val="clear" w:color="auto" w:fill="auto"/>
            <w:vAlign w:val="bottom"/>
            <w:hideMark/>
          </w:tcPr>
          <w:p w14:paraId="0B17A3D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328" w:type="pct"/>
            <w:shd w:val="clear" w:color="auto" w:fill="auto"/>
            <w:vAlign w:val="bottom"/>
            <w:hideMark/>
          </w:tcPr>
          <w:p w14:paraId="24F54919"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3,8</w:t>
            </w:r>
          </w:p>
        </w:tc>
        <w:tc>
          <w:tcPr>
            <w:tcW w:w="336" w:type="pct"/>
            <w:shd w:val="clear" w:color="auto" w:fill="auto"/>
            <w:vAlign w:val="bottom"/>
            <w:hideMark/>
          </w:tcPr>
          <w:p w14:paraId="7101FD5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375" w:type="pct"/>
            <w:shd w:val="clear" w:color="auto" w:fill="auto"/>
            <w:noWrap/>
            <w:vAlign w:val="bottom"/>
            <w:hideMark/>
          </w:tcPr>
          <w:p w14:paraId="746050A9" w14:textId="77777777" w:rsidR="005F400D" w:rsidRPr="00EA7BDC" w:rsidRDefault="005F400D" w:rsidP="008C4FE7">
            <w:pPr>
              <w:spacing w:after="0"/>
              <w:jc w:val="center"/>
              <w:rPr>
                <w:rFonts w:ascii="Times New Roman" w:hAnsi="Times New Roman"/>
                <w:sz w:val="18"/>
                <w:szCs w:val="18"/>
              </w:rPr>
            </w:pPr>
            <w:r w:rsidRPr="00EA7BDC">
              <w:rPr>
                <w:rFonts w:ascii="Times New Roman" w:eastAsia="Times New Roman" w:hAnsi="Times New Roman"/>
                <w:sz w:val="18"/>
                <w:szCs w:val="18"/>
              </w:rPr>
              <w:t>18,3</w:t>
            </w:r>
          </w:p>
        </w:tc>
        <w:tc>
          <w:tcPr>
            <w:tcW w:w="409" w:type="pct"/>
            <w:shd w:val="clear" w:color="auto" w:fill="auto"/>
            <w:vAlign w:val="bottom"/>
            <w:hideMark/>
          </w:tcPr>
          <w:p w14:paraId="2E0358CF" w14:textId="77777777" w:rsidR="005F400D" w:rsidRPr="002A06C3" w:rsidRDefault="005F400D" w:rsidP="008C4FE7">
            <w:pPr>
              <w:spacing w:after="0"/>
              <w:rPr>
                <w:rFonts w:ascii="Times New Roman" w:hAnsi="Times New Roman"/>
                <w:color w:val="000000"/>
                <w:sz w:val="18"/>
                <w:szCs w:val="18"/>
              </w:rPr>
            </w:pPr>
            <w:r w:rsidRPr="002A06C3">
              <w:rPr>
                <w:rFonts w:ascii="Times New Roman" w:hAnsi="Times New Roman"/>
                <w:color w:val="000000"/>
                <w:sz w:val="18"/>
                <w:szCs w:val="18"/>
              </w:rPr>
              <w:t xml:space="preserve">410 400 </w:t>
            </w:r>
          </w:p>
        </w:tc>
      </w:tr>
      <w:tr w:rsidR="005F400D" w:rsidRPr="002A06C3" w14:paraId="351A0207" w14:textId="77777777" w:rsidTr="00EA7BDC">
        <w:trPr>
          <w:trHeight w:val="510"/>
        </w:trPr>
        <w:tc>
          <w:tcPr>
            <w:tcW w:w="1007" w:type="pct"/>
            <w:shd w:val="clear" w:color="auto" w:fill="auto"/>
            <w:vAlign w:val="bottom"/>
            <w:hideMark/>
          </w:tcPr>
          <w:p w14:paraId="3B94049E"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videregående skolenivå</w:t>
            </w:r>
          </w:p>
        </w:tc>
        <w:tc>
          <w:tcPr>
            <w:tcW w:w="328" w:type="pct"/>
            <w:shd w:val="clear" w:color="auto" w:fill="auto"/>
            <w:vAlign w:val="bottom"/>
            <w:hideMark/>
          </w:tcPr>
          <w:p w14:paraId="38820248"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51</w:t>
            </w:r>
          </w:p>
        </w:tc>
        <w:tc>
          <w:tcPr>
            <w:tcW w:w="263" w:type="pct"/>
            <w:shd w:val="clear" w:color="auto" w:fill="auto"/>
            <w:vAlign w:val="bottom"/>
            <w:hideMark/>
          </w:tcPr>
          <w:p w14:paraId="6E9E58A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3,2</w:t>
            </w:r>
          </w:p>
        </w:tc>
        <w:tc>
          <w:tcPr>
            <w:tcW w:w="263" w:type="pct"/>
            <w:shd w:val="clear" w:color="auto" w:fill="auto"/>
            <w:vAlign w:val="bottom"/>
            <w:hideMark/>
          </w:tcPr>
          <w:p w14:paraId="4BBCBA7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4,5</w:t>
            </w:r>
          </w:p>
        </w:tc>
        <w:tc>
          <w:tcPr>
            <w:tcW w:w="263" w:type="pct"/>
            <w:shd w:val="clear" w:color="auto" w:fill="auto"/>
            <w:vAlign w:val="bottom"/>
            <w:hideMark/>
          </w:tcPr>
          <w:p w14:paraId="224B3EE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7,3</w:t>
            </w:r>
          </w:p>
        </w:tc>
        <w:tc>
          <w:tcPr>
            <w:tcW w:w="263" w:type="pct"/>
            <w:shd w:val="clear" w:color="auto" w:fill="auto"/>
            <w:vAlign w:val="bottom"/>
            <w:hideMark/>
          </w:tcPr>
          <w:p w14:paraId="3BB9EB0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6,2</w:t>
            </w:r>
          </w:p>
        </w:tc>
        <w:tc>
          <w:tcPr>
            <w:tcW w:w="263" w:type="pct"/>
            <w:shd w:val="clear" w:color="auto" w:fill="auto"/>
            <w:vAlign w:val="bottom"/>
            <w:hideMark/>
          </w:tcPr>
          <w:p w14:paraId="667B539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263" w:type="pct"/>
            <w:shd w:val="clear" w:color="auto" w:fill="auto"/>
            <w:vAlign w:val="bottom"/>
            <w:hideMark/>
          </w:tcPr>
          <w:p w14:paraId="2441FFE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309" w:type="pct"/>
            <w:shd w:val="clear" w:color="auto" w:fill="auto"/>
            <w:vAlign w:val="bottom"/>
            <w:hideMark/>
          </w:tcPr>
          <w:p w14:paraId="1303F28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4,5</w:t>
            </w:r>
          </w:p>
        </w:tc>
        <w:tc>
          <w:tcPr>
            <w:tcW w:w="328" w:type="pct"/>
            <w:shd w:val="clear" w:color="auto" w:fill="auto"/>
            <w:vAlign w:val="bottom"/>
            <w:hideMark/>
          </w:tcPr>
          <w:p w14:paraId="197CE1B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328" w:type="pct"/>
            <w:shd w:val="clear" w:color="auto" w:fill="auto"/>
            <w:vAlign w:val="bottom"/>
            <w:hideMark/>
          </w:tcPr>
          <w:p w14:paraId="66EB0E4D"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3,9</w:t>
            </w:r>
          </w:p>
        </w:tc>
        <w:tc>
          <w:tcPr>
            <w:tcW w:w="336" w:type="pct"/>
            <w:shd w:val="clear" w:color="auto" w:fill="auto"/>
            <w:vAlign w:val="bottom"/>
            <w:hideMark/>
          </w:tcPr>
          <w:p w14:paraId="6290995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375" w:type="pct"/>
            <w:shd w:val="clear" w:color="auto" w:fill="auto"/>
            <w:noWrap/>
            <w:vAlign w:val="bottom"/>
            <w:hideMark/>
          </w:tcPr>
          <w:p w14:paraId="60581BC9" w14:textId="77777777" w:rsidR="005F400D" w:rsidRPr="00EA7BDC" w:rsidRDefault="005F400D" w:rsidP="008C4FE7">
            <w:pPr>
              <w:spacing w:after="0"/>
              <w:jc w:val="center"/>
              <w:rPr>
                <w:rFonts w:ascii="Times New Roman" w:hAnsi="Times New Roman"/>
                <w:sz w:val="18"/>
                <w:szCs w:val="18"/>
              </w:rPr>
            </w:pPr>
            <w:r w:rsidRPr="00EA7BDC">
              <w:rPr>
                <w:rFonts w:ascii="Times New Roman" w:eastAsia="Times New Roman" w:hAnsi="Times New Roman"/>
                <w:sz w:val="18"/>
                <w:szCs w:val="18"/>
              </w:rPr>
              <w:t>20,5</w:t>
            </w:r>
          </w:p>
        </w:tc>
        <w:tc>
          <w:tcPr>
            <w:tcW w:w="409" w:type="pct"/>
            <w:shd w:val="clear" w:color="auto" w:fill="auto"/>
            <w:vAlign w:val="bottom"/>
            <w:hideMark/>
          </w:tcPr>
          <w:p w14:paraId="2F2EE528" w14:textId="77777777" w:rsidR="005F400D" w:rsidRPr="002A06C3" w:rsidRDefault="005F400D" w:rsidP="008C4FE7">
            <w:pPr>
              <w:spacing w:after="0"/>
              <w:rPr>
                <w:rFonts w:ascii="Times New Roman" w:hAnsi="Times New Roman"/>
                <w:color w:val="000000"/>
                <w:sz w:val="18"/>
                <w:szCs w:val="18"/>
              </w:rPr>
            </w:pPr>
            <w:r w:rsidRPr="002A06C3">
              <w:rPr>
                <w:rFonts w:ascii="Times New Roman" w:hAnsi="Times New Roman"/>
                <w:color w:val="000000"/>
                <w:sz w:val="18"/>
                <w:szCs w:val="18"/>
              </w:rPr>
              <w:t xml:space="preserve">492 000 </w:t>
            </w:r>
          </w:p>
        </w:tc>
      </w:tr>
      <w:tr w:rsidR="005F400D" w:rsidRPr="002A06C3" w14:paraId="29D3C927" w14:textId="77777777" w:rsidTr="00EA7BDC">
        <w:trPr>
          <w:trHeight w:val="125"/>
        </w:trPr>
        <w:tc>
          <w:tcPr>
            <w:tcW w:w="1007" w:type="pct"/>
            <w:shd w:val="clear" w:color="auto" w:fill="auto"/>
            <w:vAlign w:val="bottom"/>
            <w:hideMark/>
          </w:tcPr>
          <w:p w14:paraId="41CC9FDC"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Av dette:</w:t>
            </w:r>
          </w:p>
        </w:tc>
        <w:tc>
          <w:tcPr>
            <w:tcW w:w="328" w:type="pct"/>
            <w:shd w:val="clear" w:color="auto" w:fill="auto"/>
            <w:vAlign w:val="bottom"/>
            <w:hideMark/>
          </w:tcPr>
          <w:p w14:paraId="621D822D"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117EE96"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E28BC19"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BC4C91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7649362"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87710C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ACCB8EE"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5ADF533B"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4488F74B"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5583D18F" w14:textId="77777777" w:rsidR="005F400D" w:rsidRPr="002A06C3" w:rsidRDefault="005F400D" w:rsidP="008C4FE7">
            <w:pPr>
              <w:spacing w:after="0"/>
              <w:jc w:val="center"/>
              <w:rPr>
                <w:rFonts w:ascii="Times New Roman" w:hAnsi="Times New Roman"/>
                <w:color w:val="000000"/>
                <w:sz w:val="18"/>
                <w:szCs w:val="18"/>
              </w:rPr>
            </w:pPr>
          </w:p>
        </w:tc>
        <w:tc>
          <w:tcPr>
            <w:tcW w:w="336" w:type="pct"/>
            <w:shd w:val="clear" w:color="auto" w:fill="auto"/>
            <w:vAlign w:val="bottom"/>
            <w:hideMark/>
          </w:tcPr>
          <w:p w14:paraId="3D0B4892"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74EBD8E9" w14:textId="77777777" w:rsidR="005F400D" w:rsidRPr="00EA7BDC"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16ED549D" w14:textId="77777777" w:rsidR="005F400D" w:rsidRPr="002A06C3" w:rsidRDefault="005F400D" w:rsidP="008C4FE7">
            <w:pPr>
              <w:spacing w:after="0"/>
              <w:rPr>
                <w:rFonts w:ascii="Times New Roman" w:hAnsi="Times New Roman"/>
                <w:color w:val="000000"/>
                <w:sz w:val="18"/>
                <w:szCs w:val="18"/>
              </w:rPr>
            </w:pPr>
          </w:p>
        </w:tc>
      </w:tr>
      <w:tr w:rsidR="005F400D" w:rsidRPr="002A06C3" w14:paraId="27FFAB83" w14:textId="77777777" w:rsidTr="00EA7BDC">
        <w:trPr>
          <w:trHeight w:val="213"/>
        </w:trPr>
        <w:tc>
          <w:tcPr>
            <w:tcW w:w="1007" w:type="pct"/>
            <w:shd w:val="clear" w:color="auto" w:fill="auto"/>
            <w:vAlign w:val="bottom"/>
            <w:hideMark/>
          </w:tcPr>
          <w:p w14:paraId="3CD8A6E6" w14:textId="77777777" w:rsidR="005F400D" w:rsidRPr="002A06C3" w:rsidRDefault="005F400D" w:rsidP="008C4FE7">
            <w:pPr>
              <w:spacing w:after="0"/>
              <w:ind w:left="284"/>
              <w:rPr>
                <w:rFonts w:ascii="Times New Roman" w:hAnsi="Times New Roman"/>
                <w:sz w:val="18"/>
                <w:szCs w:val="18"/>
              </w:rPr>
            </w:pPr>
            <w:r w:rsidRPr="002A06C3">
              <w:rPr>
                <w:rFonts w:ascii="Times New Roman" w:hAnsi="Times New Roman"/>
                <w:sz w:val="18"/>
                <w:szCs w:val="18"/>
              </w:rPr>
              <w:t>Fagutdanning</w:t>
            </w:r>
            <w:r w:rsidRPr="002A06C3">
              <w:rPr>
                <w:rFonts w:ascii="Times New Roman" w:hAnsi="Times New Roman"/>
                <w:sz w:val="18"/>
                <w:szCs w:val="18"/>
                <w:vertAlign w:val="superscript"/>
              </w:rPr>
              <w:t>6</w:t>
            </w:r>
          </w:p>
        </w:tc>
        <w:tc>
          <w:tcPr>
            <w:tcW w:w="328" w:type="pct"/>
            <w:shd w:val="clear" w:color="auto" w:fill="auto"/>
            <w:vAlign w:val="bottom"/>
            <w:hideMark/>
          </w:tcPr>
          <w:p w14:paraId="5E879534"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31</w:t>
            </w:r>
          </w:p>
        </w:tc>
        <w:tc>
          <w:tcPr>
            <w:tcW w:w="263" w:type="pct"/>
            <w:shd w:val="clear" w:color="auto" w:fill="auto"/>
            <w:vAlign w:val="bottom"/>
            <w:hideMark/>
          </w:tcPr>
          <w:p w14:paraId="1273C8F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3,2</w:t>
            </w:r>
          </w:p>
        </w:tc>
        <w:tc>
          <w:tcPr>
            <w:tcW w:w="263" w:type="pct"/>
            <w:shd w:val="clear" w:color="auto" w:fill="auto"/>
            <w:vAlign w:val="bottom"/>
            <w:hideMark/>
          </w:tcPr>
          <w:p w14:paraId="7EF1030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4,7</w:t>
            </w:r>
          </w:p>
        </w:tc>
        <w:tc>
          <w:tcPr>
            <w:tcW w:w="263" w:type="pct"/>
            <w:shd w:val="clear" w:color="auto" w:fill="auto"/>
            <w:vAlign w:val="bottom"/>
            <w:hideMark/>
          </w:tcPr>
          <w:p w14:paraId="7F0EA4F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8,0</w:t>
            </w:r>
          </w:p>
        </w:tc>
        <w:tc>
          <w:tcPr>
            <w:tcW w:w="263" w:type="pct"/>
            <w:shd w:val="clear" w:color="auto" w:fill="auto"/>
            <w:vAlign w:val="bottom"/>
            <w:hideMark/>
          </w:tcPr>
          <w:p w14:paraId="6FDCA8F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6,4</w:t>
            </w:r>
          </w:p>
        </w:tc>
        <w:tc>
          <w:tcPr>
            <w:tcW w:w="263" w:type="pct"/>
            <w:shd w:val="clear" w:color="auto" w:fill="auto"/>
            <w:vAlign w:val="bottom"/>
            <w:hideMark/>
          </w:tcPr>
          <w:p w14:paraId="7F4B264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263" w:type="pct"/>
            <w:shd w:val="clear" w:color="auto" w:fill="auto"/>
            <w:vAlign w:val="bottom"/>
            <w:hideMark/>
          </w:tcPr>
          <w:p w14:paraId="0109740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3,2</w:t>
            </w:r>
          </w:p>
        </w:tc>
        <w:tc>
          <w:tcPr>
            <w:tcW w:w="309" w:type="pct"/>
            <w:shd w:val="clear" w:color="auto" w:fill="auto"/>
            <w:vAlign w:val="bottom"/>
            <w:hideMark/>
          </w:tcPr>
          <w:p w14:paraId="62B5D7FC" w14:textId="77777777" w:rsidR="005F400D" w:rsidRPr="002A06C3" w:rsidRDefault="005F400D" w:rsidP="008C4FE7">
            <w:pPr>
              <w:spacing w:after="0"/>
              <w:jc w:val="center"/>
              <w:rPr>
                <w:rFonts w:ascii="Times New Roman" w:hAnsi="Times New Roman"/>
                <w:sz w:val="18"/>
                <w:szCs w:val="18"/>
              </w:rPr>
            </w:pPr>
            <w:r>
              <w:rPr>
                <w:rFonts w:ascii="Times New Roman" w:hAnsi="Times New Roman"/>
                <w:sz w:val="18"/>
                <w:szCs w:val="18"/>
              </w:rPr>
              <w:t>4,7</w:t>
            </w:r>
          </w:p>
        </w:tc>
        <w:tc>
          <w:tcPr>
            <w:tcW w:w="328" w:type="pct"/>
            <w:shd w:val="clear" w:color="auto" w:fill="auto"/>
            <w:vAlign w:val="bottom"/>
            <w:hideMark/>
          </w:tcPr>
          <w:p w14:paraId="752BC06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4,3</w:t>
            </w:r>
          </w:p>
        </w:tc>
        <w:tc>
          <w:tcPr>
            <w:tcW w:w="328" w:type="pct"/>
            <w:shd w:val="clear" w:color="auto" w:fill="auto"/>
            <w:vAlign w:val="bottom"/>
            <w:hideMark/>
          </w:tcPr>
          <w:p w14:paraId="2A811D44"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3,6</w:t>
            </w:r>
          </w:p>
        </w:tc>
        <w:tc>
          <w:tcPr>
            <w:tcW w:w="336" w:type="pct"/>
            <w:shd w:val="clear" w:color="auto" w:fill="auto"/>
            <w:vAlign w:val="bottom"/>
            <w:hideMark/>
          </w:tcPr>
          <w:p w14:paraId="364C784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3,2</w:t>
            </w:r>
          </w:p>
        </w:tc>
        <w:tc>
          <w:tcPr>
            <w:tcW w:w="375" w:type="pct"/>
            <w:shd w:val="clear" w:color="auto" w:fill="auto"/>
            <w:noWrap/>
            <w:vAlign w:val="bottom"/>
            <w:hideMark/>
          </w:tcPr>
          <w:p w14:paraId="2EAEBC3E" w14:textId="77777777" w:rsidR="005F400D" w:rsidRPr="00EA7BDC" w:rsidRDefault="005F400D" w:rsidP="008C4FE7">
            <w:pPr>
              <w:spacing w:after="0"/>
              <w:jc w:val="center"/>
              <w:rPr>
                <w:rFonts w:ascii="Times New Roman" w:hAnsi="Times New Roman"/>
                <w:sz w:val="18"/>
                <w:szCs w:val="18"/>
              </w:rPr>
            </w:pPr>
            <w:r w:rsidRPr="00EA7BDC">
              <w:rPr>
                <w:rFonts w:ascii="Times New Roman" w:eastAsia="Times New Roman" w:hAnsi="Times New Roman"/>
                <w:sz w:val="18"/>
                <w:szCs w:val="18"/>
              </w:rPr>
              <w:t>20,5</w:t>
            </w:r>
          </w:p>
        </w:tc>
        <w:tc>
          <w:tcPr>
            <w:tcW w:w="409" w:type="pct"/>
            <w:shd w:val="clear" w:color="auto" w:fill="auto"/>
            <w:vAlign w:val="bottom"/>
            <w:hideMark/>
          </w:tcPr>
          <w:p w14:paraId="007873D0" w14:textId="77777777" w:rsidR="005F400D" w:rsidRPr="002A06C3" w:rsidRDefault="005F400D" w:rsidP="008C4FE7">
            <w:pPr>
              <w:spacing w:after="0"/>
              <w:rPr>
                <w:rFonts w:ascii="Times New Roman" w:hAnsi="Times New Roman"/>
                <w:color w:val="000000"/>
                <w:sz w:val="18"/>
                <w:szCs w:val="18"/>
              </w:rPr>
            </w:pPr>
            <w:r w:rsidRPr="002A06C3">
              <w:rPr>
                <w:rFonts w:ascii="Times New Roman" w:hAnsi="Times New Roman"/>
                <w:color w:val="000000"/>
                <w:sz w:val="18"/>
                <w:szCs w:val="18"/>
              </w:rPr>
              <w:t xml:space="preserve">499 200 </w:t>
            </w:r>
          </w:p>
        </w:tc>
      </w:tr>
      <w:tr w:rsidR="005F400D" w:rsidRPr="002A06C3" w14:paraId="5FBBCA51" w14:textId="77777777" w:rsidTr="00EA7BDC">
        <w:trPr>
          <w:trHeight w:val="594"/>
        </w:trPr>
        <w:tc>
          <w:tcPr>
            <w:tcW w:w="1007" w:type="pct"/>
            <w:shd w:val="clear" w:color="auto" w:fill="auto"/>
            <w:vAlign w:val="bottom"/>
            <w:hideMark/>
          </w:tcPr>
          <w:p w14:paraId="166375DE"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til og med 4 år</w:t>
            </w:r>
          </w:p>
        </w:tc>
        <w:tc>
          <w:tcPr>
            <w:tcW w:w="328" w:type="pct"/>
            <w:shd w:val="clear" w:color="auto" w:fill="auto"/>
            <w:vAlign w:val="bottom"/>
            <w:hideMark/>
          </w:tcPr>
          <w:p w14:paraId="00AD8A40"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16</w:t>
            </w:r>
          </w:p>
        </w:tc>
        <w:tc>
          <w:tcPr>
            <w:tcW w:w="263" w:type="pct"/>
            <w:shd w:val="clear" w:color="auto" w:fill="auto"/>
            <w:vAlign w:val="bottom"/>
            <w:hideMark/>
          </w:tcPr>
          <w:p w14:paraId="1C9D64C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263" w:type="pct"/>
            <w:shd w:val="clear" w:color="auto" w:fill="auto"/>
            <w:vAlign w:val="bottom"/>
            <w:hideMark/>
          </w:tcPr>
          <w:p w14:paraId="5D2ECB0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4,5</w:t>
            </w:r>
          </w:p>
        </w:tc>
        <w:tc>
          <w:tcPr>
            <w:tcW w:w="263" w:type="pct"/>
            <w:shd w:val="clear" w:color="auto" w:fill="auto"/>
            <w:vAlign w:val="bottom"/>
            <w:hideMark/>
          </w:tcPr>
          <w:p w14:paraId="672F3B0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6,4</w:t>
            </w:r>
          </w:p>
        </w:tc>
        <w:tc>
          <w:tcPr>
            <w:tcW w:w="263" w:type="pct"/>
            <w:shd w:val="clear" w:color="auto" w:fill="auto"/>
            <w:vAlign w:val="bottom"/>
            <w:hideMark/>
          </w:tcPr>
          <w:p w14:paraId="19F989C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6,0</w:t>
            </w:r>
          </w:p>
        </w:tc>
        <w:tc>
          <w:tcPr>
            <w:tcW w:w="263" w:type="pct"/>
            <w:shd w:val="clear" w:color="auto" w:fill="auto"/>
            <w:vAlign w:val="bottom"/>
            <w:hideMark/>
          </w:tcPr>
          <w:p w14:paraId="1527CDF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4,0</w:t>
            </w:r>
          </w:p>
        </w:tc>
        <w:tc>
          <w:tcPr>
            <w:tcW w:w="263" w:type="pct"/>
            <w:shd w:val="clear" w:color="auto" w:fill="auto"/>
            <w:vAlign w:val="bottom"/>
            <w:hideMark/>
          </w:tcPr>
          <w:p w14:paraId="331576C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3,2</w:t>
            </w:r>
          </w:p>
        </w:tc>
        <w:tc>
          <w:tcPr>
            <w:tcW w:w="309" w:type="pct"/>
            <w:shd w:val="clear" w:color="auto" w:fill="auto"/>
            <w:vAlign w:val="bottom"/>
            <w:hideMark/>
          </w:tcPr>
          <w:p w14:paraId="597AF919" w14:textId="77777777" w:rsidR="005F400D" w:rsidRPr="002A06C3" w:rsidRDefault="005F400D" w:rsidP="008C4FE7">
            <w:pPr>
              <w:spacing w:after="0"/>
              <w:jc w:val="center"/>
              <w:rPr>
                <w:rFonts w:ascii="Times New Roman" w:hAnsi="Times New Roman"/>
                <w:sz w:val="18"/>
                <w:szCs w:val="18"/>
              </w:rPr>
            </w:pPr>
            <w:r>
              <w:rPr>
                <w:rFonts w:ascii="Times New Roman" w:hAnsi="Times New Roman"/>
                <w:sz w:val="18"/>
                <w:szCs w:val="18"/>
              </w:rPr>
              <w:t>3,5</w:t>
            </w:r>
          </w:p>
        </w:tc>
        <w:tc>
          <w:tcPr>
            <w:tcW w:w="328" w:type="pct"/>
            <w:shd w:val="clear" w:color="auto" w:fill="auto"/>
            <w:vAlign w:val="bottom"/>
            <w:hideMark/>
          </w:tcPr>
          <w:p w14:paraId="5DB32C7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328" w:type="pct"/>
            <w:shd w:val="clear" w:color="auto" w:fill="auto"/>
            <w:vAlign w:val="bottom"/>
            <w:hideMark/>
          </w:tcPr>
          <w:p w14:paraId="3DBEB3A4"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3,0</w:t>
            </w:r>
          </w:p>
        </w:tc>
        <w:tc>
          <w:tcPr>
            <w:tcW w:w="336" w:type="pct"/>
            <w:shd w:val="clear" w:color="auto" w:fill="auto"/>
            <w:vAlign w:val="bottom"/>
            <w:hideMark/>
          </w:tcPr>
          <w:p w14:paraId="57FE7A8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2,3</w:t>
            </w:r>
          </w:p>
        </w:tc>
        <w:tc>
          <w:tcPr>
            <w:tcW w:w="375" w:type="pct"/>
            <w:shd w:val="clear" w:color="auto" w:fill="auto"/>
            <w:noWrap/>
            <w:vAlign w:val="bottom"/>
            <w:hideMark/>
          </w:tcPr>
          <w:p w14:paraId="58B0B3F0" w14:textId="77777777" w:rsidR="005F400D" w:rsidRPr="00EA7BDC" w:rsidRDefault="005F400D" w:rsidP="008C4FE7">
            <w:pPr>
              <w:spacing w:after="0"/>
              <w:jc w:val="center"/>
              <w:rPr>
                <w:rFonts w:ascii="Times New Roman" w:hAnsi="Times New Roman"/>
                <w:sz w:val="18"/>
                <w:szCs w:val="18"/>
              </w:rPr>
            </w:pPr>
            <w:r w:rsidRPr="00EA7BDC">
              <w:rPr>
                <w:rFonts w:ascii="Times New Roman" w:eastAsia="Times New Roman" w:hAnsi="Times New Roman"/>
                <w:sz w:val="18"/>
                <w:szCs w:val="18"/>
              </w:rPr>
              <w:t>16,6</w:t>
            </w:r>
          </w:p>
        </w:tc>
        <w:tc>
          <w:tcPr>
            <w:tcW w:w="409" w:type="pct"/>
            <w:shd w:val="clear" w:color="auto" w:fill="auto"/>
            <w:vAlign w:val="bottom"/>
            <w:hideMark/>
          </w:tcPr>
          <w:p w14:paraId="0DF3DEEC" w14:textId="77777777" w:rsidR="005F400D" w:rsidRPr="002A06C3" w:rsidRDefault="005F400D" w:rsidP="008C4FE7">
            <w:pPr>
              <w:spacing w:after="0"/>
              <w:rPr>
                <w:rFonts w:ascii="Times New Roman" w:hAnsi="Times New Roman"/>
                <w:color w:val="000000"/>
                <w:sz w:val="18"/>
                <w:szCs w:val="18"/>
              </w:rPr>
            </w:pPr>
            <w:r w:rsidRPr="002A06C3">
              <w:rPr>
                <w:rFonts w:ascii="Times New Roman" w:hAnsi="Times New Roman"/>
                <w:color w:val="000000"/>
                <w:sz w:val="18"/>
                <w:szCs w:val="18"/>
              </w:rPr>
              <w:t xml:space="preserve">639 600 </w:t>
            </w:r>
          </w:p>
        </w:tc>
      </w:tr>
      <w:tr w:rsidR="005F400D" w:rsidRPr="002A06C3" w14:paraId="771E01CE" w14:textId="77777777" w:rsidTr="00EA7BDC">
        <w:trPr>
          <w:trHeight w:val="510"/>
        </w:trPr>
        <w:tc>
          <w:tcPr>
            <w:tcW w:w="1007" w:type="pct"/>
            <w:shd w:val="clear" w:color="auto" w:fill="auto"/>
            <w:vAlign w:val="bottom"/>
            <w:hideMark/>
          </w:tcPr>
          <w:p w14:paraId="424D6350"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lengre enn 4 år</w:t>
            </w:r>
          </w:p>
        </w:tc>
        <w:tc>
          <w:tcPr>
            <w:tcW w:w="328" w:type="pct"/>
            <w:shd w:val="clear" w:color="auto" w:fill="auto"/>
            <w:vAlign w:val="bottom"/>
            <w:hideMark/>
          </w:tcPr>
          <w:p w14:paraId="2DE7BE65"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8</w:t>
            </w:r>
          </w:p>
        </w:tc>
        <w:tc>
          <w:tcPr>
            <w:tcW w:w="263" w:type="pct"/>
            <w:shd w:val="clear" w:color="auto" w:fill="auto"/>
            <w:vAlign w:val="bottom"/>
            <w:hideMark/>
          </w:tcPr>
          <w:p w14:paraId="2E7FE35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3,3</w:t>
            </w:r>
          </w:p>
        </w:tc>
        <w:tc>
          <w:tcPr>
            <w:tcW w:w="263" w:type="pct"/>
            <w:shd w:val="clear" w:color="auto" w:fill="auto"/>
            <w:vAlign w:val="bottom"/>
            <w:hideMark/>
          </w:tcPr>
          <w:p w14:paraId="7B4222E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5,8</w:t>
            </w:r>
          </w:p>
        </w:tc>
        <w:tc>
          <w:tcPr>
            <w:tcW w:w="263" w:type="pct"/>
            <w:shd w:val="clear" w:color="auto" w:fill="auto"/>
            <w:vAlign w:val="bottom"/>
            <w:hideMark/>
          </w:tcPr>
          <w:p w14:paraId="3340DF2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6,1</w:t>
            </w:r>
          </w:p>
        </w:tc>
        <w:tc>
          <w:tcPr>
            <w:tcW w:w="263" w:type="pct"/>
            <w:shd w:val="clear" w:color="auto" w:fill="auto"/>
            <w:vAlign w:val="bottom"/>
            <w:hideMark/>
          </w:tcPr>
          <w:p w14:paraId="5ABD33F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6,6</w:t>
            </w:r>
          </w:p>
        </w:tc>
        <w:tc>
          <w:tcPr>
            <w:tcW w:w="263" w:type="pct"/>
            <w:shd w:val="clear" w:color="auto" w:fill="auto"/>
            <w:vAlign w:val="bottom"/>
            <w:hideMark/>
          </w:tcPr>
          <w:p w14:paraId="277FFE1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2,2</w:t>
            </w:r>
          </w:p>
        </w:tc>
        <w:tc>
          <w:tcPr>
            <w:tcW w:w="263" w:type="pct"/>
            <w:shd w:val="clear" w:color="auto" w:fill="auto"/>
            <w:vAlign w:val="bottom"/>
            <w:hideMark/>
          </w:tcPr>
          <w:p w14:paraId="7443DDB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309" w:type="pct"/>
            <w:shd w:val="clear" w:color="auto" w:fill="auto"/>
            <w:vAlign w:val="bottom"/>
            <w:hideMark/>
          </w:tcPr>
          <w:p w14:paraId="6A9DD779" w14:textId="77777777" w:rsidR="005F400D" w:rsidRPr="002A06C3" w:rsidRDefault="005F400D" w:rsidP="008C4FE7">
            <w:pPr>
              <w:spacing w:after="0"/>
              <w:jc w:val="center"/>
              <w:rPr>
                <w:rFonts w:ascii="Times New Roman" w:hAnsi="Times New Roman"/>
                <w:sz w:val="18"/>
                <w:szCs w:val="18"/>
              </w:rPr>
            </w:pPr>
            <w:r>
              <w:rPr>
                <w:rFonts w:ascii="Times New Roman" w:hAnsi="Times New Roman"/>
                <w:sz w:val="18"/>
                <w:szCs w:val="18"/>
              </w:rPr>
              <w:t>2,9</w:t>
            </w:r>
          </w:p>
        </w:tc>
        <w:tc>
          <w:tcPr>
            <w:tcW w:w="328" w:type="pct"/>
            <w:shd w:val="clear" w:color="auto" w:fill="auto"/>
            <w:vAlign w:val="bottom"/>
            <w:hideMark/>
          </w:tcPr>
          <w:p w14:paraId="4460321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328" w:type="pct"/>
            <w:shd w:val="clear" w:color="auto" w:fill="auto"/>
            <w:vAlign w:val="bottom"/>
            <w:hideMark/>
          </w:tcPr>
          <w:p w14:paraId="396DB2B5"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2,7</w:t>
            </w:r>
          </w:p>
        </w:tc>
        <w:tc>
          <w:tcPr>
            <w:tcW w:w="336" w:type="pct"/>
            <w:shd w:val="clear" w:color="auto" w:fill="auto"/>
            <w:vAlign w:val="bottom"/>
            <w:hideMark/>
          </w:tcPr>
          <w:p w14:paraId="406D9F3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0,9</w:t>
            </w:r>
          </w:p>
        </w:tc>
        <w:tc>
          <w:tcPr>
            <w:tcW w:w="375" w:type="pct"/>
            <w:shd w:val="clear" w:color="auto" w:fill="auto"/>
            <w:noWrap/>
            <w:vAlign w:val="bottom"/>
            <w:hideMark/>
          </w:tcPr>
          <w:p w14:paraId="48831764" w14:textId="77777777" w:rsidR="005F400D" w:rsidRPr="00EA7BDC" w:rsidRDefault="005F400D" w:rsidP="008C4FE7">
            <w:pPr>
              <w:spacing w:after="0"/>
              <w:jc w:val="center"/>
              <w:rPr>
                <w:rFonts w:ascii="Times New Roman" w:hAnsi="Times New Roman"/>
                <w:sz w:val="18"/>
                <w:szCs w:val="18"/>
              </w:rPr>
            </w:pPr>
            <w:r w:rsidRPr="00EA7BDC">
              <w:rPr>
                <w:rFonts w:ascii="Times New Roman" w:eastAsia="Times New Roman" w:hAnsi="Times New Roman"/>
                <w:sz w:val="18"/>
                <w:szCs w:val="18"/>
              </w:rPr>
              <w:t>15,3</w:t>
            </w:r>
          </w:p>
        </w:tc>
        <w:tc>
          <w:tcPr>
            <w:tcW w:w="409" w:type="pct"/>
            <w:shd w:val="clear" w:color="auto" w:fill="auto"/>
            <w:vAlign w:val="bottom"/>
            <w:hideMark/>
          </w:tcPr>
          <w:p w14:paraId="6825398F" w14:textId="77777777" w:rsidR="005F400D" w:rsidRPr="002A06C3" w:rsidRDefault="005F400D" w:rsidP="008C4FE7">
            <w:pPr>
              <w:spacing w:after="0"/>
              <w:rPr>
                <w:rFonts w:ascii="Times New Roman" w:hAnsi="Times New Roman"/>
                <w:color w:val="000000"/>
                <w:sz w:val="18"/>
                <w:szCs w:val="18"/>
              </w:rPr>
            </w:pPr>
            <w:r w:rsidRPr="002A06C3">
              <w:rPr>
                <w:rFonts w:ascii="Times New Roman" w:hAnsi="Times New Roman"/>
                <w:color w:val="000000"/>
                <w:sz w:val="18"/>
                <w:szCs w:val="18"/>
              </w:rPr>
              <w:t xml:space="preserve">774 000 </w:t>
            </w:r>
          </w:p>
        </w:tc>
      </w:tr>
      <w:tr w:rsidR="005F400D" w:rsidRPr="002A06C3" w14:paraId="1E5A9A58" w14:textId="77777777" w:rsidTr="00EA7BDC">
        <w:trPr>
          <w:trHeight w:val="255"/>
        </w:trPr>
        <w:tc>
          <w:tcPr>
            <w:tcW w:w="1007" w:type="pct"/>
            <w:shd w:val="clear" w:color="auto" w:fill="auto"/>
            <w:vAlign w:val="bottom"/>
            <w:hideMark/>
          </w:tcPr>
          <w:p w14:paraId="55383A64"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Uoppgitt eller ingen fullført utdanning</w:t>
            </w:r>
          </w:p>
        </w:tc>
        <w:tc>
          <w:tcPr>
            <w:tcW w:w="328" w:type="pct"/>
            <w:shd w:val="clear" w:color="auto" w:fill="auto"/>
            <w:vAlign w:val="bottom"/>
            <w:hideMark/>
          </w:tcPr>
          <w:p w14:paraId="6924E039"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7</w:t>
            </w:r>
          </w:p>
        </w:tc>
        <w:tc>
          <w:tcPr>
            <w:tcW w:w="263" w:type="pct"/>
            <w:shd w:val="clear" w:color="auto" w:fill="auto"/>
            <w:vAlign w:val="bottom"/>
            <w:hideMark/>
          </w:tcPr>
          <w:p w14:paraId="46BAD900"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923BD3B"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B1F26F3"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525F9B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CE8C4BC"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8D01412"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419EE416"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7A0E8E7"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43138F47"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606C7AD2"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3CB0B6F0"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6266D733" w14:textId="77777777" w:rsidR="005F400D" w:rsidRPr="002A06C3" w:rsidRDefault="005F400D" w:rsidP="008C4FE7">
            <w:pPr>
              <w:spacing w:after="0"/>
              <w:jc w:val="center"/>
              <w:rPr>
                <w:rFonts w:ascii="Times New Roman" w:hAnsi="Times New Roman"/>
                <w:sz w:val="18"/>
                <w:szCs w:val="18"/>
              </w:rPr>
            </w:pPr>
          </w:p>
        </w:tc>
      </w:tr>
      <w:tr w:rsidR="005F400D" w:rsidRPr="002A06C3" w14:paraId="74C6CE70" w14:textId="77777777" w:rsidTr="00EA7BDC">
        <w:trPr>
          <w:trHeight w:val="207"/>
        </w:trPr>
        <w:tc>
          <w:tcPr>
            <w:tcW w:w="1007" w:type="pct"/>
            <w:shd w:val="clear" w:color="auto" w:fill="auto"/>
            <w:vAlign w:val="bottom"/>
            <w:hideMark/>
          </w:tcPr>
          <w:p w14:paraId="14DFDB24" w14:textId="77777777" w:rsidR="005F400D" w:rsidRPr="002A06C3" w:rsidRDefault="005F400D" w:rsidP="008C4FE7">
            <w:pPr>
              <w:spacing w:after="0"/>
              <w:rPr>
                <w:rFonts w:ascii="Times New Roman" w:hAnsi="Times New Roman"/>
                <w:sz w:val="18"/>
                <w:szCs w:val="18"/>
              </w:rPr>
            </w:pPr>
          </w:p>
        </w:tc>
        <w:tc>
          <w:tcPr>
            <w:tcW w:w="328" w:type="pct"/>
            <w:shd w:val="clear" w:color="auto" w:fill="auto"/>
            <w:vAlign w:val="bottom"/>
            <w:hideMark/>
          </w:tcPr>
          <w:p w14:paraId="6AE6BE41"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11DBD13"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CEB464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8F53EA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3728E54"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CCADC52"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D730B48"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7184ACA9"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9E0B1A1"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C0B2610"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22BFEC9C"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37E4EA60"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64002636" w14:textId="77777777" w:rsidR="005F400D" w:rsidRPr="002A06C3" w:rsidRDefault="005F400D" w:rsidP="008C4FE7">
            <w:pPr>
              <w:spacing w:after="0"/>
              <w:jc w:val="center"/>
              <w:rPr>
                <w:rFonts w:ascii="Times New Roman" w:hAnsi="Times New Roman"/>
                <w:sz w:val="18"/>
                <w:szCs w:val="18"/>
              </w:rPr>
            </w:pPr>
          </w:p>
        </w:tc>
      </w:tr>
      <w:tr w:rsidR="005F400D" w:rsidRPr="002A06C3" w14:paraId="0F35DF40" w14:textId="77777777" w:rsidTr="00EA7BDC">
        <w:trPr>
          <w:trHeight w:val="255"/>
        </w:trPr>
        <w:tc>
          <w:tcPr>
            <w:tcW w:w="1007" w:type="pct"/>
            <w:shd w:val="clear" w:color="auto" w:fill="auto"/>
            <w:vAlign w:val="bottom"/>
            <w:hideMark/>
          </w:tcPr>
          <w:p w14:paraId="09EAA350" w14:textId="77777777" w:rsidR="005F400D" w:rsidRPr="002A06C3" w:rsidRDefault="005F400D" w:rsidP="008C4FE7">
            <w:pPr>
              <w:spacing w:after="0"/>
              <w:rPr>
                <w:rFonts w:ascii="Times New Roman" w:hAnsi="Times New Roman"/>
                <w:b/>
                <w:bCs/>
                <w:sz w:val="18"/>
                <w:szCs w:val="18"/>
                <w:vertAlign w:val="superscript"/>
              </w:rPr>
            </w:pPr>
            <w:r w:rsidRPr="002A06C3">
              <w:rPr>
                <w:rFonts w:ascii="Times New Roman" w:hAnsi="Times New Roman"/>
                <w:b/>
                <w:bCs/>
                <w:sz w:val="18"/>
                <w:szCs w:val="18"/>
              </w:rPr>
              <w:t>Bygge- og anleggsvirksomhet i alt</w:t>
            </w:r>
            <w:r w:rsidRPr="002A06C3">
              <w:rPr>
                <w:rFonts w:ascii="Times New Roman" w:hAnsi="Times New Roman"/>
                <w:b/>
                <w:bCs/>
                <w:sz w:val="18"/>
                <w:szCs w:val="18"/>
                <w:vertAlign w:val="superscript"/>
              </w:rPr>
              <w:t>8</w:t>
            </w:r>
          </w:p>
        </w:tc>
        <w:tc>
          <w:tcPr>
            <w:tcW w:w="328" w:type="pct"/>
            <w:shd w:val="clear" w:color="auto" w:fill="auto"/>
            <w:vAlign w:val="bottom"/>
            <w:hideMark/>
          </w:tcPr>
          <w:p w14:paraId="0987FB06"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100</w:t>
            </w:r>
          </w:p>
        </w:tc>
        <w:tc>
          <w:tcPr>
            <w:tcW w:w="263" w:type="pct"/>
            <w:shd w:val="clear" w:color="auto" w:fill="auto"/>
            <w:vAlign w:val="bottom"/>
            <w:hideMark/>
          </w:tcPr>
          <w:p w14:paraId="40B5C92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3,4</w:t>
            </w:r>
          </w:p>
        </w:tc>
        <w:tc>
          <w:tcPr>
            <w:tcW w:w="263" w:type="pct"/>
            <w:shd w:val="clear" w:color="auto" w:fill="auto"/>
            <w:vAlign w:val="bottom"/>
            <w:hideMark/>
          </w:tcPr>
          <w:p w14:paraId="18F3C5C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263" w:type="pct"/>
            <w:shd w:val="clear" w:color="auto" w:fill="auto"/>
            <w:vAlign w:val="bottom"/>
            <w:hideMark/>
          </w:tcPr>
          <w:p w14:paraId="5AF8060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w:t>
            </w:r>
            <w:r w:rsidR="003D7F7A">
              <w:rPr>
                <w:rFonts w:ascii="Times New Roman" w:hAnsi="Times New Roman"/>
                <w:sz w:val="18"/>
                <w:szCs w:val="18"/>
              </w:rPr>
              <w:t>,0</w:t>
            </w:r>
          </w:p>
        </w:tc>
        <w:tc>
          <w:tcPr>
            <w:tcW w:w="263" w:type="pct"/>
            <w:shd w:val="clear" w:color="auto" w:fill="auto"/>
            <w:vAlign w:val="bottom"/>
            <w:hideMark/>
          </w:tcPr>
          <w:p w14:paraId="780B984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5,9</w:t>
            </w:r>
          </w:p>
        </w:tc>
        <w:tc>
          <w:tcPr>
            <w:tcW w:w="263" w:type="pct"/>
            <w:shd w:val="clear" w:color="auto" w:fill="auto"/>
            <w:vAlign w:val="bottom"/>
            <w:hideMark/>
          </w:tcPr>
          <w:p w14:paraId="6FDE9B6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263" w:type="pct"/>
            <w:shd w:val="clear" w:color="auto" w:fill="auto"/>
            <w:vAlign w:val="bottom"/>
            <w:hideMark/>
          </w:tcPr>
          <w:p w14:paraId="49FDED0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309" w:type="pct"/>
            <w:shd w:val="clear" w:color="auto" w:fill="auto"/>
            <w:vAlign w:val="bottom"/>
            <w:hideMark/>
          </w:tcPr>
          <w:p w14:paraId="2D7B218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328" w:type="pct"/>
            <w:shd w:val="clear" w:color="auto" w:fill="auto"/>
            <w:vAlign w:val="bottom"/>
            <w:hideMark/>
          </w:tcPr>
          <w:p w14:paraId="67C2E94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328" w:type="pct"/>
            <w:shd w:val="clear" w:color="auto" w:fill="auto"/>
            <w:vAlign w:val="bottom"/>
            <w:hideMark/>
          </w:tcPr>
          <w:p w14:paraId="3B7D08F6"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3,2</w:t>
            </w:r>
          </w:p>
        </w:tc>
        <w:tc>
          <w:tcPr>
            <w:tcW w:w="336" w:type="pct"/>
            <w:shd w:val="clear" w:color="auto" w:fill="auto"/>
            <w:vAlign w:val="bottom"/>
            <w:hideMark/>
          </w:tcPr>
          <w:p w14:paraId="46CDA4F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375" w:type="pct"/>
            <w:shd w:val="clear" w:color="auto" w:fill="auto"/>
            <w:noWrap/>
            <w:vAlign w:val="bottom"/>
            <w:hideMark/>
          </w:tcPr>
          <w:p w14:paraId="5A3EDBF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15,7</w:t>
            </w:r>
          </w:p>
        </w:tc>
        <w:tc>
          <w:tcPr>
            <w:tcW w:w="409" w:type="pct"/>
            <w:shd w:val="clear" w:color="auto" w:fill="auto"/>
            <w:vAlign w:val="bottom"/>
            <w:hideMark/>
          </w:tcPr>
          <w:p w14:paraId="3889881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474 000 </w:t>
            </w:r>
          </w:p>
        </w:tc>
      </w:tr>
      <w:tr w:rsidR="005F400D" w:rsidRPr="002A06C3" w14:paraId="35780635" w14:textId="77777777" w:rsidTr="00EA7BDC">
        <w:trPr>
          <w:trHeight w:val="255"/>
        </w:trPr>
        <w:tc>
          <w:tcPr>
            <w:tcW w:w="1007" w:type="pct"/>
            <w:shd w:val="clear" w:color="auto" w:fill="auto"/>
            <w:vAlign w:val="bottom"/>
            <w:hideMark/>
          </w:tcPr>
          <w:p w14:paraId="20C2636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grunnskolenivå</w:t>
            </w:r>
          </w:p>
        </w:tc>
        <w:tc>
          <w:tcPr>
            <w:tcW w:w="328" w:type="pct"/>
            <w:shd w:val="clear" w:color="auto" w:fill="auto"/>
            <w:vAlign w:val="bottom"/>
            <w:hideMark/>
          </w:tcPr>
          <w:p w14:paraId="5C6B64DE"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21</w:t>
            </w:r>
          </w:p>
        </w:tc>
        <w:tc>
          <w:tcPr>
            <w:tcW w:w="263" w:type="pct"/>
            <w:shd w:val="clear" w:color="auto" w:fill="auto"/>
            <w:vAlign w:val="bottom"/>
            <w:hideMark/>
          </w:tcPr>
          <w:p w14:paraId="1F09705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w:t>
            </w:r>
          </w:p>
        </w:tc>
        <w:tc>
          <w:tcPr>
            <w:tcW w:w="263" w:type="pct"/>
            <w:shd w:val="clear" w:color="auto" w:fill="auto"/>
            <w:vAlign w:val="bottom"/>
            <w:hideMark/>
          </w:tcPr>
          <w:p w14:paraId="48269AD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3,3</w:t>
            </w:r>
          </w:p>
        </w:tc>
        <w:tc>
          <w:tcPr>
            <w:tcW w:w="263" w:type="pct"/>
            <w:shd w:val="clear" w:color="auto" w:fill="auto"/>
            <w:vAlign w:val="bottom"/>
            <w:hideMark/>
          </w:tcPr>
          <w:p w14:paraId="0C0EBB3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4,7</w:t>
            </w:r>
          </w:p>
        </w:tc>
        <w:tc>
          <w:tcPr>
            <w:tcW w:w="263" w:type="pct"/>
            <w:shd w:val="clear" w:color="auto" w:fill="auto"/>
            <w:vAlign w:val="bottom"/>
            <w:hideMark/>
          </w:tcPr>
          <w:p w14:paraId="2C300A2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6,4</w:t>
            </w:r>
          </w:p>
        </w:tc>
        <w:tc>
          <w:tcPr>
            <w:tcW w:w="263" w:type="pct"/>
            <w:shd w:val="clear" w:color="auto" w:fill="auto"/>
            <w:vAlign w:val="bottom"/>
            <w:hideMark/>
          </w:tcPr>
          <w:p w14:paraId="4A02AC0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w:t>
            </w:r>
          </w:p>
        </w:tc>
        <w:tc>
          <w:tcPr>
            <w:tcW w:w="263" w:type="pct"/>
            <w:shd w:val="clear" w:color="auto" w:fill="auto"/>
            <w:vAlign w:val="bottom"/>
            <w:hideMark/>
          </w:tcPr>
          <w:p w14:paraId="638F2A7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1,7</w:t>
            </w:r>
          </w:p>
        </w:tc>
        <w:tc>
          <w:tcPr>
            <w:tcW w:w="309" w:type="pct"/>
            <w:shd w:val="clear" w:color="auto" w:fill="auto"/>
            <w:vAlign w:val="bottom"/>
            <w:hideMark/>
          </w:tcPr>
          <w:p w14:paraId="065C01F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1,7</w:t>
            </w:r>
          </w:p>
        </w:tc>
        <w:tc>
          <w:tcPr>
            <w:tcW w:w="328" w:type="pct"/>
            <w:shd w:val="clear" w:color="auto" w:fill="auto"/>
            <w:vAlign w:val="bottom"/>
            <w:hideMark/>
          </w:tcPr>
          <w:p w14:paraId="12C48DE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328" w:type="pct"/>
            <w:shd w:val="clear" w:color="auto" w:fill="auto"/>
            <w:vAlign w:val="bottom"/>
            <w:hideMark/>
          </w:tcPr>
          <w:p w14:paraId="198434E7"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2,6</w:t>
            </w:r>
          </w:p>
        </w:tc>
        <w:tc>
          <w:tcPr>
            <w:tcW w:w="336" w:type="pct"/>
            <w:shd w:val="clear" w:color="auto" w:fill="auto"/>
            <w:vAlign w:val="bottom"/>
            <w:hideMark/>
          </w:tcPr>
          <w:p w14:paraId="7FEE49E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3,8</w:t>
            </w:r>
          </w:p>
        </w:tc>
        <w:tc>
          <w:tcPr>
            <w:tcW w:w="375" w:type="pct"/>
            <w:shd w:val="clear" w:color="auto" w:fill="auto"/>
            <w:noWrap/>
            <w:vAlign w:val="bottom"/>
            <w:hideMark/>
          </w:tcPr>
          <w:p w14:paraId="7396D1E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15,0</w:t>
            </w:r>
          </w:p>
        </w:tc>
        <w:tc>
          <w:tcPr>
            <w:tcW w:w="409" w:type="pct"/>
            <w:shd w:val="clear" w:color="auto" w:fill="auto"/>
            <w:vAlign w:val="bottom"/>
            <w:hideMark/>
          </w:tcPr>
          <w:p w14:paraId="7C006037"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392 400 </w:t>
            </w:r>
          </w:p>
        </w:tc>
      </w:tr>
      <w:tr w:rsidR="005F400D" w:rsidRPr="002A06C3" w14:paraId="1CD047A2" w14:textId="77777777" w:rsidTr="00EA7BDC">
        <w:trPr>
          <w:trHeight w:val="510"/>
        </w:trPr>
        <w:tc>
          <w:tcPr>
            <w:tcW w:w="1007" w:type="pct"/>
            <w:shd w:val="clear" w:color="auto" w:fill="auto"/>
            <w:vAlign w:val="bottom"/>
            <w:hideMark/>
          </w:tcPr>
          <w:p w14:paraId="5892EC34"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videregående skolenivå</w:t>
            </w:r>
          </w:p>
        </w:tc>
        <w:tc>
          <w:tcPr>
            <w:tcW w:w="328" w:type="pct"/>
            <w:shd w:val="clear" w:color="auto" w:fill="auto"/>
            <w:vAlign w:val="bottom"/>
            <w:hideMark/>
          </w:tcPr>
          <w:p w14:paraId="177C75A3"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56</w:t>
            </w:r>
          </w:p>
        </w:tc>
        <w:tc>
          <w:tcPr>
            <w:tcW w:w="263" w:type="pct"/>
            <w:shd w:val="clear" w:color="auto" w:fill="auto"/>
            <w:vAlign w:val="bottom"/>
            <w:hideMark/>
          </w:tcPr>
          <w:p w14:paraId="1CB9B38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3,4</w:t>
            </w:r>
          </w:p>
        </w:tc>
        <w:tc>
          <w:tcPr>
            <w:tcW w:w="263" w:type="pct"/>
            <w:shd w:val="clear" w:color="auto" w:fill="auto"/>
            <w:vAlign w:val="bottom"/>
            <w:hideMark/>
          </w:tcPr>
          <w:p w14:paraId="1B28F63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4,9</w:t>
            </w:r>
          </w:p>
        </w:tc>
        <w:tc>
          <w:tcPr>
            <w:tcW w:w="263" w:type="pct"/>
            <w:shd w:val="clear" w:color="auto" w:fill="auto"/>
            <w:vAlign w:val="bottom"/>
            <w:hideMark/>
          </w:tcPr>
          <w:p w14:paraId="0D799FD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7,1</w:t>
            </w:r>
          </w:p>
        </w:tc>
        <w:tc>
          <w:tcPr>
            <w:tcW w:w="263" w:type="pct"/>
            <w:shd w:val="clear" w:color="auto" w:fill="auto"/>
            <w:vAlign w:val="bottom"/>
            <w:hideMark/>
          </w:tcPr>
          <w:p w14:paraId="0DF53C5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6,3</w:t>
            </w:r>
          </w:p>
        </w:tc>
        <w:tc>
          <w:tcPr>
            <w:tcW w:w="263" w:type="pct"/>
            <w:shd w:val="clear" w:color="auto" w:fill="auto"/>
            <w:vAlign w:val="bottom"/>
            <w:hideMark/>
          </w:tcPr>
          <w:p w14:paraId="1417C10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263" w:type="pct"/>
            <w:shd w:val="clear" w:color="auto" w:fill="auto"/>
            <w:vAlign w:val="bottom"/>
            <w:hideMark/>
          </w:tcPr>
          <w:p w14:paraId="6E54D59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309" w:type="pct"/>
            <w:shd w:val="clear" w:color="auto" w:fill="auto"/>
            <w:vAlign w:val="bottom"/>
            <w:hideMark/>
          </w:tcPr>
          <w:p w14:paraId="4793474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3,9</w:t>
            </w:r>
          </w:p>
        </w:tc>
        <w:tc>
          <w:tcPr>
            <w:tcW w:w="328" w:type="pct"/>
            <w:shd w:val="clear" w:color="auto" w:fill="auto"/>
            <w:vAlign w:val="bottom"/>
            <w:hideMark/>
          </w:tcPr>
          <w:p w14:paraId="7822D3B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328" w:type="pct"/>
            <w:shd w:val="clear" w:color="auto" w:fill="auto"/>
            <w:vAlign w:val="bottom"/>
            <w:hideMark/>
          </w:tcPr>
          <w:p w14:paraId="6B20507E"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3,6</w:t>
            </w:r>
          </w:p>
        </w:tc>
        <w:tc>
          <w:tcPr>
            <w:tcW w:w="336" w:type="pct"/>
            <w:shd w:val="clear" w:color="auto" w:fill="auto"/>
            <w:vAlign w:val="bottom"/>
            <w:hideMark/>
          </w:tcPr>
          <w:p w14:paraId="51BCE34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375" w:type="pct"/>
            <w:shd w:val="clear" w:color="auto" w:fill="auto"/>
            <w:noWrap/>
            <w:vAlign w:val="bottom"/>
            <w:hideMark/>
          </w:tcPr>
          <w:p w14:paraId="56686EE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19,6</w:t>
            </w:r>
          </w:p>
        </w:tc>
        <w:tc>
          <w:tcPr>
            <w:tcW w:w="409" w:type="pct"/>
            <w:shd w:val="clear" w:color="auto" w:fill="auto"/>
            <w:vAlign w:val="bottom"/>
            <w:hideMark/>
          </w:tcPr>
          <w:p w14:paraId="7F73E976"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495 600 </w:t>
            </w:r>
          </w:p>
        </w:tc>
      </w:tr>
      <w:tr w:rsidR="005F400D" w:rsidRPr="002A06C3" w14:paraId="13522F06" w14:textId="77777777" w:rsidTr="00EA7BDC">
        <w:trPr>
          <w:trHeight w:val="127"/>
        </w:trPr>
        <w:tc>
          <w:tcPr>
            <w:tcW w:w="1007" w:type="pct"/>
            <w:shd w:val="clear" w:color="auto" w:fill="auto"/>
            <w:vAlign w:val="bottom"/>
            <w:hideMark/>
          </w:tcPr>
          <w:p w14:paraId="7D58DDC0"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Av dette:</w:t>
            </w:r>
          </w:p>
        </w:tc>
        <w:tc>
          <w:tcPr>
            <w:tcW w:w="328" w:type="pct"/>
            <w:shd w:val="clear" w:color="auto" w:fill="auto"/>
            <w:vAlign w:val="bottom"/>
            <w:hideMark/>
          </w:tcPr>
          <w:p w14:paraId="55400F07"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58D5830"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A7CD85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284769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EC58745"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AE33FCD"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B137E3B"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75DE6057"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6F22F1AC"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2A9E4E4B" w14:textId="77777777" w:rsidR="005F400D" w:rsidRPr="002A06C3" w:rsidRDefault="005F400D" w:rsidP="008C4FE7">
            <w:pPr>
              <w:spacing w:after="0"/>
              <w:jc w:val="center"/>
              <w:rPr>
                <w:rFonts w:ascii="Times New Roman" w:hAnsi="Times New Roman"/>
                <w:color w:val="000000"/>
                <w:sz w:val="18"/>
                <w:szCs w:val="18"/>
              </w:rPr>
            </w:pPr>
          </w:p>
        </w:tc>
        <w:tc>
          <w:tcPr>
            <w:tcW w:w="336" w:type="pct"/>
            <w:shd w:val="clear" w:color="auto" w:fill="auto"/>
            <w:vAlign w:val="bottom"/>
            <w:hideMark/>
          </w:tcPr>
          <w:p w14:paraId="162E6200"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0C7249CF"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17863955" w14:textId="77777777" w:rsidR="005F400D" w:rsidRPr="002A06C3" w:rsidRDefault="005F400D" w:rsidP="008C4FE7">
            <w:pPr>
              <w:spacing w:after="0"/>
              <w:rPr>
                <w:rFonts w:ascii="Times New Roman" w:hAnsi="Times New Roman"/>
                <w:sz w:val="18"/>
                <w:szCs w:val="18"/>
              </w:rPr>
            </w:pPr>
          </w:p>
        </w:tc>
      </w:tr>
      <w:tr w:rsidR="005F400D" w:rsidRPr="002A06C3" w14:paraId="341FFDF3" w14:textId="77777777" w:rsidTr="00EA7BDC">
        <w:trPr>
          <w:trHeight w:val="159"/>
        </w:trPr>
        <w:tc>
          <w:tcPr>
            <w:tcW w:w="1007" w:type="pct"/>
            <w:shd w:val="clear" w:color="auto" w:fill="auto"/>
            <w:vAlign w:val="bottom"/>
            <w:hideMark/>
          </w:tcPr>
          <w:p w14:paraId="52E2B50C"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Fagutdanning</w:t>
            </w:r>
            <w:r w:rsidRPr="002A06C3">
              <w:rPr>
                <w:rFonts w:ascii="Times New Roman" w:hAnsi="Times New Roman"/>
                <w:sz w:val="18"/>
                <w:szCs w:val="18"/>
                <w:vertAlign w:val="superscript"/>
              </w:rPr>
              <w:t>6</w:t>
            </w:r>
          </w:p>
        </w:tc>
        <w:tc>
          <w:tcPr>
            <w:tcW w:w="328" w:type="pct"/>
            <w:shd w:val="clear" w:color="auto" w:fill="auto"/>
            <w:vAlign w:val="bottom"/>
            <w:hideMark/>
          </w:tcPr>
          <w:p w14:paraId="5E486C38"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40</w:t>
            </w:r>
          </w:p>
        </w:tc>
        <w:tc>
          <w:tcPr>
            <w:tcW w:w="263" w:type="pct"/>
            <w:shd w:val="clear" w:color="auto" w:fill="auto"/>
            <w:vAlign w:val="bottom"/>
            <w:hideMark/>
          </w:tcPr>
          <w:p w14:paraId="1B6C788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3,8</w:t>
            </w:r>
          </w:p>
        </w:tc>
        <w:tc>
          <w:tcPr>
            <w:tcW w:w="263" w:type="pct"/>
            <w:shd w:val="clear" w:color="auto" w:fill="auto"/>
            <w:vAlign w:val="bottom"/>
            <w:hideMark/>
          </w:tcPr>
          <w:p w14:paraId="2B58F19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4,7</w:t>
            </w:r>
          </w:p>
        </w:tc>
        <w:tc>
          <w:tcPr>
            <w:tcW w:w="263" w:type="pct"/>
            <w:shd w:val="clear" w:color="auto" w:fill="auto"/>
            <w:vAlign w:val="bottom"/>
            <w:hideMark/>
          </w:tcPr>
          <w:p w14:paraId="0E39152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7,7</w:t>
            </w:r>
          </w:p>
        </w:tc>
        <w:tc>
          <w:tcPr>
            <w:tcW w:w="263" w:type="pct"/>
            <w:shd w:val="clear" w:color="auto" w:fill="auto"/>
            <w:vAlign w:val="bottom"/>
            <w:hideMark/>
          </w:tcPr>
          <w:p w14:paraId="3EEE720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6,2</w:t>
            </w:r>
          </w:p>
        </w:tc>
        <w:tc>
          <w:tcPr>
            <w:tcW w:w="263" w:type="pct"/>
            <w:shd w:val="clear" w:color="auto" w:fill="auto"/>
            <w:vAlign w:val="bottom"/>
            <w:hideMark/>
          </w:tcPr>
          <w:p w14:paraId="5C9A75F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263" w:type="pct"/>
            <w:shd w:val="clear" w:color="auto" w:fill="auto"/>
            <w:vAlign w:val="bottom"/>
            <w:hideMark/>
          </w:tcPr>
          <w:p w14:paraId="2CABD69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309" w:type="pct"/>
            <w:shd w:val="clear" w:color="auto" w:fill="auto"/>
            <w:vAlign w:val="bottom"/>
            <w:hideMark/>
          </w:tcPr>
          <w:p w14:paraId="5753A37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3,9</w:t>
            </w:r>
          </w:p>
        </w:tc>
        <w:tc>
          <w:tcPr>
            <w:tcW w:w="328" w:type="pct"/>
            <w:shd w:val="clear" w:color="auto" w:fill="auto"/>
            <w:vAlign w:val="bottom"/>
            <w:hideMark/>
          </w:tcPr>
          <w:p w14:paraId="3EB1D7F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4,3</w:t>
            </w:r>
          </w:p>
        </w:tc>
        <w:tc>
          <w:tcPr>
            <w:tcW w:w="328" w:type="pct"/>
            <w:shd w:val="clear" w:color="auto" w:fill="auto"/>
            <w:vAlign w:val="bottom"/>
            <w:hideMark/>
          </w:tcPr>
          <w:p w14:paraId="47B6846E"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3,8</w:t>
            </w:r>
          </w:p>
        </w:tc>
        <w:tc>
          <w:tcPr>
            <w:tcW w:w="336" w:type="pct"/>
            <w:shd w:val="clear" w:color="auto" w:fill="auto"/>
            <w:vAlign w:val="bottom"/>
            <w:hideMark/>
          </w:tcPr>
          <w:p w14:paraId="4003532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375" w:type="pct"/>
            <w:shd w:val="clear" w:color="auto" w:fill="auto"/>
            <w:noWrap/>
            <w:vAlign w:val="bottom"/>
            <w:hideMark/>
          </w:tcPr>
          <w:p w14:paraId="5A9A5EF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20,3</w:t>
            </w:r>
          </w:p>
        </w:tc>
        <w:tc>
          <w:tcPr>
            <w:tcW w:w="409" w:type="pct"/>
            <w:shd w:val="clear" w:color="auto" w:fill="auto"/>
            <w:vAlign w:val="bottom"/>
            <w:hideMark/>
          </w:tcPr>
          <w:p w14:paraId="6F3A8C29"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504 000 </w:t>
            </w:r>
          </w:p>
        </w:tc>
      </w:tr>
      <w:tr w:rsidR="005F400D" w:rsidRPr="002A06C3" w14:paraId="65002152" w14:textId="77777777" w:rsidTr="00EA7BDC">
        <w:trPr>
          <w:trHeight w:val="510"/>
        </w:trPr>
        <w:tc>
          <w:tcPr>
            <w:tcW w:w="1007" w:type="pct"/>
            <w:shd w:val="clear" w:color="auto" w:fill="auto"/>
            <w:vAlign w:val="bottom"/>
            <w:hideMark/>
          </w:tcPr>
          <w:p w14:paraId="4A5E3343"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til og med 4 år</w:t>
            </w:r>
          </w:p>
        </w:tc>
        <w:tc>
          <w:tcPr>
            <w:tcW w:w="328" w:type="pct"/>
            <w:shd w:val="clear" w:color="auto" w:fill="auto"/>
            <w:vAlign w:val="bottom"/>
            <w:hideMark/>
          </w:tcPr>
          <w:p w14:paraId="1AE15EF8"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9</w:t>
            </w:r>
          </w:p>
        </w:tc>
        <w:tc>
          <w:tcPr>
            <w:tcW w:w="263" w:type="pct"/>
            <w:shd w:val="clear" w:color="auto" w:fill="auto"/>
            <w:vAlign w:val="bottom"/>
            <w:hideMark/>
          </w:tcPr>
          <w:p w14:paraId="53050A7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263" w:type="pct"/>
            <w:shd w:val="clear" w:color="auto" w:fill="auto"/>
            <w:vAlign w:val="bottom"/>
            <w:hideMark/>
          </w:tcPr>
          <w:p w14:paraId="036F3DD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263" w:type="pct"/>
            <w:shd w:val="clear" w:color="auto" w:fill="auto"/>
            <w:vAlign w:val="bottom"/>
            <w:hideMark/>
          </w:tcPr>
          <w:p w14:paraId="5DA3327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6,2</w:t>
            </w:r>
          </w:p>
        </w:tc>
        <w:tc>
          <w:tcPr>
            <w:tcW w:w="263" w:type="pct"/>
            <w:shd w:val="clear" w:color="auto" w:fill="auto"/>
            <w:vAlign w:val="bottom"/>
            <w:hideMark/>
          </w:tcPr>
          <w:p w14:paraId="58D3301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9,1</w:t>
            </w:r>
          </w:p>
        </w:tc>
        <w:tc>
          <w:tcPr>
            <w:tcW w:w="263" w:type="pct"/>
            <w:shd w:val="clear" w:color="auto" w:fill="auto"/>
            <w:vAlign w:val="bottom"/>
            <w:hideMark/>
          </w:tcPr>
          <w:p w14:paraId="38E95CD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263" w:type="pct"/>
            <w:shd w:val="clear" w:color="auto" w:fill="auto"/>
            <w:vAlign w:val="bottom"/>
            <w:hideMark/>
          </w:tcPr>
          <w:p w14:paraId="6B9B868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3,9</w:t>
            </w:r>
          </w:p>
        </w:tc>
        <w:tc>
          <w:tcPr>
            <w:tcW w:w="309" w:type="pct"/>
            <w:shd w:val="clear" w:color="auto" w:fill="auto"/>
            <w:vAlign w:val="bottom"/>
            <w:hideMark/>
          </w:tcPr>
          <w:p w14:paraId="48860FB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4,6</w:t>
            </w:r>
          </w:p>
        </w:tc>
        <w:tc>
          <w:tcPr>
            <w:tcW w:w="328" w:type="pct"/>
            <w:shd w:val="clear" w:color="auto" w:fill="auto"/>
            <w:vAlign w:val="bottom"/>
            <w:hideMark/>
          </w:tcPr>
          <w:p w14:paraId="5A15AB6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328" w:type="pct"/>
            <w:shd w:val="clear" w:color="auto" w:fill="auto"/>
            <w:vAlign w:val="bottom"/>
            <w:hideMark/>
          </w:tcPr>
          <w:p w14:paraId="0C5CA885"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3,6</w:t>
            </w:r>
          </w:p>
        </w:tc>
        <w:tc>
          <w:tcPr>
            <w:tcW w:w="336" w:type="pct"/>
            <w:shd w:val="clear" w:color="auto" w:fill="auto"/>
            <w:vAlign w:val="bottom"/>
            <w:hideMark/>
          </w:tcPr>
          <w:p w14:paraId="59B9A89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375" w:type="pct"/>
            <w:shd w:val="clear" w:color="auto" w:fill="auto"/>
            <w:noWrap/>
            <w:vAlign w:val="bottom"/>
            <w:hideMark/>
          </w:tcPr>
          <w:p w14:paraId="4285A47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20,5</w:t>
            </w:r>
          </w:p>
        </w:tc>
        <w:tc>
          <w:tcPr>
            <w:tcW w:w="409" w:type="pct"/>
            <w:shd w:val="clear" w:color="auto" w:fill="auto"/>
            <w:vAlign w:val="bottom"/>
            <w:hideMark/>
          </w:tcPr>
          <w:p w14:paraId="1C041E03"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634 800 </w:t>
            </w:r>
          </w:p>
        </w:tc>
      </w:tr>
      <w:tr w:rsidR="005F400D" w:rsidRPr="002A06C3" w14:paraId="6D5A6E45" w14:textId="77777777" w:rsidTr="00EA7BDC">
        <w:trPr>
          <w:trHeight w:val="510"/>
        </w:trPr>
        <w:tc>
          <w:tcPr>
            <w:tcW w:w="1007" w:type="pct"/>
            <w:shd w:val="clear" w:color="auto" w:fill="auto"/>
            <w:vAlign w:val="bottom"/>
            <w:hideMark/>
          </w:tcPr>
          <w:p w14:paraId="510B2486"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lengre enn 4 år</w:t>
            </w:r>
          </w:p>
        </w:tc>
        <w:tc>
          <w:tcPr>
            <w:tcW w:w="328" w:type="pct"/>
            <w:shd w:val="clear" w:color="auto" w:fill="auto"/>
            <w:vAlign w:val="bottom"/>
            <w:hideMark/>
          </w:tcPr>
          <w:p w14:paraId="33850B70"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3</w:t>
            </w:r>
          </w:p>
        </w:tc>
        <w:tc>
          <w:tcPr>
            <w:tcW w:w="263" w:type="pct"/>
            <w:shd w:val="clear" w:color="auto" w:fill="auto"/>
            <w:vAlign w:val="bottom"/>
            <w:hideMark/>
          </w:tcPr>
          <w:p w14:paraId="12148A9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7,8</w:t>
            </w:r>
          </w:p>
        </w:tc>
        <w:tc>
          <w:tcPr>
            <w:tcW w:w="263" w:type="pct"/>
            <w:shd w:val="clear" w:color="auto" w:fill="auto"/>
            <w:vAlign w:val="bottom"/>
            <w:hideMark/>
          </w:tcPr>
          <w:p w14:paraId="3915F14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7,5</w:t>
            </w:r>
          </w:p>
        </w:tc>
        <w:tc>
          <w:tcPr>
            <w:tcW w:w="263" w:type="pct"/>
            <w:shd w:val="clear" w:color="auto" w:fill="auto"/>
            <w:vAlign w:val="bottom"/>
            <w:hideMark/>
          </w:tcPr>
          <w:p w14:paraId="19D6785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263" w:type="pct"/>
            <w:shd w:val="clear" w:color="auto" w:fill="auto"/>
            <w:vAlign w:val="bottom"/>
            <w:hideMark/>
          </w:tcPr>
          <w:p w14:paraId="53D2FD3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8,5</w:t>
            </w:r>
          </w:p>
        </w:tc>
        <w:tc>
          <w:tcPr>
            <w:tcW w:w="263" w:type="pct"/>
            <w:shd w:val="clear" w:color="auto" w:fill="auto"/>
            <w:vAlign w:val="bottom"/>
            <w:hideMark/>
          </w:tcPr>
          <w:p w14:paraId="6048100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0,5</w:t>
            </w:r>
          </w:p>
        </w:tc>
        <w:tc>
          <w:tcPr>
            <w:tcW w:w="263" w:type="pct"/>
            <w:shd w:val="clear" w:color="auto" w:fill="auto"/>
            <w:vAlign w:val="bottom"/>
            <w:hideMark/>
          </w:tcPr>
          <w:p w14:paraId="479AA99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6,9</w:t>
            </w:r>
          </w:p>
        </w:tc>
        <w:tc>
          <w:tcPr>
            <w:tcW w:w="309" w:type="pct"/>
            <w:shd w:val="clear" w:color="auto" w:fill="auto"/>
            <w:vAlign w:val="bottom"/>
            <w:hideMark/>
          </w:tcPr>
          <w:p w14:paraId="1369CF2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328" w:type="pct"/>
            <w:shd w:val="clear" w:color="auto" w:fill="auto"/>
            <w:vAlign w:val="bottom"/>
            <w:hideMark/>
          </w:tcPr>
          <w:p w14:paraId="5D3D640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8,2</w:t>
            </w:r>
          </w:p>
        </w:tc>
        <w:tc>
          <w:tcPr>
            <w:tcW w:w="328" w:type="pct"/>
            <w:shd w:val="clear" w:color="auto" w:fill="auto"/>
            <w:vAlign w:val="bottom"/>
            <w:hideMark/>
          </w:tcPr>
          <w:p w14:paraId="17329432"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-1,0</w:t>
            </w:r>
          </w:p>
        </w:tc>
        <w:tc>
          <w:tcPr>
            <w:tcW w:w="336" w:type="pct"/>
            <w:shd w:val="clear" w:color="auto" w:fill="auto"/>
            <w:vAlign w:val="bottom"/>
            <w:hideMark/>
          </w:tcPr>
          <w:p w14:paraId="0A6BF21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375" w:type="pct"/>
            <w:shd w:val="clear" w:color="auto" w:fill="auto"/>
            <w:noWrap/>
            <w:vAlign w:val="bottom"/>
            <w:hideMark/>
          </w:tcPr>
          <w:p w14:paraId="6A344C5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26,4</w:t>
            </w:r>
          </w:p>
        </w:tc>
        <w:tc>
          <w:tcPr>
            <w:tcW w:w="409" w:type="pct"/>
            <w:shd w:val="clear" w:color="auto" w:fill="auto"/>
            <w:vAlign w:val="bottom"/>
            <w:hideMark/>
          </w:tcPr>
          <w:p w14:paraId="73610DC7"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772 800 </w:t>
            </w:r>
          </w:p>
        </w:tc>
      </w:tr>
      <w:tr w:rsidR="005F400D" w:rsidRPr="002A06C3" w14:paraId="46606170" w14:textId="77777777" w:rsidTr="00EA7BDC">
        <w:trPr>
          <w:trHeight w:val="255"/>
        </w:trPr>
        <w:tc>
          <w:tcPr>
            <w:tcW w:w="1007" w:type="pct"/>
            <w:shd w:val="clear" w:color="auto" w:fill="auto"/>
            <w:vAlign w:val="bottom"/>
            <w:hideMark/>
          </w:tcPr>
          <w:p w14:paraId="41454B5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Uoppgitt eller ingen fullført utdanning</w:t>
            </w:r>
          </w:p>
        </w:tc>
        <w:tc>
          <w:tcPr>
            <w:tcW w:w="328" w:type="pct"/>
            <w:shd w:val="clear" w:color="auto" w:fill="auto"/>
            <w:vAlign w:val="bottom"/>
            <w:hideMark/>
          </w:tcPr>
          <w:p w14:paraId="1A67652E"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12</w:t>
            </w:r>
          </w:p>
        </w:tc>
        <w:tc>
          <w:tcPr>
            <w:tcW w:w="263" w:type="pct"/>
            <w:shd w:val="clear" w:color="auto" w:fill="auto"/>
            <w:vAlign w:val="bottom"/>
            <w:hideMark/>
          </w:tcPr>
          <w:p w14:paraId="0BA147C4"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54AEA9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61597A3"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56735A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38362E0"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274FF39"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7D6FEAFF"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499728CE"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47053D87"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2F1643F4"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0439AE4D"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33E07E77" w14:textId="77777777" w:rsidR="005F400D" w:rsidRPr="002A06C3" w:rsidRDefault="005F400D" w:rsidP="008C4FE7">
            <w:pPr>
              <w:spacing w:after="0"/>
              <w:jc w:val="center"/>
              <w:rPr>
                <w:rFonts w:ascii="Times New Roman" w:hAnsi="Times New Roman"/>
                <w:sz w:val="18"/>
                <w:szCs w:val="18"/>
              </w:rPr>
            </w:pPr>
          </w:p>
        </w:tc>
      </w:tr>
      <w:tr w:rsidR="005F400D" w:rsidRPr="002A06C3" w14:paraId="33ADF058" w14:textId="77777777" w:rsidTr="00C00F67">
        <w:trPr>
          <w:trHeight w:val="317"/>
        </w:trPr>
        <w:tc>
          <w:tcPr>
            <w:tcW w:w="1007" w:type="pct"/>
            <w:shd w:val="clear" w:color="auto" w:fill="auto"/>
            <w:vAlign w:val="bottom"/>
            <w:hideMark/>
          </w:tcPr>
          <w:p w14:paraId="7A86E717" w14:textId="77777777" w:rsidR="005F400D" w:rsidRPr="002A06C3" w:rsidRDefault="005F400D" w:rsidP="008C4FE7">
            <w:pPr>
              <w:spacing w:after="0"/>
              <w:rPr>
                <w:rFonts w:ascii="Times New Roman" w:hAnsi="Times New Roman"/>
                <w:sz w:val="18"/>
                <w:szCs w:val="18"/>
              </w:rPr>
            </w:pPr>
          </w:p>
        </w:tc>
        <w:tc>
          <w:tcPr>
            <w:tcW w:w="328" w:type="pct"/>
            <w:shd w:val="clear" w:color="auto" w:fill="auto"/>
            <w:vAlign w:val="bottom"/>
            <w:hideMark/>
          </w:tcPr>
          <w:p w14:paraId="245C62A8"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7417FE8"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6D49595"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47B7F12"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0C6BED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3931346"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C571283"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736DFA43"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5D26D1E7"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354F649C"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41D37868"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68BF0F69"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04BF22FD" w14:textId="77777777" w:rsidR="005F400D" w:rsidRPr="002A06C3" w:rsidRDefault="005F400D" w:rsidP="008C4FE7">
            <w:pPr>
              <w:spacing w:after="0"/>
              <w:jc w:val="center"/>
              <w:rPr>
                <w:rFonts w:ascii="Times New Roman" w:hAnsi="Times New Roman"/>
                <w:sz w:val="18"/>
                <w:szCs w:val="18"/>
              </w:rPr>
            </w:pPr>
          </w:p>
        </w:tc>
      </w:tr>
      <w:tr w:rsidR="005F400D" w:rsidRPr="002A06C3" w14:paraId="070A3180" w14:textId="77777777" w:rsidTr="00EA7BDC">
        <w:trPr>
          <w:trHeight w:val="255"/>
        </w:trPr>
        <w:tc>
          <w:tcPr>
            <w:tcW w:w="1007" w:type="pct"/>
            <w:shd w:val="clear" w:color="auto" w:fill="auto"/>
            <w:vAlign w:val="bottom"/>
            <w:hideMark/>
          </w:tcPr>
          <w:p w14:paraId="32EA2ECB" w14:textId="77777777" w:rsidR="005F400D" w:rsidRPr="002A06C3" w:rsidRDefault="005F400D" w:rsidP="008C4FE7">
            <w:pPr>
              <w:spacing w:after="0"/>
              <w:rPr>
                <w:rFonts w:ascii="Times New Roman" w:hAnsi="Times New Roman"/>
                <w:b/>
                <w:bCs/>
                <w:sz w:val="18"/>
                <w:szCs w:val="18"/>
                <w:vertAlign w:val="superscript"/>
              </w:rPr>
            </w:pPr>
            <w:r w:rsidRPr="002A06C3">
              <w:rPr>
                <w:rFonts w:ascii="Times New Roman" w:hAnsi="Times New Roman"/>
                <w:b/>
                <w:bCs/>
                <w:sz w:val="18"/>
                <w:szCs w:val="18"/>
              </w:rPr>
              <w:t>Varehandel i alt</w:t>
            </w:r>
            <w:r w:rsidRPr="002A06C3">
              <w:rPr>
                <w:rFonts w:ascii="Times New Roman" w:hAnsi="Times New Roman"/>
                <w:b/>
                <w:bCs/>
                <w:sz w:val="18"/>
                <w:szCs w:val="18"/>
                <w:vertAlign w:val="superscript"/>
              </w:rPr>
              <w:t>8</w:t>
            </w:r>
          </w:p>
        </w:tc>
        <w:tc>
          <w:tcPr>
            <w:tcW w:w="328" w:type="pct"/>
            <w:shd w:val="clear" w:color="auto" w:fill="auto"/>
            <w:vAlign w:val="bottom"/>
            <w:hideMark/>
          </w:tcPr>
          <w:p w14:paraId="5D11FEE1"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100</w:t>
            </w:r>
          </w:p>
        </w:tc>
        <w:tc>
          <w:tcPr>
            <w:tcW w:w="263" w:type="pct"/>
            <w:shd w:val="clear" w:color="auto" w:fill="auto"/>
            <w:vAlign w:val="bottom"/>
            <w:hideMark/>
          </w:tcPr>
          <w:p w14:paraId="166BF57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263" w:type="pct"/>
            <w:shd w:val="clear" w:color="auto" w:fill="auto"/>
            <w:vAlign w:val="bottom"/>
            <w:hideMark/>
          </w:tcPr>
          <w:p w14:paraId="46B506D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263" w:type="pct"/>
            <w:shd w:val="clear" w:color="auto" w:fill="auto"/>
            <w:vAlign w:val="bottom"/>
            <w:hideMark/>
          </w:tcPr>
          <w:p w14:paraId="29D41E7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263" w:type="pct"/>
            <w:shd w:val="clear" w:color="auto" w:fill="auto"/>
            <w:vAlign w:val="bottom"/>
            <w:hideMark/>
          </w:tcPr>
          <w:p w14:paraId="49A1126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263" w:type="pct"/>
            <w:shd w:val="clear" w:color="auto" w:fill="auto"/>
            <w:vAlign w:val="bottom"/>
            <w:hideMark/>
          </w:tcPr>
          <w:p w14:paraId="434B86C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w:t>
            </w:r>
          </w:p>
        </w:tc>
        <w:tc>
          <w:tcPr>
            <w:tcW w:w="263" w:type="pct"/>
            <w:shd w:val="clear" w:color="auto" w:fill="auto"/>
            <w:vAlign w:val="bottom"/>
            <w:hideMark/>
          </w:tcPr>
          <w:p w14:paraId="437D80B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309" w:type="pct"/>
            <w:shd w:val="clear" w:color="auto" w:fill="auto"/>
            <w:vAlign w:val="bottom"/>
            <w:hideMark/>
          </w:tcPr>
          <w:p w14:paraId="40BED35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328" w:type="pct"/>
            <w:shd w:val="clear" w:color="auto" w:fill="auto"/>
            <w:vAlign w:val="bottom"/>
            <w:hideMark/>
          </w:tcPr>
          <w:p w14:paraId="73BE0CD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3,3</w:t>
            </w:r>
          </w:p>
        </w:tc>
        <w:tc>
          <w:tcPr>
            <w:tcW w:w="328" w:type="pct"/>
            <w:shd w:val="clear" w:color="auto" w:fill="auto"/>
            <w:vAlign w:val="bottom"/>
            <w:hideMark/>
          </w:tcPr>
          <w:p w14:paraId="5D0061D6"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3,5</w:t>
            </w:r>
          </w:p>
        </w:tc>
        <w:tc>
          <w:tcPr>
            <w:tcW w:w="336" w:type="pct"/>
            <w:shd w:val="clear" w:color="auto" w:fill="auto"/>
            <w:vAlign w:val="bottom"/>
            <w:hideMark/>
          </w:tcPr>
          <w:p w14:paraId="72B629C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1,6</w:t>
            </w:r>
          </w:p>
        </w:tc>
        <w:tc>
          <w:tcPr>
            <w:tcW w:w="375" w:type="pct"/>
            <w:shd w:val="clear" w:color="auto" w:fill="auto"/>
            <w:noWrap/>
            <w:vAlign w:val="bottom"/>
            <w:hideMark/>
          </w:tcPr>
          <w:p w14:paraId="516DABB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15,8</w:t>
            </w:r>
          </w:p>
        </w:tc>
        <w:tc>
          <w:tcPr>
            <w:tcW w:w="409" w:type="pct"/>
            <w:shd w:val="clear" w:color="auto" w:fill="auto"/>
            <w:vAlign w:val="bottom"/>
            <w:hideMark/>
          </w:tcPr>
          <w:p w14:paraId="7762094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471 600 </w:t>
            </w:r>
          </w:p>
        </w:tc>
      </w:tr>
      <w:tr w:rsidR="005F400D" w:rsidRPr="002A06C3" w14:paraId="4E22D8D7" w14:textId="77777777" w:rsidTr="00EA7BDC">
        <w:trPr>
          <w:trHeight w:val="255"/>
        </w:trPr>
        <w:tc>
          <w:tcPr>
            <w:tcW w:w="1007" w:type="pct"/>
            <w:shd w:val="clear" w:color="auto" w:fill="auto"/>
            <w:vAlign w:val="bottom"/>
            <w:hideMark/>
          </w:tcPr>
          <w:p w14:paraId="2D19AD2E"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grunnskolenivå</w:t>
            </w:r>
          </w:p>
        </w:tc>
        <w:tc>
          <w:tcPr>
            <w:tcW w:w="328" w:type="pct"/>
            <w:shd w:val="clear" w:color="auto" w:fill="auto"/>
            <w:vAlign w:val="bottom"/>
            <w:hideMark/>
          </w:tcPr>
          <w:p w14:paraId="4D158198"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25</w:t>
            </w:r>
          </w:p>
        </w:tc>
        <w:tc>
          <w:tcPr>
            <w:tcW w:w="263" w:type="pct"/>
            <w:shd w:val="clear" w:color="auto" w:fill="auto"/>
            <w:vAlign w:val="bottom"/>
            <w:hideMark/>
          </w:tcPr>
          <w:p w14:paraId="4D1993C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3,8</w:t>
            </w:r>
          </w:p>
        </w:tc>
        <w:tc>
          <w:tcPr>
            <w:tcW w:w="263" w:type="pct"/>
            <w:shd w:val="clear" w:color="auto" w:fill="auto"/>
            <w:vAlign w:val="bottom"/>
            <w:hideMark/>
          </w:tcPr>
          <w:p w14:paraId="6947719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3,9</w:t>
            </w:r>
          </w:p>
        </w:tc>
        <w:tc>
          <w:tcPr>
            <w:tcW w:w="263" w:type="pct"/>
            <w:shd w:val="clear" w:color="auto" w:fill="auto"/>
            <w:vAlign w:val="bottom"/>
            <w:hideMark/>
          </w:tcPr>
          <w:p w14:paraId="74DE8DF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263" w:type="pct"/>
            <w:shd w:val="clear" w:color="auto" w:fill="auto"/>
            <w:vAlign w:val="bottom"/>
            <w:hideMark/>
          </w:tcPr>
          <w:p w14:paraId="18F844B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1,6</w:t>
            </w:r>
          </w:p>
        </w:tc>
        <w:tc>
          <w:tcPr>
            <w:tcW w:w="263" w:type="pct"/>
            <w:shd w:val="clear" w:color="auto" w:fill="auto"/>
            <w:vAlign w:val="bottom"/>
            <w:hideMark/>
          </w:tcPr>
          <w:p w14:paraId="07703B1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2,5</w:t>
            </w:r>
          </w:p>
        </w:tc>
        <w:tc>
          <w:tcPr>
            <w:tcW w:w="263" w:type="pct"/>
            <w:shd w:val="clear" w:color="auto" w:fill="auto"/>
            <w:vAlign w:val="bottom"/>
            <w:hideMark/>
          </w:tcPr>
          <w:p w14:paraId="7798377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3,9</w:t>
            </w:r>
          </w:p>
        </w:tc>
        <w:tc>
          <w:tcPr>
            <w:tcW w:w="309" w:type="pct"/>
            <w:shd w:val="clear" w:color="auto" w:fill="auto"/>
            <w:vAlign w:val="bottom"/>
            <w:hideMark/>
          </w:tcPr>
          <w:p w14:paraId="2596084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1,4</w:t>
            </w:r>
          </w:p>
        </w:tc>
        <w:tc>
          <w:tcPr>
            <w:tcW w:w="328" w:type="pct"/>
            <w:shd w:val="clear" w:color="auto" w:fill="auto"/>
            <w:vAlign w:val="bottom"/>
            <w:hideMark/>
          </w:tcPr>
          <w:p w14:paraId="07C8A9D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3,3</w:t>
            </w:r>
          </w:p>
        </w:tc>
        <w:tc>
          <w:tcPr>
            <w:tcW w:w="328" w:type="pct"/>
            <w:shd w:val="clear" w:color="auto" w:fill="auto"/>
            <w:vAlign w:val="bottom"/>
            <w:hideMark/>
          </w:tcPr>
          <w:p w14:paraId="382793D6"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3,9</w:t>
            </w:r>
          </w:p>
        </w:tc>
        <w:tc>
          <w:tcPr>
            <w:tcW w:w="336" w:type="pct"/>
            <w:shd w:val="clear" w:color="auto" w:fill="auto"/>
            <w:vAlign w:val="bottom"/>
            <w:hideMark/>
          </w:tcPr>
          <w:p w14:paraId="615F5B9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2,2</w:t>
            </w:r>
          </w:p>
        </w:tc>
        <w:tc>
          <w:tcPr>
            <w:tcW w:w="375" w:type="pct"/>
            <w:shd w:val="clear" w:color="auto" w:fill="auto"/>
            <w:noWrap/>
            <w:vAlign w:val="bottom"/>
            <w:hideMark/>
          </w:tcPr>
          <w:p w14:paraId="2248E04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15,5</w:t>
            </w:r>
          </w:p>
        </w:tc>
        <w:tc>
          <w:tcPr>
            <w:tcW w:w="409" w:type="pct"/>
            <w:shd w:val="clear" w:color="auto" w:fill="auto"/>
            <w:vAlign w:val="bottom"/>
            <w:hideMark/>
          </w:tcPr>
          <w:p w14:paraId="60D107BD"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396 000 </w:t>
            </w:r>
          </w:p>
        </w:tc>
      </w:tr>
      <w:tr w:rsidR="005F400D" w:rsidRPr="002A06C3" w14:paraId="38A01303" w14:textId="77777777" w:rsidTr="00EA7BDC">
        <w:trPr>
          <w:trHeight w:val="194"/>
        </w:trPr>
        <w:tc>
          <w:tcPr>
            <w:tcW w:w="1007" w:type="pct"/>
            <w:shd w:val="clear" w:color="auto" w:fill="auto"/>
            <w:vAlign w:val="bottom"/>
            <w:hideMark/>
          </w:tcPr>
          <w:p w14:paraId="29E5A1A0"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videregående skolenivå</w:t>
            </w:r>
          </w:p>
        </w:tc>
        <w:tc>
          <w:tcPr>
            <w:tcW w:w="328" w:type="pct"/>
            <w:shd w:val="clear" w:color="auto" w:fill="auto"/>
            <w:vAlign w:val="bottom"/>
            <w:hideMark/>
          </w:tcPr>
          <w:p w14:paraId="697631B7"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52</w:t>
            </w:r>
          </w:p>
        </w:tc>
        <w:tc>
          <w:tcPr>
            <w:tcW w:w="263" w:type="pct"/>
            <w:shd w:val="clear" w:color="auto" w:fill="auto"/>
            <w:vAlign w:val="bottom"/>
            <w:hideMark/>
          </w:tcPr>
          <w:p w14:paraId="765E3B5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263" w:type="pct"/>
            <w:shd w:val="clear" w:color="auto" w:fill="auto"/>
            <w:vAlign w:val="bottom"/>
            <w:hideMark/>
          </w:tcPr>
          <w:p w14:paraId="1816FD6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4,3</w:t>
            </w:r>
          </w:p>
        </w:tc>
        <w:tc>
          <w:tcPr>
            <w:tcW w:w="263" w:type="pct"/>
            <w:shd w:val="clear" w:color="auto" w:fill="auto"/>
            <w:vAlign w:val="bottom"/>
            <w:hideMark/>
          </w:tcPr>
          <w:p w14:paraId="450423D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6,4</w:t>
            </w:r>
          </w:p>
        </w:tc>
        <w:tc>
          <w:tcPr>
            <w:tcW w:w="263" w:type="pct"/>
            <w:shd w:val="clear" w:color="auto" w:fill="auto"/>
            <w:vAlign w:val="bottom"/>
            <w:hideMark/>
          </w:tcPr>
          <w:p w14:paraId="4AE0F87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4,0</w:t>
            </w:r>
          </w:p>
        </w:tc>
        <w:tc>
          <w:tcPr>
            <w:tcW w:w="263" w:type="pct"/>
            <w:shd w:val="clear" w:color="auto" w:fill="auto"/>
            <w:vAlign w:val="bottom"/>
            <w:hideMark/>
          </w:tcPr>
          <w:p w14:paraId="33A951B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w:t>
            </w:r>
          </w:p>
        </w:tc>
        <w:tc>
          <w:tcPr>
            <w:tcW w:w="263" w:type="pct"/>
            <w:shd w:val="clear" w:color="auto" w:fill="auto"/>
            <w:vAlign w:val="bottom"/>
            <w:hideMark/>
          </w:tcPr>
          <w:p w14:paraId="01AF9FF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3,3</w:t>
            </w:r>
          </w:p>
        </w:tc>
        <w:tc>
          <w:tcPr>
            <w:tcW w:w="309" w:type="pct"/>
            <w:shd w:val="clear" w:color="auto" w:fill="auto"/>
            <w:vAlign w:val="bottom"/>
            <w:hideMark/>
          </w:tcPr>
          <w:p w14:paraId="49985DB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328" w:type="pct"/>
            <w:shd w:val="clear" w:color="auto" w:fill="auto"/>
            <w:vAlign w:val="bottom"/>
            <w:hideMark/>
          </w:tcPr>
          <w:p w14:paraId="7550C61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328" w:type="pct"/>
            <w:shd w:val="clear" w:color="auto" w:fill="auto"/>
            <w:vAlign w:val="bottom"/>
            <w:hideMark/>
          </w:tcPr>
          <w:p w14:paraId="36CB8A0A"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3,2</w:t>
            </w:r>
          </w:p>
        </w:tc>
        <w:tc>
          <w:tcPr>
            <w:tcW w:w="336" w:type="pct"/>
            <w:shd w:val="clear" w:color="auto" w:fill="auto"/>
            <w:vAlign w:val="bottom"/>
            <w:hideMark/>
          </w:tcPr>
          <w:p w14:paraId="397B71E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2,4</w:t>
            </w:r>
          </w:p>
        </w:tc>
        <w:tc>
          <w:tcPr>
            <w:tcW w:w="375" w:type="pct"/>
            <w:shd w:val="clear" w:color="auto" w:fill="auto"/>
            <w:noWrap/>
            <w:vAlign w:val="bottom"/>
            <w:hideMark/>
          </w:tcPr>
          <w:p w14:paraId="4FCCB32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17,8</w:t>
            </w:r>
          </w:p>
        </w:tc>
        <w:tc>
          <w:tcPr>
            <w:tcW w:w="409" w:type="pct"/>
            <w:shd w:val="clear" w:color="auto" w:fill="auto"/>
            <w:vAlign w:val="bottom"/>
            <w:hideMark/>
          </w:tcPr>
          <w:p w14:paraId="7B02E1DF"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469 200 </w:t>
            </w:r>
          </w:p>
        </w:tc>
      </w:tr>
      <w:tr w:rsidR="005F400D" w:rsidRPr="002A06C3" w14:paraId="38E376FA" w14:textId="77777777" w:rsidTr="00EA7BDC">
        <w:trPr>
          <w:trHeight w:val="221"/>
        </w:trPr>
        <w:tc>
          <w:tcPr>
            <w:tcW w:w="1007" w:type="pct"/>
            <w:shd w:val="clear" w:color="auto" w:fill="auto"/>
            <w:vAlign w:val="bottom"/>
            <w:hideMark/>
          </w:tcPr>
          <w:p w14:paraId="70061C40"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Av dette:</w:t>
            </w:r>
          </w:p>
        </w:tc>
        <w:tc>
          <w:tcPr>
            <w:tcW w:w="328" w:type="pct"/>
            <w:shd w:val="clear" w:color="auto" w:fill="auto"/>
            <w:vAlign w:val="bottom"/>
            <w:hideMark/>
          </w:tcPr>
          <w:p w14:paraId="3576AC00"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4B1537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1DAEEEA"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70C712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35EDA5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8E9F86A"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2EBF40A"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60FE154C"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E83F395"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77244EFA" w14:textId="77777777" w:rsidR="005F400D" w:rsidRPr="002A06C3" w:rsidRDefault="005F400D" w:rsidP="008C4FE7">
            <w:pPr>
              <w:spacing w:after="0"/>
              <w:jc w:val="center"/>
              <w:rPr>
                <w:rFonts w:ascii="Times New Roman" w:hAnsi="Times New Roman"/>
                <w:color w:val="000000"/>
                <w:sz w:val="18"/>
                <w:szCs w:val="18"/>
              </w:rPr>
            </w:pPr>
          </w:p>
        </w:tc>
        <w:tc>
          <w:tcPr>
            <w:tcW w:w="336" w:type="pct"/>
            <w:shd w:val="clear" w:color="auto" w:fill="auto"/>
            <w:vAlign w:val="bottom"/>
            <w:hideMark/>
          </w:tcPr>
          <w:p w14:paraId="46F6C155"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0363C51B"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258D4D84" w14:textId="77777777" w:rsidR="005F400D" w:rsidRPr="002A06C3" w:rsidRDefault="005F400D" w:rsidP="008C4FE7">
            <w:pPr>
              <w:spacing w:after="0"/>
              <w:rPr>
                <w:rFonts w:ascii="Times New Roman" w:hAnsi="Times New Roman"/>
                <w:sz w:val="18"/>
                <w:szCs w:val="18"/>
              </w:rPr>
            </w:pPr>
          </w:p>
        </w:tc>
      </w:tr>
      <w:tr w:rsidR="005F400D" w:rsidRPr="002A06C3" w14:paraId="30028939" w14:textId="77777777" w:rsidTr="00EA7BDC">
        <w:trPr>
          <w:trHeight w:val="140"/>
        </w:trPr>
        <w:tc>
          <w:tcPr>
            <w:tcW w:w="1007" w:type="pct"/>
            <w:shd w:val="clear" w:color="auto" w:fill="auto"/>
            <w:vAlign w:val="bottom"/>
            <w:hideMark/>
          </w:tcPr>
          <w:p w14:paraId="09582D3D"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Fagutdanning</w:t>
            </w:r>
            <w:r w:rsidRPr="002A06C3">
              <w:rPr>
                <w:rFonts w:ascii="Times New Roman" w:hAnsi="Times New Roman"/>
                <w:sz w:val="18"/>
                <w:szCs w:val="18"/>
                <w:vertAlign w:val="superscript"/>
              </w:rPr>
              <w:t>6</w:t>
            </w:r>
          </w:p>
        </w:tc>
        <w:tc>
          <w:tcPr>
            <w:tcW w:w="328" w:type="pct"/>
            <w:shd w:val="clear" w:color="auto" w:fill="auto"/>
            <w:vAlign w:val="bottom"/>
            <w:hideMark/>
          </w:tcPr>
          <w:p w14:paraId="16CC3D87"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20</w:t>
            </w:r>
          </w:p>
        </w:tc>
        <w:tc>
          <w:tcPr>
            <w:tcW w:w="263" w:type="pct"/>
            <w:shd w:val="clear" w:color="auto" w:fill="auto"/>
            <w:vAlign w:val="bottom"/>
            <w:hideMark/>
          </w:tcPr>
          <w:p w14:paraId="346118A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4,8</w:t>
            </w:r>
          </w:p>
        </w:tc>
        <w:tc>
          <w:tcPr>
            <w:tcW w:w="263" w:type="pct"/>
            <w:shd w:val="clear" w:color="auto" w:fill="auto"/>
            <w:vAlign w:val="bottom"/>
            <w:hideMark/>
          </w:tcPr>
          <w:p w14:paraId="0BFB390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263" w:type="pct"/>
            <w:shd w:val="clear" w:color="auto" w:fill="auto"/>
            <w:vAlign w:val="bottom"/>
            <w:hideMark/>
          </w:tcPr>
          <w:p w14:paraId="3FC869A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7,1</w:t>
            </w:r>
          </w:p>
        </w:tc>
        <w:tc>
          <w:tcPr>
            <w:tcW w:w="263" w:type="pct"/>
            <w:shd w:val="clear" w:color="auto" w:fill="auto"/>
            <w:vAlign w:val="bottom"/>
            <w:hideMark/>
          </w:tcPr>
          <w:p w14:paraId="068A4C3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5,5</w:t>
            </w:r>
          </w:p>
        </w:tc>
        <w:tc>
          <w:tcPr>
            <w:tcW w:w="263" w:type="pct"/>
            <w:shd w:val="clear" w:color="auto" w:fill="auto"/>
            <w:vAlign w:val="bottom"/>
            <w:hideMark/>
          </w:tcPr>
          <w:p w14:paraId="029BA3D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2,2</w:t>
            </w:r>
          </w:p>
        </w:tc>
        <w:tc>
          <w:tcPr>
            <w:tcW w:w="263" w:type="pct"/>
            <w:shd w:val="clear" w:color="auto" w:fill="auto"/>
            <w:vAlign w:val="bottom"/>
            <w:hideMark/>
          </w:tcPr>
          <w:p w14:paraId="27E852B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309" w:type="pct"/>
            <w:shd w:val="clear" w:color="auto" w:fill="auto"/>
            <w:vAlign w:val="bottom"/>
            <w:hideMark/>
          </w:tcPr>
          <w:p w14:paraId="16BAA68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328" w:type="pct"/>
            <w:shd w:val="clear" w:color="auto" w:fill="auto"/>
            <w:vAlign w:val="bottom"/>
            <w:hideMark/>
          </w:tcPr>
          <w:p w14:paraId="11945F2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328" w:type="pct"/>
            <w:shd w:val="clear" w:color="auto" w:fill="auto"/>
            <w:vAlign w:val="bottom"/>
            <w:hideMark/>
          </w:tcPr>
          <w:p w14:paraId="0413B656"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3,3</w:t>
            </w:r>
          </w:p>
        </w:tc>
        <w:tc>
          <w:tcPr>
            <w:tcW w:w="336" w:type="pct"/>
            <w:shd w:val="clear" w:color="auto" w:fill="auto"/>
            <w:vAlign w:val="bottom"/>
            <w:hideMark/>
          </w:tcPr>
          <w:p w14:paraId="0346C03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375" w:type="pct"/>
            <w:shd w:val="clear" w:color="auto" w:fill="auto"/>
            <w:noWrap/>
            <w:vAlign w:val="bottom"/>
            <w:hideMark/>
          </w:tcPr>
          <w:p w14:paraId="4C4794B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20,2</w:t>
            </w:r>
          </w:p>
        </w:tc>
        <w:tc>
          <w:tcPr>
            <w:tcW w:w="409" w:type="pct"/>
            <w:shd w:val="clear" w:color="auto" w:fill="auto"/>
            <w:vAlign w:val="bottom"/>
            <w:hideMark/>
          </w:tcPr>
          <w:p w14:paraId="7121929D"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476 400 </w:t>
            </w:r>
          </w:p>
        </w:tc>
      </w:tr>
      <w:tr w:rsidR="005F400D" w:rsidRPr="002A06C3" w14:paraId="7DAF38A2" w14:textId="77777777" w:rsidTr="00EA7BDC">
        <w:trPr>
          <w:trHeight w:val="510"/>
        </w:trPr>
        <w:tc>
          <w:tcPr>
            <w:tcW w:w="1007" w:type="pct"/>
            <w:shd w:val="clear" w:color="auto" w:fill="auto"/>
            <w:vAlign w:val="bottom"/>
            <w:hideMark/>
          </w:tcPr>
          <w:p w14:paraId="6C5710AB"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til og med 4 år</w:t>
            </w:r>
          </w:p>
        </w:tc>
        <w:tc>
          <w:tcPr>
            <w:tcW w:w="328" w:type="pct"/>
            <w:shd w:val="clear" w:color="auto" w:fill="auto"/>
            <w:vAlign w:val="bottom"/>
            <w:hideMark/>
          </w:tcPr>
          <w:p w14:paraId="63275C77"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15</w:t>
            </w:r>
          </w:p>
        </w:tc>
        <w:tc>
          <w:tcPr>
            <w:tcW w:w="263" w:type="pct"/>
            <w:shd w:val="clear" w:color="auto" w:fill="auto"/>
            <w:vAlign w:val="bottom"/>
            <w:hideMark/>
          </w:tcPr>
          <w:p w14:paraId="7813343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263" w:type="pct"/>
            <w:shd w:val="clear" w:color="auto" w:fill="auto"/>
            <w:vAlign w:val="bottom"/>
            <w:hideMark/>
          </w:tcPr>
          <w:p w14:paraId="13C827C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6,8</w:t>
            </w:r>
          </w:p>
        </w:tc>
        <w:tc>
          <w:tcPr>
            <w:tcW w:w="263" w:type="pct"/>
            <w:shd w:val="clear" w:color="auto" w:fill="auto"/>
            <w:vAlign w:val="bottom"/>
            <w:hideMark/>
          </w:tcPr>
          <w:p w14:paraId="00AA136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263" w:type="pct"/>
            <w:shd w:val="clear" w:color="auto" w:fill="auto"/>
            <w:vAlign w:val="bottom"/>
            <w:hideMark/>
          </w:tcPr>
          <w:p w14:paraId="17B7D6D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263" w:type="pct"/>
            <w:shd w:val="clear" w:color="auto" w:fill="auto"/>
            <w:vAlign w:val="bottom"/>
            <w:hideMark/>
          </w:tcPr>
          <w:p w14:paraId="02B9262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2,4</w:t>
            </w:r>
          </w:p>
        </w:tc>
        <w:tc>
          <w:tcPr>
            <w:tcW w:w="263" w:type="pct"/>
            <w:shd w:val="clear" w:color="auto" w:fill="auto"/>
            <w:vAlign w:val="bottom"/>
            <w:hideMark/>
          </w:tcPr>
          <w:p w14:paraId="13F9B92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309" w:type="pct"/>
            <w:shd w:val="clear" w:color="auto" w:fill="auto"/>
            <w:vAlign w:val="bottom"/>
            <w:hideMark/>
          </w:tcPr>
          <w:p w14:paraId="6E406BC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2,2</w:t>
            </w:r>
          </w:p>
        </w:tc>
        <w:tc>
          <w:tcPr>
            <w:tcW w:w="328" w:type="pct"/>
            <w:shd w:val="clear" w:color="auto" w:fill="auto"/>
            <w:vAlign w:val="bottom"/>
            <w:hideMark/>
          </w:tcPr>
          <w:p w14:paraId="3874051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328" w:type="pct"/>
            <w:shd w:val="clear" w:color="auto" w:fill="auto"/>
            <w:vAlign w:val="bottom"/>
            <w:hideMark/>
          </w:tcPr>
          <w:p w14:paraId="55F3A6A8"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3,2</w:t>
            </w:r>
          </w:p>
        </w:tc>
        <w:tc>
          <w:tcPr>
            <w:tcW w:w="336" w:type="pct"/>
            <w:shd w:val="clear" w:color="auto" w:fill="auto"/>
            <w:vAlign w:val="bottom"/>
            <w:hideMark/>
          </w:tcPr>
          <w:p w14:paraId="7F4D656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-0,2</w:t>
            </w:r>
          </w:p>
        </w:tc>
        <w:tc>
          <w:tcPr>
            <w:tcW w:w="375" w:type="pct"/>
            <w:shd w:val="clear" w:color="auto" w:fill="auto"/>
            <w:noWrap/>
            <w:vAlign w:val="bottom"/>
            <w:hideMark/>
          </w:tcPr>
          <w:p w14:paraId="5739041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14,7</w:t>
            </w:r>
          </w:p>
        </w:tc>
        <w:tc>
          <w:tcPr>
            <w:tcW w:w="409" w:type="pct"/>
            <w:shd w:val="clear" w:color="auto" w:fill="auto"/>
            <w:vAlign w:val="bottom"/>
            <w:hideMark/>
          </w:tcPr>
          <w:p w14:paraId="415F3CE0"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583 200 </w:t>
            </w:r>
          </w:p>
        </w:tc>
      </w:tr>
      <w:tr w:rsidR="005F400D" w:rsidRPr="002A06C3" w14:paraId="03E4C7DE" w14:textId="77777777" w:rsidTr="00EA7BDC">
        <w:trPr>
          <w:trHeight w:val="510"/>
        </w:trPr>
        <w:tc>
          <w:tcPr>
            <w:tcW w:w="1007" w:type="pct"/>
            <w:shd w:val="clear" w:color="auto" w:fill="auto"/>
            <w:vAlign w:val="bottom"/>
            <w:hideMark/>
          </w:tcPr>
          <w:p w14:paraId="461CA83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lengre enn 4 år</w:t>
            </w:r>
          </w:p>
        </w:tc>
        <w:tc>
          <w:tcPr>
            <w:tcW w:w="328" w:type="pct"/>
            <w:shd w:val="clear" w:color="auto" w:fill="auto"/>
            <w:vAlign w:val="bottom"/>
            <w:hideMark/>
          </w:tcPr>
          <w:p w14:paraId="546D5E0E"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3</w:t>
            </w:r>
          </w:p>
        </w:tc>
        <w:tc>
          <w:tcPr>
            <w:tcW w:w="263" w:type="pct"/>
            <w:shd w:val="clear" w:color="auto" w:fill="auto"/>
            <w:vAlign w:val="bottom"/>
            <w:hideMark/>
          </w:tcPr>
          <w:p w14:paraId="02BE1B6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263" w:type="pct"/>
            <w:shd w:val="clear" w:color="auto" w:fill="auto"/>
            <w:vAlign w:val="bottom"/>
            <w:hideMark/>
          </w:tcPr>
          <w:p w14:paraId="522DE98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6,8</w:t>
            </w:r>
          </w:p>
        </w:tc>
        <w:tc>
          <w:tcPr>
            <w:tcW w:w="263" w:type="pct"/>
            <w:shd w:val="clear" w:color="auto" w:fill="auto"/>
            <w:vAlign w:val="bottom"/>
            <w:hideMark/>
          </w:tcPr>
          <w:p w14:paraId="4663BE5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7,5</w:t>
            </w:r>
          </w:p>
        </w:tc>
        <w:tc>
          <w:tcPr>
            <w:tcW w:w="263" w:type="pct"/>
            <w:shd w:val="clear" w:color="auto" w:fill="auto"/>
            <w:vAlign w:val="bottom"/>
            <w:hideMark/>
          </w:tcPr>
          <w:p w14:paraId="7B8A4DE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4,7</w:t>
            </w:r>
          </w:p>
        </w:tc>
        <w:tc>
          <w:tcPr>
            <w:tcW w:w="263" w:type="pct"/>
            <w:shd w:val="clear" w:color="auto" w:fill="auto"/>
            <w:vAlign w:val="bottom"/>
            <w:hideMark/>
          </w:tcPr>
          <w:p w14:paraId="03DC3EA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-1,1</w:t>
            </w:r>
          </w:p>
        </w:tc>
        <w:tc>
          <w:tcPr>
            <w:tcW w:w="263" w:type="pct"/>
            <w:shd w:val="clear" w:color="auto" w:fill="auto"/>
            <w:vAlign w:val="bottom"/>
            <w:hideMark/>
          </w:tcPr>
          <w:p w14:paraId="335CB0D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309" w:type="pct"/>
            <w:shd w:val="clear" w:color="auto" w:fill="auto"/>
            <w:vAlign w:val="bottom"/>
            <w:hideMark/>
          </w:tcPr>
          <w:p w14:paraId="05F8DA9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5,9</w:t>
            </w:r>
          </w:p>
        </w:tc>
        <w:tc>
          <w:tcPr>
            <w:tcW w:w="328" w:type="pct"/>
            <w:shd w:val="clear" w:color="auto" w:fill="auto"/>
            <w:vAlign w:val="bottom"/>
            <w:hideMark/>
          </w:tcPr>
          <w:p w14:paraId="36E7567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4,6</w:t>
            </w:r>
          </w:p>
        </w:tc>
        <w:tc>
          <w:tcPr>
            <w:tcW w:w="328" w:type="pct"/>
            <w:shd w:val="clear" w:color="auto" w:fill="auto"/>
            <w:vAlign w:val="bottom"/>
            <w:hideMark/>
          </w:tcPr>
          <w:p w14:paraId="63ED9548"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1,4</w:t>
            </w:r>
          </w:p>
        </w:tc>
        <w:tc>
          <w:tcPr>
            <w:tcW w:w="336" w:type="pct"/>
            <w:shd w:val="clear" w:color="auto" w:fill="auto"/>
            <w:vAlign w:val="bottom"/>
            <w:hideMark/>
          </w:tcPr>
          <w:p w14:paraId="2C84DAE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0,7</w:t>
            </w:r>
          </w:p>
        </w:tc>
        <w:tc>
          <w:tcPr>
            <w:tcW w:w="375" w:type="pct"/>
            <w:shd w:val="clear" w:color="auto" w:fill="auto"/>
            <w:noWrap/>
            <w:vAlign w:val="bottom"/>
            <w:hideMark/>
          </w:tcPr>
          <w:p w14:paraId="7FCD968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17,7</w:t>
            </w:r>
          </w:p>
        </w:tc>
        <w:tc>
          <w:tcPr>
            <w:tcW w:w="409" w:type="pct"/>
            <w:shd w:val="clear" w:color="auto" w:fill="auto"/>
            <w:vAlign w:val="bottom"/>
            <w:hideMark/>
          </w:tcPr>
          <w:p w14:paraId="0D15442A"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697 200 </w:t>
            </w:r>
          </w:p>
        </w:tc>
      </w:tr>
      <w:tr w:rsidR="005F400D" w:rsidRPr="002A06C3" w14:paraId="4C7B8AA5" w14:textId="77777777" w:rsidTr="00EA7BDC">
        <w:trPr>
          <w:trHeight w:val="255"/>
        </w:trPr>
        <w:tc>
          <w:tcPr>
            <w:tcW w:w="1007" w:type="pct"/>
            <w:shd w:val="clear" w:color="auto" w:fill="auto"/>
            <w:vAlign w:val="bottom"/>
            <w:hideMark/>
          </w:tcPr>
          <w:p w14:paraId="7AD4437F"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Uoppgitt eller ingen fullført utdanning</w:t>
            </w:r>
          </w:p>
        </w:tc>
        <w:tc>
          <w:tcPr>
            <w:tcW w:w="328" w:type="pct"/>
            <w:shd w:val="clear" w:color="auto" w:fill="auto"/>
            <w:vAlign w:val="bottom"/>
            <w:hideMark/>
          </w:tcPr>
          <w:p w14:paraId="3C2E53A7"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4</w:t>
            </w:r>
          </w:p>
        </w:tc>
        <w:tc>
          <w:tcPr>
            <w:tcW w:w="263" w:type="pct"/>
            <w:shd w:val="clear" w:color="auto" w:fill="auto"/>
            <w:vAlign w:val="bottom"/>
            <w:hideMark/>
          </w:tcPr>
          <w:p w14:paraId="584BF28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4A3FC1B"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20B9A8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235387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EC30E6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C0B9C71"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747D88F8"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EFC7DD8"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77482BE" w14:textId="77777777" w:rsidR="005F400D" w:rsidRPr="002A06C3" w:rsidRDefault="005F400D" w:rsidP="008C4FE7">
            <w:pPr>
              <w:spacing w:after="0"/>
              <w:jc w:val="center"/>
              <w:rPr>
                <w:rFonts w:ascii="Times New Roman" w:hAnsi="Times New Roman"/>
                <w:color w:val="000000"/>
                <w:sz w:val="18"/>
                <w:szCs w:val="18"/>
              </w:rPr>
            </w:pPr>
          </w:p>
        </w:tc>
        <w:tc>
          <w:tcPr>
            <w:tcW w:w="336" w:type="pct"/>
            <w:shd w:val="clear" w:color="auto" w:fill="auto"/>
            <w:vAlign w:val="bottom"/>
            <w:hideMark/>
          </w:tcPr>
          <w:p w14:paraId="1BC85A23"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7036C382"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7FF74769" w14:textId="77777777" w:rsidR="005F400D" w:rsidRPr="002A06C3" w:rsidRDefault="005F400D" w:rsidP="008C4FE7">
            <w:pPr>
              <w:spacing w:after="0"/>
              <w:jc w:val="center"/>
              <w:rPr>
                <w:rFonts w:ascii="Times New Roman" w:hAnsi="Times New Roman"/>
                <w:sz w:val="18"/>
                <w:szCs w:val="18"/>
              </w:rPr>
            </w:pPr>
          </w:p>
        </w:tc>
      </w:tr>
      <w:tr w:rsidR="005F400D" w:rsidRPr="002A06C3" w14:paraId="566D9A4B" w14:textId="77777777" w:rsidTr="00EA7BDC">
        <w:trPr>
          <w:trHeight w:val="255"/>
        </w:trPr>
        <w:tc>
          <w:tcPr>
            <w:tcW w:w="1007" w:type="pct"/>
            <w:shd w:val="clear" w:color="auto" w:fill="auto"/>
            <w:vAlign w:val="bottom"/>
            <w:hideMark/>
          </w:tcPr>
          <w:p w14:paraId="3A82AD64" w14:textId="77777777" w:rsidR="005F400D" w:rsidRPr="002A06C3" w:rsidRDefault="005F400D" w:rsidP="008C4FE7">
            <w:pPr>
              <w:spacing w:after="0"/>
              <w:rPr>
                <w:rFonts w:ascii="Times New Roman" w:hAnsi="Times New Roman"/>
                <w:sz w:val="18"/>
                <w:szCs w:val="18"/>
              </w:rPr>
            </w:pPr>
          </w:p>
        </w:tc>
        <w:tc>
          <w:tcPr>
            <w:tcW w:w="328" w:type="pct"/>
            <w:shd w:val="clear" w:color="auto" w:fill="auto"/>
            <w:vAlign w:val="bottom"/>
            <w:hideMark/>
          </w:tcPr>
          <w:p w14:paraId="424299D0"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0139B2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B33F1CC"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2CFF5A6"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F0FD9A4"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E1D37A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1EBE72B"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221021A2"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5FE7027D"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3C576FEB" w14:textId="77777777" w:rsidR="005F400D" w:rsidRPr="002A06C3" w:rsidRDefault="005F400D" w:rsidP="008C4FE7">
            <w:pPr>
              <w:spacing w:after="0"/>
              <w:jc w:val="center"/>
              <w:rPr>
                <w:rFonts w:ascii="Times New Roman" w:hAnsi="Times New Roman"/>
                <w:color w:val="000000"/>
                <w:sz w:val="18"/>
                <w:szCs w:val="18"/>
              </w:rPr>
            </w:pPr>
          </w:p>
        </w:tc>
        <w:tc>
          <w:tcPr>
            <w:tcW w:w="336" w:type="pct"/>
            <w:shd w:val="clear" w:color="auto" w:fill="auto"/>
            <w:vAlign w:val="bottom"/>
            <w:hideMark/>
          </w:tcPr>
          <w:p w14:paraId="016D638A"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5C905E74"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29846042" w14:textId="77777777" w:rsidR="005F400D" w:rsidRPr="002A06C3" w:rsidRDefault="005F400D" w:rsidP="008C4FE7">
            <w:pPr>
              <w:spacing w:after="0"/>
              <w:jc w:val="center"/>
              <w:rPr>
                <w:rFonts w:ascii="Times New Roman" w:hAnsi="Times New Roman"/>
                <w:sz w:val="18"/>
                <w:szCs w:val="18"/>
              </w:rPr>
            </w:pPr>
          </w:p>
        </w:tc>
      </w:tr>
      <w:tr w:rsidR="005F400D" w:rsidRPr="002A06C3" w14:paraId="48A794F2" w14:textId="77777777" w:rsidTr="00EA7BDC">
        <w:trPr>
          <w:trHeight w:val="315"/>
        </w:trPr>
        <w:tc>
          <w:tcPr>
            <w:tcW w:w="1007" w:type="pct"/>
            <w:shd w:val="clear" w:color="auto" w:fill="auto"/>
            <w:vAlign w:val="bottom"/>
            <w:hideMark/>
          </w:tcPr>
          <w:p w14:paraId="45C512AD" w14:textId="77777777" w:rsidR="005F400D" w:rsidRPr="002A06C3" w:rsidRDefault="005F400D" w:rsidP="008C4FE7">
            <w:pPr>
              <w:spacing w:after="0"/>
              <w:rPr>
                <w:rFonts w:ascii="Times New Roman" w:hAnsi="Times New Roman"/>
                <w:b/>
                <w:bCs/>
                <w:sz w:val="18"/>
                <w:szCs w:val="18"/>
              </w:rPr>
            </w:pPr>
            <w:r w:rsidRPr="002A06C3">
              <w:rPr>
                <w:rFonts w:ascii="Times New Roman" w:hAnsi="Times New Roman"/>
                <w:b/>
                <w:bCs/>
                <w:sz w:val="18"/>
                <w:szCs w:val="18"/>
              </w:rPr>
              <w:t>Finanstjenester i alt</w:t>
            </w:r>
            <w:r w:rsidRPr="002A06C3">
              <w:rPr>
                <w:rFonts w:ascii="Times New Roman" w:hAnsi="Times New Roman"/>
                <w:b/>
                <w:bCs/>
                <w:sz w:val="18"/>
                <w:szCs w:val="18"/>
                <w:vertAlign w:val="superscript"/>
              </w:rPr>
              <w:t>7,8</w:t>
            </w:r>
          </w:p>
        </w:tc>
        <w:tc>
          <w:tcPr>
            <w:tcW w:w="328" w:type="pct"/>
            <w:shd w:val="clear" w:color="auto" w:fill="auto"/>
            <w:vAlign w:val="bottom"/>
            <w:hideMark/>
          </w:tcPr>
          <w:p w14:paraId="346A521D"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100</w:t>
            </w:r>
          </w:p>
        </w:tc>
        <w:tc>
          <w:tcPr>
            <w:tcW w:w="263" w:type="pct"/>
            <w:shd w:val="clear" w:color="auto" w:fill="auto"/>
            <w:vAlign w:val="bottom"/>
            <w:hideMark/>
          </w:tcPr>
          <w:p w14:paraId="6DDCDF2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8,4</w:t>
            </w:r>
          </w:p>
        </w:tc>
        <w:tc>
          <w:tcPr>
            <w:tcW w:w="263" w:type="pct"/>
            <w:shd w:val="clear" w:color="auto" w:fill="auto"/>
            <w:vAlign w:val="bottom"/>
            <w:hideMark/>
          </w:tcPr>
          <w:p w14:paraId="4D69B2F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7,2</w:t>
            </w:r>
          </w:p>
        </w:tc>
        <w:tc>
          <w:tcPr>
            <w:tcW w:w="263" w:type="pct"/>
            <w:shd w:val="clear" w:color="auto" w:fill="auto"/>
            <w:vAlign w:val="bottom"/>
            <w:hideMark/>
          </w:tcPr>
          <w:p w14:paraId="6B0442E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6,2</w:t>
            </w:r>
          </w:p>
        </w:tc>
        <w:tc>
          <w:tcPr>
            <w:tcW w:w="263" w:type="pct"/>
            <w:shd w:val="clear" w:color="auto" w:fill="auto"/>
            <w:vAlign w:val="bottom"/>
            <w:hideMark/>
          </w:tcPr>
          <w:p w14:paraId="1D86FA6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10,8</w:t>
            </w:r>
          </w:p>
        </w:tc>
        <w:tc>
          <w:tcPr>
            <w:tcW w:w="263" w:type="pct"/>
            <w:shd w:val="clear" w:color="auto" w:fill="auto"/>
            <w:vAlign w:val="bottom"/>
            <w:hideMark/>
          </w:tcPr>
          <w:p w14:paraId="5E40DF5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-3,8</w:t>
            </w:r>
          </w:p>
        </w:tc>
        <w:tc>
          <w:tcPr>
            <w:tcW w:w="263" w:type="pct"/>
            <w:shd w:val="clear" w:color="auto" w:fill="auto"/>
            <w:vAlign w:val="bottom"/>
            <w:hideMark/>
          </w:tcPr>
          <w:p w14:paraId="79C3EC1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6,1</w:t>
            </w:r>
          </w:p>
        </w:tc>
        <w:tc>
          <w:tcPr>
            <w:tcW w:w="309" w:type="pct"/>
            <w:shd w:val="clear" w:color="auto" w:fill="auto"/>
            <w:vAlign w:val="bottom"/>
            <w:hideMark/>
          </w:tcPr>
          <w:p w14:paraId="6C45C52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7,1</w:t>
            </w:r>
          </w:p>
        </w:tc>
        <w:tc>
          <w:tcPr>
            <w:tcW w:w="328" w:type="pct"/>
            <w:shd w:val="clear" w:color="auto" w:fill="auto"/>
            <w:vAlign w:val="bottom"/>
            <w:hideMark/>
          </w:tcPr>
          <w:p w14:paraId="4BA9B1C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0,4</w:t>
            </w:r>
          </w:p>
        </w:tc>
        <w:tc>
          <w:tcPr>
            <w:tcW w:w="328" w:type="pct"/>
            <w:shd w:val="clear" w:color="auto" w:fill="auto"/>
            <w:vAlign w:val="bottom"/>
            <w:hideMark/>
          </w:tcPr>
          <w:p w14:paraId="4814F654"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4,6</w:t>
            </w:r>
          </w:p>
        </w:tc>
        <w:tc>
          <w:tcPr>
            <w:tcW w:w="336" w:type="pct"/>
            <w:shd w:val="clear" w:color="auto" w:fill="auto"/>
            <w:vAlign w:val="bottom"/>
            <w:hideMark/>
          </w:tcPr>
          <w:p w14:paraId="673ADDB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375" w:type="pct"/>
            <w:shd w:val="clear" w:color="auto" w:fill="auto"/>
            <w:noWrap/>
            <w:vAlign w:val="bottom"/>
            <w:hideMark/>
          </w:tcPr>
          <w:p w14:paraId="5858903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24,3</w:t>
            </w:r>
          </w:p>
        </w:tc>
        <w:tc>
          <w:tcPr>
            <w:tcW w:w="409" w:type="pct"/>
            <w:shd w:val="clear" w:color="auto" w:fill="auto"/>
            <w:vAlign w:val="bottom"/>
            <w:hideMark/>
          </w:tcPr>
          <w:p w14:paraId="58A18CE8"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711 600 </w:t>
            </w:r>
          </w:p>
        </w:tc>
      </w:tr>
      <w:tr w:rsidR="005F400D" w:rsidRPr="002A06C3" w14:paraId="05708BAC" w14:textId="77777777" w:rsidTr="00EA7BDC">
        <w:trPr>
          <w:trHeight w:val="255"/>
        </w:trPr>
        <w:tc>
          <w:tcPr>
            <w:tcW w:w="1007" w:type="pct"/>
            <w:shd w:val="clear" w:color="auto" w:fill="auto"/>
            <w:vAlign w:val="bottom"/>
            <w:hideMark/>
          </w:tcPr>
          <w:p w14:paraId="6009DAA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grunnskolenivå</w:t>
            </w:r>
          </w:p>
        </w:tc>
        <w:tc>
          <w:tcPr>
            <w:tcW w:w="328" w:type="pct"/>
            <w:shd w:val="clear" w:color="auto" w:fill="auto"/>
            <w:vAlign w:val="bottom"/>
            <w:hideMark/>
          </w:tcPr>
          <w:p w14:paraId="75156711"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5</w:t>
            </w:r>
          </w:p>
        </w:tc>
        <w:tc>
          <w:tcPr>
            <w:tcW w:w="263" w:type="pct"/>
            <w:shd w:val="clear" w:color="auto" w:fill="auto"/>
            <w:vAlign w:val="bottom"/>
            <w:hideMark/>
          </w:tcPr>
          <w:p w14:paraId="511FFEC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263" w:type="pct"/>
            <w:shd w:val="clear" w:color="auto" w:fill="auto"/>
            <w:vAlign w:val="bottom"/>
            <w:hideMark/>
          </w:tcPr>
          <w:p w14:paraId="537EA94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263" w:type="pct"/>
            <w:shd w:val="clear" w:color="auto" w:fill="auto"/>
            <w:vAlign w:val="bottom"/>
            <w:hideMark/>
          </w:tcPr>
          <w:p w14:paraId="3D3017F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6,0</w:t>
            </w:r>
          </w:p>
        </w:tc>
        <w:tc>
          <w:tcPr>
            <w:tcW w:w="263" w:type="pct"/>
            <w:shd w:val="clear" w:color="auto" w:fill="auto"/>
            <w:vAlign w:val="bottom"/>
            <w:hideMark/>
          </w:tcPr>
          <w:p w14:paraId="7913B05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7,5</w:t>
            </w:r>
          </w:p>
        </w:tc>
        <w:tc>
          <w:tcPr>
            <w:tcW w:w="263" w:type="pct"/>
            <w:shd w:val="clear" w:color="auto" w:fill="auto"/>
            <w:vAlign w:val="bottom"/>
            <w:hideMark/>
          </w:tcPr>
          <w:p w14:paraId="036135D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263" w:type="pct"/>
            <w:shd w:val="clear" w:color="auto" w:fill="auto"/>
            <w:vAlign w:val="bottom"/>
            <w:hideMark/>
          </w:tcPr>
          <w:p w14:paraId="435AC44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6,4</w:t>
            </w:r>
          </w:p>
        </w:tc>
        <w:tc>
          <w:tcPr>
            <w:tcW w:w="309" w:type="pct"/>
            <w:shd w:val="clear" w:color="auto" w:fill="auto"/>
            <w:vAlign w:val="bottom"/>
            <w:hideMark/>
          </w:tcPr>
          <w:p w14:paraId="0C28D5D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w:t>
            </w:r>
          </w:p>
        </w:tc>
        <w:tc>
          <w:tcPr>
            <w:tcW w:w="328" w:type="pct"/>
            <w:shd w:val="clear" w:color="auto" w:fill="auto"/>
            <w:vAlign w:val="bottom"/>
            <w:hideMark/>
          </w:tcPr>
          <w:p w14:paraId="159FC71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328" w:type="pct"/>
            <w:shd w:val="clear" w:color="auto" w:fill="auto"/>
            <w:vAlign w:val="bottom"/>
            <w:hideMark/>
          </w:tcPr>
          <w:p w14:paraId="2DA46843"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6,4</w:t>
            </w:r>
          </w:p>
        </w:tc>
        <w:tc>
          <w:tcPr>
            <w:tcW w:w="336" w:type="pct"/>
            <w:shd w:val="clear" w:color="auto" w:fill="auto"/>
            <w:vAlign w:val="bottom"/>
            <w:hideMark/>
          </w:tcPr>
          <w:p w14:paraId="174095B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0,2</w:t>
            </w:r>
          </w:p>
        </w:tc>
        <w:tc>
          <w:tcPr>
            <w:tcW w:w="375" w:type="pct"/>
            <w:shd w:val="clear" w:color="auto" w:fill="auto"/>
            <w:noWrap/>
            <w:vAlign w:val="bottom"/>
            <w:hideMark/>
          </w:tcPr>
          <w:p w14:paraId="23BBD92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20,1</w:t>
            </w:r>
          </w:p>
        </w:tc>
        <w:tc>
          <w:tcPr>
            <w:tcW w:w="409" w:type="pct"/>
            <w:shd w:val="clear" w:color="auto" w:fill="auto"/>
            <w:vAlign w:val="bottom"/>
            <w:hideMark/>
          </w:tcPr>
          <w:p w14:paraId="78879BCA"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517 200 </w:t>
            </w:r>
          </w:p>
        </w:tc>
      </w:tr>
      <w:tr w:rsidR="005F400D" w:rsidRPr="002A06C3" w14:paraId="26B17042" w14:textId="77777777" w:rsidTr="00EA7BDC">
        <w:trPr>
          <w:trHeight w:val="510"/>
        </w:trPr>
        <w:tc>
          <w:tcPr>
            <w:tcW w:w="1007" w:type="pct"/>
            <w:shd w:val="clear" w:color="auto" w:fill="auto"/>
            <w:vAlign w:val="bottom"/>
            <w:hideMark/>
          </w:tcPr>
          <w:p w14:paraId="49AAFF8E"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videregående skolenivå</w:t>
            </w:r>
          </w:p>
        </w:tc>
        <w:tc>
          <w:tcPr>
            <w:tcW w:w="328" w:type="pct"/>
            <w:shd w:val="clear" w:color="auto" w:fill="auto"/>
            <w:vAlign w:val="bottom"/>
            <w:hideMark/>
          </w:tcPr>
          <w:p w14:paraId="401ABBA9"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37</w:t>
            </w:r>
          </w:p>
        </w:tc>
        <w:tc>
          <w:tcPr>
            <w:tcW w:w="263" w:type="pct"/>
            <w:shd w:val="clear" w:color="auto" w:fill="auto"/>
            <w:vAlign w:val="bottom"/>
            <w:hideMark/>
          </w:tcPr>
          <w:p w14:paraId="5C9E0A6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6,5</w:t>
            </w:r>
          </w:p>
        </w:tc>
        <w:tc>
          <w:tcPr>
            <w:tcW w:w="263" w:type="pct"/>
            <w:shd w:val="clear" w:color="auto" w:fill="auto"/>
            <w:vAlign w:val="bottom"/>
            <w:hideMark/>
          </w:tcPr>
          <w:p w14:paraId="3601DA4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5,7</w:t>
            </w:r>
          </w:p>
        </w:tc>
        <w:tc>
          <w:tcPr>
            <w:tcW w:w="263" w:type="pct"/>
            <w:shd w:val="clear" w:color="auto" w:fill="auto"/>
            <w:vAlign w:val="bottom"/>
            <w:hideMark/>
          </w:tcPr>
          <w:p w14:paraId="001E920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5,5</w:t>
            </w:r>
          </w:p>
        </w:tc>
        <w:tc>
          <w:tcPr>
            <w:tcW w:w="263" w:type="pct"/>
            <w:shd w:val="clear" w:color="auto" w:fill="auto"/>
            <w:vAlign w:val="bottom"/>
            <w:hideMark/>
          </w:tcPr>
          <w:p w14:paraId="2FD4188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7,7</w:t>
            </w:r>
          </w:p>
        </w:tc>
        <w:tc>
          <w:tcPr>
            <w:tcW w:w="263" w:type="pct"/>
            <w:shd w:val="clear" w:color="auto" w:fill="auto"/>
            <w:vAlign w:val="bottom"/>
            <w:hideMark/>
          </w:tcPr>
          <w:p w14:paraId="76BD45D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-1,5</w:t>
            </w:r>
          </w:p>
        </w:tc>
        <w:tc>
          <w:tcPr>
            <w:tcW w:w="263" w:type="pct"/>
            <w:shd w:val="clear" w:color="auto" w:fill="auto"/>
            <w:vAlign w:val="bottom"/>
            <w:hideMark/>
          </w:tcPr>
          <w:p w14:paraId="562E033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5,5</w:t>
            </w:r>
          </w:p>
        </w:tc>
        <w:tc>
          <w:tcPr>
            <w:tcW w:w="309" w:type="pct"/>
            <w:shd w:val="clear" w:color="auto" w:fill="auto"/>
            <w:vAlign w:val="bottom"/>
            <w:hideMark/>
          </w:tcPr>
          <w:p w14:paraId="3E3DCC8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5,5</w:t>
            </w:r>
          </w:p>
        </w:tc>
        <w:tc>
          <w:tcPr>
            <w:tcW w:w="328" w:type="pct"/>
            <w:shd w:val="clear" w:color="auto" w:fill="auto"/>
            <w:vAlign w:val="bottom"/>
            <w:hideMark/>
          </w:tcPr>
          <w:p w14:paraId="63DBA9A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1,8</w:t>
            </w:r>
          </w:p>
        </w:tc>
        <w:tc>
          <w:tcPr>
            <w:tcW w:w="328" w:type="pct"/>
            <w:shd w:val="clear" w:color="auto" w:fill="auto"/>
            <w:vAlign w:val="bottom"/>
            <w:hideMark/>
          </w:tcPr>
          <w:p w14:paraId="7D07A934"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4,9</w:t>
            </w:r>
          </w:p>
        </w:tc>
        <w:tc>
          <w:tcPr>
            <w:tcW w:w="336" w:type="pct"/>
            <w:shd w:val="clear" w:color="auto" w:fill="auto"/>
            <w:vAlign w:val="bottom"/>
            <w:hideMark/>
          </w:tcPr>
          <w:p w14:paraId="29F32BA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3,8</w:t>
            </w:r>
          </w:p>
        </w:tc>
        <w:tc>
          <w:tcPr>
            <w:tcW w:w="375" w:type="pct"/>
            <w:shd w:val="clear" w:color="auto" w:fill="auto"/>
            <w:noWrap/>
            <w:vAlign w:val="bottom"/>
            <w:hideMark/>
          </w:tcPr>
          <w:p w14:paraId="70DF420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23,4</w:t>
            </w:r>
          </w:p>
        </w:tc>
        <w:tc>
          <w:tcPr>
            <w:tcW w:w="409" w:type="pct"/>
            <w:shd w:val="clear" w:color="auto" w:fill="auto"/>
            <w:vAlign w:val="bottom"/>
            <w:hideMark/>
          </w:tcPr>
          <w:p w14:paraId="3FF4A02B"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589 200 </w:t>
            </w:r>
          </w:p>
        </w:tc>
      </w:tr>
      <w:tr w:rsidR="005F400D" w:rsidRPr="002A06C3" w14:paraId="342941DA" w14:textId="77777777" w:rsidTr="00EA7BDC">
        <w:trPr>
          <w:trHeight w:val="189"/>
        </w:trPr>
        <w:tc>
          <w:tcPr>
            <w:tcW w:w="1007" w:type="pct"/>
            <w:shd w:val="clear" w:color="auto" w:fill="auto"/>
            <w:vAlign w:val="bottom"/>
            <w:hideMark/>
          </w:tcPr>
          <w:p w14:paraId="002C5744"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Av dette:</w:t>
            </w:r>
          </w:p>
        </w:tc>
        <w:tc>
          <w:tcPr>
            <w:tcW w:w="328" w:type="pct"/>
            <w:shd w:val="clear" w:color="auto" w:fill="auto"/>
            <w:vAlign w:val="bottom"/>
            <w:hideMark/>
          </w:tcPr>
          <w:p w14:paraId="401C8386"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0EE91E3"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B5F6A08"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673BA6E"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0C3DBC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4D489D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8B8B77A"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316389E7"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52AE40CD"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1F8E92B" w14:textId="77777777" w:rsidR="005F400D" w:rsidRPr="002A06C3" w:rsidRDefault="005F400D" w:rsidP="008C4FE7">
            <w:pPr>
              <w:spacing w:after="0"/>
              <w:jc w:val="center"/>
              <w:rPr>
                <w:rFonts w:ascii="Times New Roman" w:hAnsi="Times New Roman"/>
                <w:color w:val="000000"/>
                <w:sz w:val="18"/>
                <w:szCs w:val="18"/>
              </w:rPr>
            </w:pPr>
          </w:p>
        </w:tc>
        <w:tc>
          <w:tcPr>
            <w:tcW w:w="336" w:type="pct"/>
            <w:shd w:val="clear" w:color="auto" w:fill="auto"/>
            <w:vAlign w:val="bottom"/>
            <w:hideMark/>
          </w:tcPr>
          <w:p w14:paraId="4515D14A"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710AE657"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4A337C02" w14:textId="77777777" w:rsidR="005F400D" w:rsidRPr="002A06C3" w:rsidRDefault="005F400D" w:rsidP="008C4FE7">
            <w:pPr>
              <w:spacing w:after="0"/>
              <w:rPr>
                <w:rFonts w:ascii="Times New Roman" w:hAnsi="Times New Roman"/>
                <w:sz w:val="18"/>
                <w:szCs w:val="18"/>
              </w:rPr>
            </w:pPr>
          </w:p>
        </w:tc>
      </w:tr>
      <w:tr w:rsidR="005F400D" w:rsidRPr="002A06C3" w14:paraId="46B8AA01" w14:textId="77777777" w:rsidTr="00EA7BDC">
        <w:trPr>
          <w:trHeight w:val="108"/>
        </w:trPr>
        <w:tc>
          <w:tcPr>
            <w:tcW w:w="1007" w:type="pct"/>
            <w:shd w:val="clear" w:color="auto" w:fill="auto"/>
            <w:vAlign w:val="bottom"/>
            <w:hideMark/>
          </w:tcPr>
          <w:p w14:paraId="2DD01BF7"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Fagutdanning</w:t>
            </w:r>
            <w:r w:rsidRPr="002A06C3">
              <w:rPr>
                <w:rFonts w:ascii="Times New Roman" w:hAnsi="Times New Roman"/>
                <w:sz w:val="18"/>
                <w:szCs w:val="18"/>
                <w:vertAlign w:val="superscript"/>
              </w:rPr>
              <w:t>6</w:t>
            </w:r>
          </w:p>
        </w:tc>
        <w:tc>
          <w:tcPr>
            <w:tcW w:w="328" w:type="pct"/>
            <w:shd w:val="clear" w:color="auto" w:fill="auto"/>
            <w:vAlign w:val="bottom"/>
            <w:hideMark/>
          </w:tcPr>
          <w:p w14:paraId="23CDAF6B"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4</w:t>
            </w:r>
          </w:p>
        </w:tc>
        <w:tc>
          <w:tcPr>
            <w:tcW w:w="263" w:type="pct"/>
            <w:shd w:val="clear" w:color="auto" w:fill="auto"/>
            <w:vAlign w:val="bottom"/>
            <w:hideMark/>
          </w:tcPr>
          <w:p w14:paraId="24CF69C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8,0</w:t>
            </w:r>
          </w:p>
        </w:tc>
        <w:tc>
          <w:tcPr>
            <w:tcW w:w="263" w:type="pct"/>
            <w:shd w:val="clear" w:color="auto" w:fill="auto"/>
            <w:vAlign w:val="bottom"/>
            <w:hideMark/>
          </w:tcPr>
          <w:p w14:paraId="441A8D5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0,9</w:t>
            </w:r>
          </w:p>
        </w:tc>
        <w:tc>
          <w:tcPr>
            <w:tcW w:w="263" w:type="pct"/>
            <w:shd w:val="clear" w:color="auto" w:fill="auto"/>
            <w:vAlign w:val="bottom"/>
            <w:hideMark/>
          </w:tcPr>
          <w:p w14:paraId="49AD922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7,5</w:t>
            </w:r>
          </w:p>
        </w:tc>
        <w:tc>
          <w:tcPr>
            <w:tcW w:w="263" w:type="pct"/>
            <w:shd w:val="clear" w:color="auto" w:fill="auto"/>
            <w:vAlign w:val="bottom"/>
            <w:hideMark/>
          </w:tcPr>
          <w:p w14:paraId="22CCE7E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7,3</w:t>
            </w:r>
          </w:p>
        </w:tc>
        <w:tc>
          <w:tcPr>
            <w:tcW w:w="263" w:type="pct"/>
            <w:shd w:val="clear" w:color="auto" w:fill="auto"/>
            <w:vAlign w:val="bottom"/>
            <w:hideMark/>
          </w:tcPr>
          <w:p w14:paraId="29E9DE9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-0,5</w:t>
            </w:r>
          </w:p>
        </w:tc>
        <w:tc>
          <w:tcPr>
            <w:tcW w:w="263" w:type="pct"/>
            <w:shd w:val="clear" w:color="auto" w:fill="auto"/>
            <w:vAlign w:val="bottom"/>
            <w:hideMark/>
          </w:tcPr>
          <w:p w14:paraId="0C0E086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309" w:type="pct"/>
            <w:shd w:val="clear" w:color="auto" w:fill="auto"/>
            <w:vAlign w:val="bottom"/>
            <w:hideMark/>
          </w:tcPr>
          <w:p w14:paraId="11640E7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5,8</w:t>
            </w:r>
          </w:p>
        </w:tc>
        <w:tc>
          <w:tcPr>
            <w:tcW w:w="328" w:type="pct"/>
            <w:shd w:val="clear" w:color="auto" w:fill="auto"/>
            <w:vAlign w:val="bottom"/>
            <w:hideMark/>
          </w:tcPr>
          <w:p w14:paraId="468B989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1,2</w:t>
            </w:r>
          </w:p>
        </w:tc>
        <w:tc>
          <w:tcPr>
            <w:tcW w:w="328" w:type="pct"/>
            <w:shd w:val="clear" w:color="auto" w:fill="auto"/>
            <w:vAlign w:val="bottom"/>
            <w:hideMark/>
          </w:tcPr>
          <w:p w14:paraId="7468A207"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4,7</w:t>
            </w:r>
          </w:p>
        </w:tc>
        <w:tc>
          <w:tcPr>
            <w:tcW w:w="336" w:type="pct"/>
            <w:shd w:val="clear" w:color="auto" w:fill="auto"/>
            <w:vAlign w:val="bottom"/>
            <w:hideMark/>
          </w:tcPr>
          <w:p w14:paraId="6D1CDEF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3,4</w:t>
            </w:r>
          </w:p>
        </w:tc>
        <w:tc>
          <w:tcPr>
            <w:tcW w:w="375" w:type="pct"/>
            <w:shd w:val="clear" w:color="auto" w:fill="auto"/>
            <w:noWrap/>
            <w:vAlign w:val="bottom"/>
            <w:hideMark/>
          </w:tcPr>
          <w:p w14:paraId="07A20C9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21,6</w:t>
            </w:r>
          </w:p>
        </w:tc>
        <w:tc>
          <w:tcPr>
            <w:tcW w:w="409" w:type="pct"/>
            <w:shd w:val="clear" w:color="auto" w:fill="auto"/>
            <w:vAlign w:val="bottom"/>
            <w:hideMark/>
          </w:tcPr>
          <w:p w14:paraId="6EC99727"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553 200 </w:t>
            </w:r>
          </w:p>
        </w:tc>
      </w:tr>
      <w:tr w:rsidR="005F400D" w:rsidRPr="002A06C3" w14:paraId="7CF4A8AA" w14:textId="77777777" w:rsidTr="00EA7BDC">
        <w:trPr>
          <w:trHeight w:val="510"/>
        </w:trPr>
        <w:tc>
          <w:tcPr>
            <w:tcW w:w="1007" w:type="pct"/>
            <w:shd w:val="clear" w:color="auto" w:fill="auto"/>
            <w:vAlign w:val="bottom"/>
            <w:hideMark/>
          </w:tcPr>
          <w:p w14:paraId="355EC580"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til og med 4 år</w:t>
            </w:r>
          </w:p>
        </w:tc>
        <w:tc>
          <w:tcPr>
            <w:tcW w:w="328" w:type="pct"/>
            <w:shd w:val="clear" w:color="auto" w:fill="auto"/>
            <w:vAlign w:val="bottom"/>
            <w:hideMark/>
          </w:tcPr>
          <w:p w14:paraId="0FCB90E0"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42</w:t>
            </w:r>
          </w:p>
        </w:tc>
        <w:tc>
          <w:tcPr>
            <w:tcW w:w="263" w:type="pct"/>
            <w:shd w:val="clear" w:color="auto" w:fill="auto"/>
            <w:vAlign w:val="bottom"/>
            <w:hideMark/>
          </w:tcPr>
          <w:p w14:paraId="0F819EE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10,0</w:t>
            </w:r>
          </w:p>
        </w:tc>
        <w:tc>
          <w:tcPr>
            <w:tcW w:w="263" w:type="pct"/>
            <w:shd w:val="clear" w:color="auto" w:fill="auto"/>
            <w:vAlign w:val="bottom"/>
            <w:hideMark/>
          </w:tcPr>
          <w:p w14:paraId="7AB96F8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6,7</w:t>
            </w:r>
          </w:p>
        </w:tc>
        <w:tc>
          <w:tcPr>
            <w:tcW w:w="263" w:type="pct"/>
            <w:shd w:val="clear" w:color="auto" w:fill="auto"/>
            <w:vAlign w:val="bottom"/>
            <w:hideMark/>
          </w:tcPr>
          <w:p w14:paraId="36F8CB6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5,9</w:t>
            </w:r>
          </w:p>
        </w:tc>
        <w:tc>
          <w:tcPr>
            <w:tcW w:w="263" w:type="pct"/>
            <w:shd w:val="clear" w:color="auto" w:fill="auto"/>
            <w:vAlign w:val="bottom"/>
            <w:hideMark/>
          </w:tcPr>
          <w:p w14:paraId="019F6F1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11,1</w:t>
            </w:r>
          </w:p>
        </w:tc>
        <w:tc>
          <w:tcPr>
            <w:tcW w:w="263" w:type="pct"/>
            <w:shd w:val="clear" w:color="auto" w:fill="auto"/>
            <w:vAlign w:val="bottom"/>
            <w:hideMark/>
          </w:tcPr>
          <w:p w14:paraId="5C7625F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-5,5</w:t>
            </w:r>
          </w:p>
        </w:tc>
        <w:tc>
          <w:tcPr>
            <w:tcW w:w="263" w:type="pct"/>
            <w:shd w:val="clear" w:color="auto" w:fill="auto"/>
            <w:vAlign w:val="bottom"/>
            <w:hideMark/>
          </w:tcPr>
          <w:p w14:paraId="3B9C4A2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309" w:type="pct"/>
            <w:shd w:val="clear" w:color="auto" w:fill="auto"/>
            <w:vAlign w:val="bottom"/>
            <w:hideMark/>
          </w:tcPr>
          <w:p w14:paraId="75D6A1E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6,7</w:t>
            </w:r>
          </w:p>
        </w:tc>
        <w:tc>
          <w:tcPr>
            <w:tcW w:w="328" w:type="pct"/>
            <w:shd w:val="clear" w:color="auto" w:fill="auto"/>
            <w:vAlign w:val="bottom"/>
            <w:hideMark/>
          </w:tcPr>
          <w:p w14:paraId="460DD09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-1,0</w:t>
            </w:r>
          </w:p>
        </w:tc>
        <w:tc>
          <w:tcPr>
            <w:tcW w:w="328" w:type="pct"/>
            <w:shd w:val="clear" w:color="auto" w:fill="auto"/>
            <w:vAlign w:val="bottom"/>
            <w:hideMark/>
          </w:tcPr>
          <w:p w14:paraId="1B07269E"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3,7</w:t>
            </w:r>
          </w:p>
        </w:tc>
        <w:tc>
          <w:tcPr>
            <w:tcW w:w="336" w:type="pct"/>
            <w:shd w:val="clear" w:color="auto" w:fill="auto"/>
            <w:vAlign w:val="bottom"/>
            <w:hideMark/>
          </w:tcPr>
          <w:p w14:paraId="7C612A0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3,9</w:t>
            </w:r>
          </w:p>
        </w:tc>
        <w:tc>
          <w:tcPr>
            <w:tcW w:w="375" w:type="pct"/>
            <w:shd w:val="clear" w:color="auto" w:fill="auto"/>
            <w:noWrap/>
            <w:vAlign w:val="bottom"/>
            <w:hideMark/>
          </w:tcPr>
          <w:p w14:paraId="3695417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19,9</w:t>
            </w:r>
          </w:p>
        </w:tc>
        <w:tc>
          <w:tcPr>
            <w:tcW w:w="409" w:type="pct"/>
            <w:shd w:val="clear" w:color="auto" w:fill="auto"/>
            <w:vAlign w:val="bottom"/>
            <w:hideMark/>
          </w:tcPr>
          <w:p w14:paraId="16FCD7EF"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769 200 </w:t>
            </w:r>
          </w:p>
        </w:tc>
      </w:tr>
      <w:tr w:rsidR="005F400D" w:rsidRPr="002A06C3" w14:paraId="262432E3" w14:textId="77777777" w:rsidTr="00EA7BDC">
        <w:trPr>
          <w:trHeight w:val="510"/>
        </w:trPr>
        <w:tc>
          <w:tcPr>
            <w:tcW w:w="1007" w:type="pct"/>
            <w:shd w:val="clear" w:color="auto" w:fill="auto"/>
            <w:vAlign w:val="bottom"/>
            <w:hideMark/>
          </w:tcPr>
          <w:p w14:paraId="50F76E7A"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lengre enn 4 år</w:t>
            </w:r>
          </w:p>
        </w:tc>
        <w:tc>
          <w:tcPr>
            <w:tcW w:w="328" w:type="pct"/>
            <w:shd w:val="clear" w:color="auto" w:fill="auto"/>
            <w:vAlign w:val="bottom"/>
            <w:hideMark/>
          </w:tcPr>
          <w:p w14:paraId="3F562DBD"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15</w:t>
            </w:r>
          </w:p>
        </w:tc>
        <w:tc>
          <w:tcPr>
            <w:tcW w:w="263" w:type="pct"/>
            <w:shd w:val="clear" w:color="auto" w:fill="auto"/>
            <w:vAlign w:val="bottom"/>
            <w:hideMark/>
          </w:tcPr>
          <w:p w14:paraId="6825895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6,4</w:t>
            </w:r>
          </w:p>
        </w:tc>
        <w:tc>
          <w:tcPr>
            <w:tcW w:w="263" w:type="pct"/>
            <w:shd w:val="clear" w:color="auto" w:fill="auto"/>
            <w:vAlign w:val="bottom"/>
            <w:hideMark/>
          </w:tcPr>
          <w:p w14:paraId="0311EA9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6,8</w:t>
            </w:r>
          </w:p>
        </w:tc>
        <w:tc>
          <w:tcPr>
            <w:tcW w:w="263" w:type="pct"/>
            <w:shd w:val="clear" w:color="auto" w:fill="auto"/>
            <w:vAlign w:val="bottom"/>
            <w:hideMark/>
          </w:tcPr>
          <w:p w14:paraId="6160F6C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263" w:type="pct"/>
            <w:shd w:val="clear" w:color="auto" w:fill="auto"/>
            <w:vAlign w:val="bottom"/>
            <w:hideMark/>
          </w:tcPr>
          <w:p w14:paraId="5FE8D17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13,1</w:t>
            </w:r>
          </w:p>
        </w:tc>
        <w:tc>
          <w:tcPr>
            <w:tcW w:w="263" w:type="pct"/>
            <w:shd w:val="clear" w:color="auto" w:fill="auto"/>
            <w:vAlign w:val="bottom"/>
            <w:hideMark/>
          </w:tcPr>
          <w:p w14:paraId="01B7CB0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-7,2</w:t>
            </w:r>
          </w:p>
        </w:tc>
        <w:tc>
          <w:tcPr>
            <w:tcW w:w="263" w:type="pct"/>
            <w:shd w:val="clear" w:color="auto" w:fill="auto"/>
            <w:vAlign w:val="bottom"/>
            <w:hideMark/>
          </w:tcPr>
          <w:p w14:paraId="02F4590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6,3</w:t>
            </w:r>
          </w:p>
        </w:tc>
        <w:tc>
          <w:tcPr>
            <w:tcW w:w="309" w:type="pct"/>
            <w:shd w:val="clear" w:color="auto" w:fill="auto"/>
            <w:vAlign w:val="bottom"/>
            <w:hideMark/>
          </w:tcPr>
          <w:p w14:paraId="7308560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5,9</w:t>
            </w:r>
          </w:p>
        </w:tc>
        <w:tc>
          <w:tcPr>
            <w:tcW w:w="328" w:type="pct"/>
            <w:shd w:val="clear" w:color="auto" w:fill="auto"/>
            <w:vAlign w:val="bottom"/>
            <w:hideMark/>
          </w:tcPr>
          <w:p w14:paraId="21DA593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0,1</w:t>
            </w:r>
          </w:p>
        </w:tc>
        <w:tc>
          <w:tcPr>
            <w:tcW w:w="328" w:type="pct"/>
            <w:shd w:val="clear" w:color="auto" w:fill="auto"/>
            <w:vAlign w:val="bottom"/>
            <w:hideMark/>
          </w:tcPr>
          <w:p w14:paraId="509E1243" w14:textId="77777777" w:rsidR="005F400D" w:rsidRPr="002A06C3" w:rsidRDefault="005F400D" w:rsidP="008C4FE7">
            <w:pPr>
              <w:spacing w:after="0"/>
              <w:jc w:val="center"/>
              <w:rPr>
                <w:rFonts w:ascii="Times New Roman" w:hAnsi="Times New Roman"/>
                <w:color w:val="000000"/>
                <w:sz w:val="18"/>
                <w:szCs w:val="18"/>
              </w:rPr>
            </w:pPr>
            <w:r w:rsidRPr="002A06C3">
              <w:rPr>
                <w:rFonts w:ascii="Times New Roman" w:hAnsi="Times New Roman"/>
                <w:color w:val="000000"/>
                <w:sz w:val="18"/>
                <w:szCs w:val="18"/>
              </w:rPr>
              <w:t>4,2</w:t>
            </w:r>
          </w:p>
        </w:tc>
        <w:tc>
          <w:tcPr>
            <w:tcW w:w="336" w:type="pct"/>
            <w:shd w:val="clear" w:color="auto" w:fill="auto"/>
            <w:vAlign w:val="bottom"/>
            <w:hideMark/>
          </w:tcPr>
          <w:p w14:paraId="5B2F686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375" w:type="pct"/>
            <w:shd w:val="clear" w:color="auto" w:fill="auto"/>
            <w:noWrap/>
            <w:vAlign w:val="bottom"/>
            <w:hideMark/>
          </w:tcPr>
          <w:p w14:paraId="44C5565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22,6</w:t>
            </w:r>
          </w:p>
        </w:tc>
        <w:tc>
          <w:tcPr>
            <w:tcW w:w="409" w:type="pct"/>
            <w:shd w:val="clear" w:color="auto" w:fill="auto"/>
            <w:vAlign w:val="bottom"/>
            <w:hideMark/>
          </w:tcPr>
          <w:p w14:paraId="618E2B69"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908 400 </w:t>
            </w:r>
          </w:p>
        </w:tc>
      </w:tr>
      <w:tr w:rsidR="005F400D" w:rsidRPr="002A06C3" w14:paraId="2BFCE030" w14:textId="77777777" w:rsidTr="00EA7BDC">
        <w:trPr>
          <w:trHeight w:val="255"/>
        </w:trPr>
        <w:tc>
          <w:tcPr>
            <w:tcW w:w="1007" w:type="pct"/>
            <w:shd w:val="clear" w:color="auto" w:fill="auto"/>
            <w:vAlign w:val="bottom"/>
            <w:hideMark/>
          </w:tcPr>
          <w:p w14:paraId="55C0FCD7" w14:textId="77777777" w:rsidR="005F400D" w:rsidRPr="002A06C3" w:rsidRDefault="005F400D" w:rsidP="008C4FE7">
            <w:pPr>
              <w:spacing w:after="0"/>
              <w:rPr>
                <w:rFonts w:ascii="Times New Roman" w:hAnsi="Times New Roman"/>
                <w:b/>
                <w:bCs/>
                <w:sz w:val="18"/>
                <w:szCs w:val="18"/>
              </w:rPr>
            </w:pPr>
            <w:r w:rsidRPr="002A06C3">
              <w:rPr>
                <w:rFonts w:ascii="Times New Roman" w:hAnsi="Times New Roman"/>
                <w:sz w:val="18"/>
                <w:szCs w:val="18"/>
              </w:rPr>
              <w:t>Uoppgitt eller ingen fullført utdanning</w:t>
            </w:r>
          </w:p>
        </w:tc>
        <w:tc>
          <w:tcPr>
            <w:tcW w:w="328" w:type="pct"/>
            <w:shd w:val="clear" w:color="auto" w:fill="auto"/>
            <w:vAlign w:val="bottom"/>
            <w:hideMark/>
          </w:tcPr>
          <w:p w14:paraId="67B09DCB"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w:t>
            </w:r>
          </w:p>
        </w:tc>
        <w:tc>
          <w:tcPr>
            <w:tcW w:w="263" w:type="pct"/>
            <w:shd w:val="clear" w:color="auto" w:fill="auto"/>
            <w:vAlign w:val="bottom"/>
            <w:hideMark/>
          </w:tcPr>
          <w:p w14:paraId="7DA25ED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91D6619"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7E2C0F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112D06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9D1CA1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043E4C6"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07AC4DC9"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7830C0ED"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1664B0C"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4C59C414"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2AC4205D"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411A60B5" w14:textId="77777777" w:rsidR="005F400D" w:rsidRPr="002A06C3" w:rsidRDefault="005F400D" w:rsidP="008C4FE7">
            <w:pPr>
              <w:spacing w:after="0"/>
              <w:jc w:val="center"/>
              <w:rPr>
                <w:rFonts w:ascii="Times New Roman" w:hAnsi="Times New Roman"/>
                <w:sz w:val="18"/>
                <w:szCs w:val="18"/>
              </w:rPr>
            </w:pPr>
          </w:p>
        </w:tc>
      </w:tr>
      <w:tr w:rsidR="005F400D" w:rsidRPr="002A06C3" w14:paraId="0157D70F" w14:textId="77777777" w:rsidTr="00EA7BDC">
        <w:trPr>
          <w:trHeight w:val="255"/>
        </w:trPr>
        <w:tc>
          <w:tcPr>
            <w:tcW w:w="1007" w:type="pct"/>
            <w:shd w:val="clear" w:color="auto" w:fill="auto"/>
            <w:vAlign w:val="bottom"/>
            <w:hideMark/>
          </w:tcPr>
          <w:p w14:paraId="1F316283" w14:textId="77777777" w:rsidR="005F400D" w:rsidRPr="002A06C3" w:rsidRDefault="005F400D" w:rsidP="008C4FE7">
            <w:pPr>
              <w:spacing w:after="0"/>
              <w:rPr>
                <w:rFonts w:ascii="Times New Roman" w:hAnsi="Times New Roman"/>
                <w:b/>
                <w:bCs/>
                <w:sz w:val="18"/>
                <w:szCs w:val="18"/>
              </w:rPr>
            </w:pPr>
          </w:p>
        </w:tc>
        <w:tc>
          <w:tcPr>
            <w:tcW w:w="328" w:type="pct"/>
            <w:shd w:val="clear" w:color="auto" w:fill="auto"/>
            <w:vAlign w:val="bottom"/>
            <w:hideMark/>
          </w:tcPr>
          <w:p w14:paraId="449D0399"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69FCD69"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B982443"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6B4067E"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369D5AE"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E37601B"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D6EDB3A"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00DD1DCF"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3DCD4A98"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7B36C22"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09481B2A"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2E46C053"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6B4CEE1E" w14:textId="77777777" w:rsidR="005F400D" w:rsidRPr="002A06C3" w:rsidRDefault="005F400D" w:rsidP="008C4FE7">
            <w:pPr>
              <w:spacing w:after="0"/>
              <w:jc w:val="center"/>
              <w:rPr>
                <w:rFonts w:ascii="Times New Roman" w:hAnsi="Times New Roman"/>
                <w:sz w:val="18"/>
                <w:szCs w:val="18"/>
              </w:rPr>
            </w:pPr>
          </w:p>
        </w:tc>
      </w:tr>
      <w:tr w:rsidR="005F400D" w:rsidRPr="00317248" w14:paraId="53D0A9F5" w14:textId="77777777" w:rsidTr="00EA7BDC">
        <w:trPr>
          <w:trHeight w:val="293"/>
        </w:trPr>
        <w:tc>
          <w:tcPr>
            <w:tcW w:w="1007" w:type="pct"/>
            <w:shd w:val="clear" w:color="auto" w:fill="auto"/>
            <w:vAlign w:val="bottom"/>
            <w:hideMark/>
          </w:tcPr>
          <w:p w14:paraId="21E20C21" w14:textId="77777777" w:rsidR="005F400D" w:rsidRPr="00F76887" w:rsidRDefault="005F400D" w:rsidP="008C4FE7">
            <w:pPr>
              <w:spacing w:after="0"/>
              <w:rPr>
                <w:rFonts w:ascii="Times New Roman" w:hAnsi="Times New Roman"/>
                <w:b/>
                <w:bCs/>
                <w:sz w:val="18"/>
                <w:szCs w:val="18"/>
                <w:vertAlign w:val="superscript"/>
              </w:rPr>
            </w:pPr>
            <w:r w:rsidRPr="00F76887">
              <w:rPr>
                <w:rFonts w:ascii="Times New Roman" w:hAnsi="Times New Roman"/>
                <w:b/>
                <w:bCs/>
                <w:sz w:val="18"/>
                <w:szCs w:val="18"/>
              </w:rPr>
              <w:t>Statsansatte i alt</w:t>
            </w:r>
            <w:r w:rsidRPr="00F76887">
              <w:rPr>
                <w:rFonts w:ascii="Times New Roman" w:hAnsi="Times New Roman"/>
                <w:b/>
                <w:bCs/>
                <w:sz w:val="18"/>
                <w:szCs w:val="18"/>
                <w:vertAlign w:val="superscript"/>
              </w:rPr>
              <w:t>11</w:t>
            </w:r>
          </w:p>
        </w:tc>
        <w:tc>
          <w:tcPr>
            <w:tcW w:w="328" w:type="pct"/>
            <w:shd w:val="clear" w:color="auto" w:fill="auto"/>
            <w:vAlign w:val="bottom"/>
            <w:hideMark/>
          </w:tcPr>
          <w:p w14:paraId="77F811DF"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100</w:t>
            </w:r>
          </w:p>
        </w:tc>
        <w:tc>
          <w:tcPr>
            <w:tcW w:w="263" w:type="pct"/>
            <w:shd w:val="clear" w:color="auto" w:fill="auto"/>
            <w:vAlign w:val="bottom"/>
            <w:hideMark/>
          </w:tcPr>
          <w:p w14:paraId="02D29316"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3,5</w:t>
            </w:r>
          </w:p>
        </w:tc>
        <w:tc>
          <w:tcPr>
            <w:tcW w:w="263" w:type="pct"/>
            <w:shd w:val="clear" w:color="auto" w:fill="auto"/>
            <w:vAlign w:val="bottom"/>
            <w:hideMark/>
          </w:tcPr>
          <w:p w14:paraId="6361609F"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4,8</w:t>
            </w:r>
          </w:p>
        </w:tc>
        <w:tc>
          <w:tcPr>
            <w:tcW w:w="263" w:type="pct"/>
            <w:shd w:val="clear" w:color="auto" w:fill="auto"/>
            <w:vAlign w:val="bottom"/>
            <w:hideMark/>
          </w:tcPr>
          <w:p w14:paraId="29C4A55B"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4,7</w:t>
            </w:r>
          </w:p>
        </w:tc>
        <w:tc>
          <w:tcPr>
            <w:tcW w:w="263" w:type="pct"/>
            <w:shd w:val="clear" w:color="auto" w:fill="auto"/>
            <w:vAlign w:val="bottom"/>
            <w:hideMark/>
          </w:tcPr>
          <w:p w14:paraId="78086C9F"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7,8</w:t>
            </w:r>
          </w:p>
        </w:tc>
        <w:tc>
          <w:tcPr>
            <w:tcW w:w="263" w:type="pct"/>
            <w:shd w:val="clear" w:color="auto" w:fill="auto"/>
            <w:vAlign w:val="bottom"/>
            <w:hideMark/>
          </w:tcPr>
          <w:p w14:paraId="763C046C"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2,8</w:t>
            </w:r>
          </w:p>
        </w:tc>
        <w:tc>
          <w:tcPr>
            <w:tcW w:w="263" w:type="pct"/>
            <w:shd w:val="clear" w:color="auto" w:fill="auto"/>
            <w:vAlign w:val="bottom"/>
            <w:hideMark/>
          </w:tcPr>
          <w:p w14:paraId="77829C64"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5,2</w:t>
            </w:r>
          </w:p>
        </w:tc>
        <w:tc>
          <w:tcPr>
            <w:tcW w:w="309" w:type="pct"/>
            <w:shd w:val="clear" w:color="auto" w:fill="auto"/>
            <w:vAlign w:val="bottom"/>
            <w:hideMark/>
          </w:tcPr>
          <w:p w14:paraId="68B69D97"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3,9</w:t>
            </w:r>
          </w:p>
        </w:tc>
        <w:tc>
          <w:tcPr>
            <w:tcW w:w="328" w:type="pct"/>
            <w:shd w:val="clear" w:color="auto" w:fill="auto"/>
            <w:vAlign w:val="bottom"/>
            <w:hideMark/>
          </w:tcPr>
          <w:p w14:paraId="40C88E09"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4,5</w:t>
            </w:r>
          </w:p>
        </w:tc>
        <w:tc>
          <w:tcPr>
            <w:tcW w:w="328" w:type="pct"/>
            <w:shd w:val="clear" w:color="auto" w:fill="auto"/>
            <w:vAlign w:val="bottom"/>
            <w:hideMark/>
          </w:tcPr>
          <w:p w14:paraId="68FDC37D"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3,6</w:t>
            </w:r>
          </w:p>
        </w:tc>
        <w:tc>
          <w:tcPr>
            <w:tcW w:w="336" w:type="pct"/>
            <w:shd w:val="clear" w:color="auto" w:fill="auto"/>
            <w:vAlign w:val="bottom"/>
            <w:hideMark/>
          </w:tcPr>
          <w:p w14:paraId="6A41728A"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3,2</w:t>
            </w:r>
          </w:p>
        </w:tc>
        <w:tc>
          <w:tcPr>
            <w:tcW w:w="375" w:type="pct"/>
            <w:shd w:val="clear" w:color="auto" w:fill="auto"/>
            <w:noWrap/>
            <w:vAlign w:val="bottom"/>
            <w:hideMark/>
          </w:tcPr>
          <w:p w14:paraId="6BD41A0E" w14:textId="77777777" w:rsidR="005F400D" w:rsidRPr="00317248" w:rsidRDefault="005F400D" w:rsidP="008C4FE7">
            <w:pPr>
              <w:spacing w:after="0"/>
              <w:jc w:val="center"/>
              <w:rPr>
                <w:rFonts w:ascii="Times New Roman" w:hAnsi="Times New Roman"/>
                <w:sz w:val="18"/>
                <w:szCs w:val="18"/>
              </w:rPr>
            </w:pPr>
            <w:r w:rsidRPr="00317248">
              <w:rPr>
                <w:rFonts w:ascii="Times New Roman" w:hAnsi="Times New Roman"/>
                <w:sz w:val="18"/>
                <w:szCs w:val="18"/>
              </w:rPr>
              <w:t>22,1</w:t>
            </w:r>
          </w:p>
        </w:tc>
        <w:tc>
          <w:tcPr>
            <w:tcW w:w="409" w:type="pct"/>
            <w:shd w:val="clear" w:color="auto" w:fill="auto"/>
            <w:vAlign w:val="bottom"/>
            <w:hideMark/>
          </w:tcPr>
          <w:p w14:paraId="42F889F1" w14:textId="77777777" w:rsidR="005F400D" w:rsidRPr="00317248" w:rsidRDefault="005F400D" w:rsidP="008C4FE7">
            <w:pPr>
              <w:spacing w:after="0"/>
              <w:rPr>
                <w:rFonts w:ascii="Times New Roman" w:hAnsi="Times New Roman"/>
                <w:sz w:val="18"/>
                <w:szCs w:val="18"/>
              </w:rPr>
            </w:pPr>
            <w:r w:rsidRPr="00317248">
              <w:rPr>
                <w:rFonts w:ascii="Times New Roman" w:hAnsi="Times New Roman"/>
                <w:sz w:val="18"/>
                <w:szCs w:val="18"/>
              </w:rPr>
              <w:t xml:space="preserve">538 800 </w:t>
            </w:r>
          </w:p>
        </w:tc>
      </w:tr>
      <w:tr w:rsidR="005F400D" w:rsidRPr="002A06C3" w14:paraId="094B7040" w14:textId="77777777" w:rsidTr="00EA7BDC">
        <w:trPr>
          <w:trHeight w:val="255"/>
        </w:trPr>
        <w:tc>
          <w:tcPr>
            <w:tcW w:w="1007" w:type="pct"/>
            <w:shd w:val="clear" w:color="auto" w:fill="auto"/>
            <w:vAlign w:val="bottom"/>
            <w:hideMark/>
          </w:tcPr>
          <w:p w14:paraId="0714F9D1"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grunnskolenivå</w:t>
            </w:r>
          </w:p>
        </w:tc>
        <w:tc>
          <w:tcPr>
            <w:tcW w:w="328" w:type="pct"/>
            <w:shd w:val="clear" w:color="auto" w:fill="auto"/>
            <w:vAlign w:val="bottom"/>
            <w:hideMark/>
          </w:tcPr>
          <w:p w14:paraId="4AC08A49"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5</w:t>
            </w:r>
          </w:p>
        </w:tc>
        <w:tc>
          <w:tcPr>
            <w:tcW w:w="263" w:type="pct"/>
            <w:shd w:val="clear" w:color="auto" w:fill="auto"/>
            <w:vAlign w:val="bottom"/>
            <w:hideMark/>
          </w:tcPr>
          <w:p w14:paraId="5785F7A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3,4</w:t>
            </w:r>
          </w:p>
        </w:tc>
        <w:tc>
          <w:tcPr>
            <w:tcW w:w="263" w:type="pct"/>
            <w:shd w:val="clear" w:color="auto" w:fill="auto"/>
            <w:vAlign w:val="bottom"/>
            <w:hideMark/>
          </w:tcPr>
          <w:p w14:paraId="497B639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4,7</w:t>
            </w:r>
          </w:p>
        </w:tc>
        <w:tc>
          <w:tcPr>
            <w:tcW w:w="263" w:type="pct"/>
            <w:shd w:val="clear" w:color="auto" w:fill="auto"/>
            <w:vAlign w:val="bottom"/>
            <w:hideMark/>
          </w:tcPr>
          <w:p w14:paraId="1DA7829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263" w:type="pct"/>
            <w:shd w:val="clear" w:color="auto" w:fill="auto"/>
            <w:vAlign w:val="bottom"/>
            <w:hideMark/>
          </w:tcPr>
          <w:p w14:paraId="3E4A080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7,8</w:t>
            </w:r>
          </w:p>
        </w:tc>
        <w:tc>
          <w:tcPr>
            <w:tcW w:w="263" w:type="pct"/>
            <w:shd w:val="clear" w:color="auto" w:fill="auto"/>
            <w:vAlign w:val="bottom"/>
            <w:hideMark/>
          </w:tcPr>
          <w:p w14:paraId="3922528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263" w:type="pct"/>
            <w:shd w:val="clear" w:color="auto" w:fill="auto"/>
            <w:vAlign w:val="bottom"/>
            <w:hideMark/>
          </w:tcPr>
          <w:p w14:paraId="74C4CD0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5,9</w:t>
            </w:r>
          </w:p>
        </w:tc>
        <w:tc>
          <w:tcPr>
            <w:tcW w:w="309" w:type="pct"/>
            <w:shd w:val="clear" w:color="auto" w:fill="auto"/>
            <w:vAlign w:val="bottom"/>
            <w:hideMark/>
          </w:tcPr>
          <w:p w14:paraId="3CFB348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4,0</w:t>
            </w:r>
          </w:p>
        </w:tc>
        <w:tc>
          <w:tcPr>
            <w:tcW w:w="328" w:type="pct"/>
            <w:shd w:val="clear" w:color="auto" w:fill="auto"/>
            <w:vAlign w:val="bottom"/>
            <w:hideMark/>
          </w:tcPr>
          <w:p w14:paraId="0C1BF45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328" w:type="pct"/>
            <w:shd w:val="clear" w:color="auto" w:fill="auto"/>
            <w:vAlign w:val="bottom"/>
            <w:hideMark/>
          </w:tcPr>
          <w:p w14:paraId="277995C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336" w:type="pct"/>
            <w:shd w:val="clear" w:color="auto" w:fill="auto"/>
            <w:vAlign w:val="bottom"/>
            <w:hideMark/>
          </w:tcPr>
          <w:p w14:paraId="7E72F96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375" w:type="pct"/>
            <w:shd w:val="clear" w:color="auto" w:fill="auto"/>
            <w:noWrap/>
            <w:vAlign w:val="bottom"/>
            <w:hideMark/>
          </w:tcPr>
          <w:p w14:paraId="1BD6108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23,2</w:t>
            </w:r>
          </w:p>
        </w:tc>
        <w:tc>
          <w:tcPr>
            <w:tcW w:w="409" w:type="pct"/>
            <w:shd w:val="clear" w:color="auto" w:fill="auto"/>
            <w:vAlign w:val="bottom"/>
            <w:hideMark/>
          </w:tcPr>
          <w:p w14:paraId="7E43C78D"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451 200 </w:t>
            </w:r>
          </w:p>
        </w:tc>
      </w:tr>
      <w:tr w:rsidR="005F400D" w:rsidRPr="002A06C3" w14:paraId="7B4883E4" w14:textId="77777777" w:rsidTr="00EA7BDC">
        <w:trPr>
          <w:trHeight w:val="510"/>
        </w:trPr>
        <w:tc>
          <w:tcPr>
            <w:tcW w:w="1007" w:type="pct"/>
            <w:shd w:val="clear" w:color="auto" w:fill="auto"/>
            <w:vAlign w:val="bottom"/>
            <w:hideMark/>
          </w:tcPr>
          <w:p w14:paraId="2E1DFCD3"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videregående skolenivå</w:t>
            </w:r>
          </w:p>
        </w:tc>
        <w:tc>
          <w:tcPr>
            <w:tcW w:w="328" w:type="pct"/>
            <w:shd w:val="clear" w:color="auto" w:fill="auto"/>
            <w:vAlign w:val="bottom"/>
            <w:hideMark/>
          </w:tcPr>
          <w:p w14:paraId="4F78FF9F"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25</w:t>
            </w:r>
          </w:p>
        </w:tc>
        <w:tc>
          <w:tcPr>
            <w:tcW w:w="263" w:type="pct"/>
            <w:shd w:val="clear" w:color="auto" w:fill="auto"/>
            <w:vAlign w:val="bottom"/>
            <w:hideMark/>
          </w:tcPr>
          <w:p w14:paraId="6FF34FD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263" w:type="pct"/>
            <w:shd w:val="clear" w:color="auto" w:fill="auto"/>
            <w:vAlign w:val="bottom"/>
            <w:hideMark/>
          </w:tcPr>
          <w:p w14:paraId="644B36E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4,5</w:t>
            </w:r>
          </w:p>
        </w:tc>
        <w:tc>
          <w:tcPr>
            <w:tcW w:w="263" w:type="pct"/>
            <w:shd w:val="clear" w:color="auto" w:fill="auto"/>
            <w:vAlign w:val="bottom"/>
            <w:hideMark/>
          </w:tcPr>
          <w:p w14:paraId="348664E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4,6</w:t>
            </w:r>
          </w:p>
        </w:tc>
        <w:tc>
          <w:tcPr>
            <w:tcW w:w="263" w:type="pct"/>
            <w:shd w:val="clear" w:color="auto" w:fill="auto"/>
            <w:vAlign w:val="bottom"/>
            <w:hideMark/>
          </w:tcPr>
          <w:p w14:paraId="22D8FC9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7,9</w:t>
            </w:r>
          </w:p>
        </w:tc>
        <w:tc>
          <w:tcPr>
            <w:tcW w:w="263" w:type="pct"/>
            <w:shd w:val="clear" w:color="auto" w:fill="auto"/>
            <w:vAlign w:val="bottom"/>
            <w:hideMark/>
          </w:tcPr>
          <w:p w14:paraId="795EA8B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263" w:type="pct"/>
            <w:shd w:val="clear" w:color="auto" w:fill="auto"/>
            <w:vAlign w:val="bottom"/>
            <w:hideMark/>
          </w:tcPr>
          <w:p w14:paraId="3F7C0E8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5,5</w:t>
            </w:r>
          </w:p>
        </w:tc>
        <w:tc>
          <w:tcPr>
            <w:tcW w:w="309" w:type="pct"/>
            <w:shd w:val="clear" w:color="auto" w:fill="auto"/>
            <w:vAlign w:val="bottom"/>
            <w:hideMark/>
          </w:tcPr>
          <w:p w14:paraId="154585B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328" w:type="pct"/>
            <w:shd w:val="clear" w:color="auto" w:fill="auto"/>
            <w:vAlign w:val="bottom"/>
            <w:hideMark/>
          </w:tcPr>
          <w:p w14:paraId="27288EC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4,5</w:t>
            </w:r>
          </w:p>
        </w:tc>
        <w:tc>
          <w:tcPr>
            <w:tcW w:w="328" w:type="pct"/>
            <w:shd w:val="clear" w:color="auto" w:fill="auto"/>
            <w:vAlign w:val="bottom"/>
            <w:hideMark/>
          </w:tcPr>
          <w:p w14:paraId="59FB6B4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4,0</w:t>
            </w:r>
          </w:p>
        </w:tc>
        <w:tc>
          <w:tcPr>
            <w:tcW w:w="336" w:type="pct"/>
            <w:shd w:val="clear" w:color="auto" w:fill="auto"/>
            <w:vAlign w:val="bottom"/>
            <w:hideMark/>
          </w:tcPr>
          <w:p w14:paraId="1D50231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375" w:type="pct"/>
            <w:shd w:val="clear" w:color="auto" w:fill="auto"/>
            <w:noWrap/>
            <w:vAlign w:val="bottom"/>
            <w:hideMark/>
          </w:tcPr>
          <w:p w14:paraId="26600DF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22,4</w:t>
            </w:r>
          </w:p>
        </w:tc>
        <w:tc>
          <w:tcPr>
            <w:tcW w:w="409" w:type="pct"/>
            <w:shd w:val="clear" w:color="auto" w:fill="auto"/>
            <w:vAlign w:val="bottom"/>
            <w:hideMark/>
          </w:tcPr>
          <w:p w14:paraId="4E039A6F"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477 600 </w:t>
            </w:r>
          </w:p>
        </w:tc>
      </w:tr>
      <w:tr w:rsidR="005F400D" w:rsidRPr="002A06C3" w14:paraId="3332247D" w14:textId="77777777" w:rsidTr="00EA7BDC">
        <w:trPr>
          <w:trHeight w:val="186"/>
        </w:trPr>
        <w:tc>
          <w:tcPr>
            <w:tcW w:w="1007" w:type="pct"/>
            <w:shd w:val="clear" w:color="auto" w:fill="auto"/>
            <w:vAlign w:val="bottom"/>
            <w:hideMark/>
          </w:tcPr>
          <w:p w14:paraId="27F8AD6D"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Av dette:</w:t>
            </w:r>
          </w:p>
        </w:tc>
        <w:tc>
          <w:tcPr>
            <w:tcW w:w="328" w:type="pct"/>
            <w:shd w:val="clear" w:color="auto" w:fill="auto"/>
            <w:vAlign w:val="bottom"/>
            <w:hideMark/>
          </w:tcPr>
          <w:p w14:paraId="0A220225"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5B90D39"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73D1DF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EB494C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0BB9724"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7A2108E"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F61CE36"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3630B10E"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5052BD9"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326FDB6E"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0841DC43"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61ABACE3"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1214634C" w14:textId="77777777" w:rsidR="005F400D" w:rsidRPr="002A06C3" w:rsidRDefault="005F400D" w:rsidP="008C4FE7">
            <w:pPr>
              <w:spacing w:after="0"/>
              <w:rPr>
                <w:rFonts w:ascii="Times New Roman" w:hAnsi="Times New Roman"/>
                <w:sz w:val="18"/>
                <w:szCs w:val="18"/>
              </w:rPr>
            </w:pPr>
          </w:p>
        </w:tc>
      </w:tr>
      <w:tr w:rsidR="005F400D" w:rsidRPr="002A06C3" w14:paraId="3B66826B" w14:textId="77777777" w:rsidTr="00EA7BDC">
        <w:trPr>
          <w:trHeight w:val="235"/>
        </w:trPr>
        <w:tc>
          <w:tcPr>
            <w:tcW w:w="1007" w:type="pct"/>
            <w:shd w:val="clear" w:color="auto" w:fill="auto"/>
            <w:vAlign w:val="bottom"/>
            <w:hideMark/>
          </w:tcPr>
          <w:p w14:paraId="25AEACFF"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Fagutdanning</w:t>
            </w:r>
            <w:r w:rsidRPr="002A06C3">
              <w:rPr>
                <w:rFonts w:ascii="Times New Roman" w:hAnsi="Times New Roman"/>
                <w:sz w:val="18"/>
                <w:szCs w:val="18"/>
                <w:vertAlign w:val="superscript"/>
              </w:rPr>
              <w:t>6</w:t>
            </w:r>
          </w:p>
        </w:tc>
        <w:tc>
          <w:tcPr>
            <w:tcW w:w="328" w:type="pct"/>
            <w:shd w:val="clear" w:color="auto" w:fill="auto"/>
            <w:vAlign w:val="bottom"/>
            <w:hideMark/>
          </w:tcPr>
          <w:p w14:paraId="392F8775"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7</w:t>
            </w:r>
          </w:p>
        </w:tc>
        <w:tc>
          <w:tcPr>
            <w:tcW w:w="263" w:type="pct"/>
            <w:shd w:val="clear" w:color="auto" w:fill="auto"/>
            <w:vAlign w:val="bottom"/>
            <w:hideMark/>
          </w:tcPr>
          <w:p w14:paraId="6F6C5EA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2,5</w:t>
            </w:r>
          </w:p>
        </w:tc>
        <w:tc>
          <w:tcPr>
            <w:tcW w:w="263" w:type="pct"/>
            <w:shd w:val="clear" w:color="auto" w:fill="auto"/>
            <w:vAlign w:val="bottom"/>
            <w:hideMark/>
          </w:tcPr>
          <w:p w14:paraId="2B7833F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263" w:type="pct"/>
            <w:shd w:val="clear" w:color="auto" w:fill="auto"/>
            <w:vAlign w:val="bottom"/>
            <w:hideMark/>
          </w:tcPr>
          <w:p w14:paraId="3D6F4C8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4,9</w:t>
            </w:r>
          </w:p>
        </w:tc>
        <w:tc>
          <w:tcPr>
            <w:tcW w:w="263" w:type="pct"/>
            <w:shd w:val="clear" w:color="auto" w:fill="auto"/>
            <w:vAlign w:val="bottom"/>
            <w:hideMark/>
          </w:tcPr>
          <w:p w14:paraId="71D8765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9,4</w:t>
            </w:r>
          </w:p>
        </w:tc>
        <w:tc>
          <w:tcPr>
            <w:tcW w:w="263" w:type="pct"/>
            <w:shd w:val="clear" w:color="auto" w:fill="auto"/>
            <w:vAlign w:val="bottom"/>
            <w:hideMark/>
          </w:tcPr>
          <w:p w14:paraId="183FEB0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263" w:type="pct"/>
            <w:shd w:val="clear" w:color="auto" w:fill="auto"/>
            <w:vAlign w:val="bottom"/>
            <w:hideMark/>
          </w:tcPr>
          <w:p w14:paraId="6727364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5,3</w:t>
            </w:r>
          </w:p>
        </w:tc>
        <w:tc>
          <w:tcPr>
            <w:tcW w:w="309" w:type="pct"/>
            <w:shd w:val="clear" w:color="auto" w:fill="auto"/>
            <w:vAlign w:val="bottom"/>
            <w:hideMark/>
          </w:tcPr>
          <w:p w14:paraId="665AA62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3,8</w:t>
            </w:r>
          </w:p>
        </w:tc>
        <w:tc>
          <w:tcPr>
            <w:tcW w:w="328" w:type="pct"/>
            <w:shd w:val="clear" w:color="auto" w:fill="auto"/>
            <w:vAlign w:val="bottom"/>
            <w:hideMark/>
          </w:tcPr>
          <w:p w14:paraId="3EA5D86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4,5</w:t>
            </w:r>
          </w:p>
        </w:tc>
        <w:tc>
          <w:tcPr>
            <w:tcW w:w="328" w:type="pct"/>
            <w:shd w:val="clear" w:color="auto" w:fill="auto"/>
            <w:vAlign w:val="bottom"/>
            <w:hideMark/>
          </w:tcPr>
          <w:p w14:paraId="7B6BA8E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336" w:type="pct"/>
            <w:shd w:val="clear" w:color="auto" w:fill="auto"/>
            <w:vAlign w:val="bottom"/>
            <w:hideMark/>
          </w:tcPr>
          <w:p w14:paraId="6C3B9CA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375" w:type="pct"/>
            <w:shd w:val="clear" w:color="auto" w:fill="auto"/>
            <w:noWrap/>
            <w:vAlign w:val="bottom"/>
            <w:hideMark/>
          </w:tcPr>
          <w:p w14:paraId="45F6954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23,2</w:t>
            </w:r>
          </w:p>
        </w:tc>
        <w:tc>
          <w:tcPr>
            <w:tcW w:w="409" w:type="pct"/>
            <w:shd w:val="clear" w:color="auto" w:fill="auto"/>
            <w:vAlign w:val="bottom"/>
            <w:hideMark/>
          </w:tcPr>
          <w:p w14:paraId="1FCA9FF0"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477 600 </w:t>
            </w:r>
          </w:p>
        </w:tc>
      </w:tr>
      <w:tr w:rsidR="005F400D" w:rsidRPr="002A06C3" w14:paraId="7F5FA8EC" w14:textId="77777777" w:rsidTr="00EA7BDC">
        <w:trPr>
          <w:trHeight w:val="510"/>
        </w:trPr>
        <w:tc>
          <w:tcPr>
            <w:tcW w:w="1007" w:type="pct"/>
            <w:shd w:val="clear" w:color="auto" w:fill="auto"/>
            <w:vAlign w:val="bottom"/>
            <w:hideMark/>
          </w:tcPr>
          <w:p w14:paraId="66A6209B"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til og med 4 år</w:t>
            </w:r>
          </w:p>
        </w:tc>
        <w:tc>
          <w:tcPr>
            <w:tcW w:w="328" w:type="pct"/>
            <w:shd w:val="clear" w:color="auto" w:fill="auto"/>
            <w:vAlign w:val="bottom"/>
            <w:hideMark/>
          </w:tcPr>
          <w:p w14:paraId="0E3DBD11"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33</w:t>
            </w:r>
          </w:p>
        </w:tc>
        <w:tc>
          <w:tcPr>
            <w:tcW w:w="263" w:type="pct"/>
            <w:shd w:val="clear" w:color="auto" w:fill="auto"/>
            <w:vAlign w:val="bottom"/>
            <w:hideMark/>
          </w:tcPr>
          <w:p w14:paraId="718AF81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3,2</w:t>
            </w:r>
          </w:p>
        </w:tc>
        <w:tc>
          <w:tcPr>
            <w:tcW w:w="263" w:type="pct"/>
            <w:shd w:val="clear" w:color="auto" w:fill="auto"/>
            <w:vAlign w:val="bottom"/>
            <w:hideMark/>
          </w:tcPr>
          <w:p w14:paraId="7B5C45B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4,9</w:t>
            </w:r>
          </w:p>
        </w:tc>
        <w:tc>
          <w:tcPr>
            <w:tcW w:w="263" w:type="pct"/>
            <w:shd w:val="clear" w:color="auto" w:fill="auto"/>
            <w:vAlign w:val="bottom"/>
            <w:hideMark/>
          </w:tcPr>
          <w:p w14:paraId="1DEAB87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4,8</w:t>
            </w:r>
          </w:p>
        </w:tc>
        <w:tc>
          <w:tcPr>
            <w:tcW w:w="263" w:type="pct"/>
            <w:shd w:val="clear" w:color="auto" w:fill="auto"/>
            <w:vAlign w:val="bottom"/>
            <w:hideMark/>
          </w:tcPr>
          <w:p w14:paraId="50B3C8B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7,8</w:t>
            </w:r>
          </w:p>
        </w:tc>
        <w:tc>
          <w:tcPr>
            <w:tcW w:w="263" w:type="pct"/>
            <w:shd w:val="clear" w:color="auto" w:fill="auto"/>
            <w:vAlign w:val="bottom"/>
            <w:hideMark/>
          </w:tcPr>
          <w:p w14:paraId="1C279DE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263" w:type="pct"/>
            <w:shd w:val="clear" w:color="auto" w:fill="auto"/>
            <w:vAlign w:val="bottom"/>
            <w:hideMark/>
          </w:tcPr>
          <w:p w14:paraId="36E23C3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6,0</w:t>
            </w:r>
          </w:p>
        </w:tc>
        <w:tc>
          <w:tcPr>
            <w:tcW w:w="309" w:type="pct"/>
            <w:shd w:val="clear" w:color="auto" w:fill="auto"/>
            <w:vAlign w:val="bottom"/>
            <w:hideMark/>
          </w:tcPr>
          <w:p w14:paraId="202D609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328" w:type="pct"/>
            <w:shd w:val="clear" w:color="auto" w:fill="auto"/>
            <w:vAlign w:val="bottom"/>
            <w:hideMark/>
          </w:tcPr>
          <w:p w14:paraId="07DEC9A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4,0</w:t>
            </w:r>
          </w:p>
        </w:tc>
        <w:tc>
          <w:tcPr>
            <w:tcW w:w="328" w:type="pct"/>
            <w:shd w:val="clear" w:color="auto" w:fill="auto"/>
            <w:vAlign w:val="bottom"/>
            <w:hideMark/>
          </w:tcPr>
          <w:p w14:paraId="08EA2AB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336" w:type="pct"/>
            <w:shd w:val="clear" w:color="auto" w:fill="auto"/>
            <w:vAlign w:val="bottom"/>
            <w:hideMark/>
          </w:tcPr>
          <w:p w14:paraId="1A75604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375" w:type="pct"/>
            <w:shd w:val="clear" w:color="auto" w:fill="auto"/>
            <w:noWrap/>
            <w:vAlign w:val="bottom"/>
            <w:hideMark/>
          </w:tcPr>
          <w:p w14:paraId="23FC888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21,9</w:t>
            </w:r>
          </w:p>
        </w:tc>
        <w:tc>
          <w:tcPr>
            <w:tcW w:w="409" w:type="pct"/>
            <w:shd w:val="clear" w:color="auto" w:fill="auto"/>
            <w:vAlign w:val="bottom"/>
            <w:hideMark/>
          </w:tcPr>
          <w:p w14:paraId="2A0E3DA5"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532 800 </w:t>
            </w:r>
          </w:p>
        </w:tc>
      </w:tr>
      <w:tr w:rsidR="005F400D" w:rsidRPr="002A06C3" w14:paraId="18148B05" w14:textId="77777777" w:rsidTr="00EA7BDC">
        <w:trPr>
          <w:trHeight w:val="510"/>
        </w:trPr>
        <w:tc>
          <w:tcPr>
            <w:tcW w:w="1007" w:type="pct"/>
            <w:shd w:val="clear" w:color="auto" w:fill="auto"/>
            <w:vAlign w:val="bottom"/>
            <w:hideMark/>
          </w:tcPr>
          <w:p w14:paraId="13E0589A"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lengre enn 4 år</w:t>
            </w:r>
          </w:p>
        </w:tc>
        <w:tc>
          <w:tcPr>
            <w:tcW w:w="328" w:type="pct"/>
            <w:shd w:val="clear" w:color="auto" w:fill="auto"/>
            <w:vAlign w:val="bottom"/>
            <w:hideMark/>
          </w:tcPr>
          <w:p w14:paraId="20B3D0F5"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34</w:t>
            </w:r>
          </w:p>
        </w:tc>
        <w:tc>
          <w:tcPr>
            <w:tcW w:w="263" w:type="pct"/>
            <w:shd w:val="clear" w:color="auto" w:fill="auto"/>
            <w:vAlign w:val="bottom"/>
            <w:hideMark/>
          </w:tcPr>
          <w:p w14:paraId="2D6405A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263" w:type="pct"/>
            <w:shd w:val="clear" w:color="auto" w:fill="auto"/>
            <w:vAlign w:val="bottom"/>
            <w:hideMark/>
          </w:tcPr>
          <w:p w14:paraId="71395F1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4,6</w:t>
            </w:r>
          </w:p>
        </w:tc>
        <w:tc>
          <w:tcPr>
            <w:tcW w:w="263" w:type="pct"/>
            <w:shd w:val="clear" w:color="auto" w:fill="auto"/>
            <w:vAlign w:val="bottom"/>
            <w:hideMark/>
          </w:tcPr>
          <w:p w14:paraId="4101A82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4,6</w:t>
            </w:r>
          </w:p>
        </w:tc>
        <w:tc>
          <w:tcPr>
            <w:tcW w:w="263" w:type="pct"/>
            <w:shd w:val="clear" w:color="auto" w:fill="auto"/>
            <w:vAlign w:val="bottom"/>
            <w:hideMark/>
          </w:tcPr>
          <w:p w14:paraId="779CE65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7,2</w:t>
            </w:r>
          </w:p>
        </w:tc>
        <w:tc>
          <w:tcPr>
            <w:tcW w:w="263" w:type="pct"/>
            <w:shd w:val="clear" w:color="auto" w:fill="auto"/>
            <w:vAlign w:val="bottom"/>
            <w:hideMark/>
          </w:tcPr>
          <w:p w14:paraId="593E63D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263" w:type="pct"/>
            <w:shd w:val="clear" w:color="auto" w:fill="auto"/>
            <w:vAlign w:val="bottom"/>
            <w:hideMark/>
          </w:tcPr>
          <w:p w14:paraId="4988F1D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4,0</w:t>
            </w:r>
          </w:p>
        </w:tc>
        <w:tc>
          <w:tcPr>
            <w:tcW w:w="309" w:type="pct"/>
            <w:shd w:val="clear" w:color="auto" w:fill="auto"/>
            <w:vAlign w:val="bottom"/>
            <w:hideMark/>
          </w:tcPr>
          <w:p w14:paraId="25B3A56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3,2</w:t>
            </w:r>
          </w:p>
        </w:tc>
        <w:tc>
          <w:tcPr>
            <w:tcW w:w="328" w:type="pct"/>
            <w:shd w:val="clear" w:color="auto" w:fill="auto"/>
            <w:vAlign w:val="bottom"/>
            <w:hideMark/>
          </w:tcPr>
          <w:p w14:paraId="77DDD68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328" w:type="pct"/>
            <w:shd w:val="clear" w:color="auto" w:fill="auto"/>
            <w:vAlign w:val="bottom"/>
            <w:hideMark/>
          </w:tcPr>
          <w:p w14:paraId="147CF9E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336" w:type="pct"/>
            <w:shd w:val="clear" w:color="auto" w:fill="auto"/>
            <w:vAlign w:val="bottom"/>
            <w:hideMark/>
          </w:tcPr>
          <w:p w14:paraId="198ADC9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375" w:type="pct"/>
            <w:shd w:val="clear" w:color="auto" w:fill="auto"/>
            <w:noWrap/>
            <w:vAlign w:val="bottom"/>
            <w:hideMark/>
          </w:tcPr>
          <w:p w14:paraId="7F3E75D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19,2</w:t>
            </w:r>
          </w:p>
        </w:tc>
        <w:tc>
          <w:tcPr>
            <w:tcW w:w="409" w:type="pct"/>
            <w:shd w:val="clear" w:color="auto" w:fill="auto"/>
            <w:vAlign w:val="bottom"/>
            <w:hideMark/>
          </w:tcPr>
          <w:p w14:paraId="1A3C584F"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602 400 </w:t>
            </w:r>
          </w:p>
        </w:tc>
      </w:tr>
      <w:tr w:rsidR="005F400D" w:rsidRPr="002A06C3" w14:paraId="19F40B6C" w14:textId="77777777" w:rsidTr="00EA7BDC">
        <w:trPr>
          <w:trHeight w:val="255"/>
        </w:trPr>
        <w:tc>
          <w:tcPr>
            <w:tcW w:w="1007" w:type="pct"/>
            <w:shd w:val="clear" w:color="auto" w:fill="auto"/>
            <w:vAlign w:val="bottom"/>
            <w:hideMark/>
          </w:tcPr>
          <w:p w14:paraId="6725FAC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Uoppgitt eller ingen fullført utdanning</w:t>
            </w:r>
          </w:p>
        </w:tc>
        <w:tc>
          <w:tcPr>
            <w:tcW w:w="328" w:type="pct"/>
            <w:shd w:val="clear" w:color="auto" w:fill="auto"/>
            <w:vAlign w:val="bottom"/>
            <w:hideMark/>
          </w:tcPr>
          <w:p w14:paraId="3711CA4E"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2</w:t>
            </w:r>
          </w:p>
        </w:tc>
        <w:tc>
          <w:tcPr>
            <w:tcW w:w="263" w:type="pct"/>
            <w:shd w:val="clear" w:color="auto" w:fill="auto"/>
            <w:vAlign w:val="bottom"/>
            <w:hideMark/>
          </w:tcPr>
          <w:p w14:paraId="408AE668"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BB5F5FB"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EAA5B9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889E0DD"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C84731A"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04066BD"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51B246A3"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3F4CBD39"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7E03FDA8"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7A2720F2"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4A27DB20"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760E3429" w14:textId="77777777" w:rsidR="005F400D" w:rsidRPr="002A06C3" w:rsidRDefault="005F400D" w:rsidP="008C4FE7">
            <w:pPr>
              <w:spacing w:after="0"/>
              <w:jc w:val="center"/>
              <w:rPr>
                <w:rFonts w:ascii="Times New Roman" w:hAnsi="Times New Roman"/>
                <w:sz w:val="18"/>
                <w:szCs w:val="18"/>
              </w:rPr>
            </w:pPr>
          </w:p>
        </w:tc>
      </w:tr>
      <w:tr w:rsidR="005F400D" w:rsidRPr="002A06C3" w14:paraId="75FE1007" w14:textId="77777777" w:rsidTr="00EA7BDC">
        <w:trPr>
          <w:trHeight w:val="255"/>
        </w:trPr>
        <w:tc>
          <w:tcPr>
            <w:tcW w:w="1007" w:type="pct"/>
            <w:shd w:val="clear" w:color="auto" w:fill="auto"/>
            <w:vAlign w:val="bottom"/>
            <w:hideMark/>
          </w:tcPr>
          <w:p w14:paraId="4266F1E5" w14:textId="77777777" w:rsidR="005F400D" w:rsidRPr="002A06C3" w:rsidRDefault="005F400D" w:rsidP="008C4FE7">
            <w:pPr>
              <w:spacing w:after="0"/>
              <w:rPr>
                <w:rFonts w:ascii="Times New Roman" w:hAnsi="Times New Roman"/>
                <w:sz w:val="18"/>
                <w:szCs w:val="18"/>
              </w:rPr>
            </w:pPr>
          </w:p>
        </w:tc>
        <w:tc>
          <w:tcPr>
            <w:tcW w:w="328" w:type="pct"/>
            <w:shd w:val="clear" w:color="auto" w:fill="auto"/>
            <w:vAlign w:val="bottom"/>
            <w:hideMark/>
          </w:tcPr>
          <w:p w14:paraId="025AB8DC"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D727B2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BEB7FF4"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4989D10"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DCE5E75"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10A7ADC"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A1800EB"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65E81DA5"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14C640D3"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14B19820"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7C25C350" w14:textId="77777777" w:rsidR="005F400D" w:rsidRPr="002A06C3"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4FC2BD09" w14:textId="77777777" w:rsidR="005F400D" w:rsidRPr="002A06C3"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7CDAEE8A" w14:textId="77777777" w:rsidR="005F400D" w:rsidRPr="002A06C3" w:rsidRDefault="005F400D" w:rsidP="008C4FE7">
            <w:pPr>
              <w:spacing w:after="0"/>
              <w:jc w:val="center"/>
              <w:rPr>
                <w:rFonts w:ascii="Times New Roman" w:hAnsi="Times New Roman"/>
                <w:sz w:val="18"/>
                <w:szCs w:val="18"/>
              </w:rPr>
            </w:pPr>
          </w:p>
        </w:tc>
      </w:tr>
      <w:tr w:rsidR="005F400D" w:rsidRPr="002A06C3" w14:paraId="08A671AB" w14:textId="77777777" w:rsidTr="00EA7BDC">
        <w:trPr>
          <w:trHeight w:val="315"/>
        </w:trPr>
        <w:tc>
          <w:tcPr>
            <w:tcW w:w="1007" w:type="pct"/>
            <w:shd w:val="clear" w:color="auto" w:fill="auto"/>
            <w:vAlign w:val="bottom"/>
            <w:hideMark/>
          </w:tcPr>
          <w:p w14:paraId="2EB9CBF6" w14:textId="77777777" w:rsidR="005F400D" w:rsidRPr="002A06C3" w:rsidRDefault="005F400D" w:rsidP="008C4FE7">
            <w:pPr>
              <w:spacing w:after="0"/>
              <w:rPr>
                <w:rFonts w:ascii="Times New Roman" w:hAnsi="Times New Roman"/>
                <w:b/>
                <w:bCs/>
                <w:sz w:val="18"/>
                <w:szCs w:val="18"/>
              </w:rPr>
            </w:pPr>
            <w:r w:rsidRPr="002A06C3">
              <w:rPr>
                <w:rFonts w:ascii="Times New Roman" w:hAnsi="Times New Roman"/>
                <w:b/>
                <w:bCs/>
                <w:sz w:val="18"/>
                <w:szCs w:val="18"/>
              </w:rPr>
              <w:t>Kommune og fylkeskommune</w:t>
            </w:r>
            <w:r w:rsidRPr="002A06C3">
              <w:rPr>
                <w:rFonts w:ascii="Times New Roman" w:hAnsi="Times New Roman"/>
                <w:b/>
                <w:bCs/>
                <w:sz w:val="18"/>
                <w:szCs w:val="18"/>
                <w:vertAlign w:val="superscript"/>
              </w:rPr>
              <w:t>9</w:t>
            </w:r>
            <w:r w:rsidRPr="002A06C3">
              <w:rPr>
                <w:rFonts w:ascii="Times New Roman" w:hAnsi="Times New Roman"/>
                <w:b/>
                <w:bCs/>
                <w:sz w:val="18"/>
                <w:szCs w:val="18"/>
              </w:rPr>
              <w:t xml:space="preserve"> </w:t>
            </w:r>
          </w:p>
        </w:tc>
        <w:tc>
          <w:tcPr>
            <w:tcW w:w="328" w:type="pct"/>
            <w:shd w:val="clear" w:color="auto" w:fill="auto"/>
            <w:vAlign w:val="bottom"/>
            <w:hideMark/>
          </w:tcPr>
          <w:p w14:paraId="28D27A1B" w14:textId="77777777" w:rsidR="005F400D" w:rsidRPr="005E5FAE" w:rsidRDefault="005F400D" w:rsidP="008C4FE7">
            <w:pPr>
              <w:spacing w:after="0"/>
              <w:jc w:val="center"/>
              <w:rPr>
                <w:rFonts w:ascii="Times New Roman" w:hAnsi="Times New Roman"/>
                <w:sz w:val="18"/>
                <w:szCs w:val="18"/>
              </w:rPr>
            </w:pPr>
            <w:r w:rsidRPr="005E5FAE">
              <w:rPr>
                <w:rFonts w:ascii="Times New Roman" w:hAnsi="Times New Roman"/>
                <w:sz w:val="18"/>
                <w:szCs w:val="18"/>
              </w:rPr>
              <w:t>100</w:t>
            </w:r>
          </w:p>
        </w:tc>
        <w:tc>
          <w:tcPr>
            <w:tcW w:w="263" w:type="pct"/>
            <w:shd w:val="clear" w:color="auto" w:fill="auto"/>
            <w:vAlign w:val="bottom"/>
            <w:hideMark/>
          </w:tcPr>
          <w:p w14:paraId="2DA31A3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2,2</w:t>
            </w:r>
          </w:p>
        </w:tc>
        <w:tc>
          <w:tcPr>
            <w:tcW w:w="263" w:type="pct"/>
            <w:shd w:val="clear" w:color="auto" w:fill="auto"/>
            <w:vAlign w:val="bottom"/>
            <w:hideMark/>
          </w:tcPr>
          <w:p w14:paraId="6530FFC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263" w:type="pct"/>
            <w:shd w:val="clear" w:color="auto" w:fill="auto"/>
            <w:vAlign w:val="bottom"/>
            <w:hideMark/>
          </w:tcPr>
          <w:p w14:paraId="23D23D2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4,5</w:t>
            </w:r>
          </w:p>
        </w:tc>
        <w:tc>
          <w:tcPr>
            <w:tcW w:w="263" w:type="pct"/>
            <w:shd w:val="clear" w:color="auto" w:fill="auto"/>
            <w:vAlign w:val="bottom"/>
            <w:hideMark/>
          </w:tcPr>
          <w:p w14:paraId="5381E22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7,3</w:t>
            </w:r>
          </w:p>
        </w:tc>
        <w:tc>
          <w:tcPr>
            <w:tcW w:w="263" w:type="pct"/>
            <w:shd w:val="clear" w:color="auto" w:fill="auto"/>
            <w:vAlign w:val="bottom"/>
            <w:hideMark/>
          </w:tcPr>
          <w:p w14:paraId="38CDE73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263" w:type="pct"/>
            <w:shd w:val="clear" w:color="auto" w:fill="auto"/>
            <w:vAlign w:val="bottom"/>
            <w:hideMark/>
          </w:tcPr>
          <w:p w14:paraId="4E2BAB7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309" w:type="pct"/>
            <w:shd w:val="clear" w:color="auto" w:fill="auto"/>
            <w:vAlign w:val="bottom"/>
            <w:hideMark/>
          </w:tcPr>
          <w:p w14:paraId="7C5D5AC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2,8</w:t>
            </w:r>
          </w:p>
        </w:tc>
        <w:tc>
          <w:tcPr>
            <w:tcW w:w="328" w:type="pct"/>
            <w:shd w:val="clear" w:color="auto" w:fill="auto"/>
            <w:vAlign w:val="bottom"/>
            <w:hideMark/>
          </w:tcPr>
          <w:p w14:paraId="246F813F"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6,1</w:t>
            </w:r>
          </w:p>
        </w:tc>
        <w:tc>
          <w:tcPr>
            <w:tcW w:w="328" w:type="pct"/>
            <w:shd w:val="clear" w:color="auto" w:fill="auto"/>
            <w:vAlign w:val="bottom"/>
            <w:hideMark/>
          </w:tcPr>
          <w:p w14:paraId="64BE0D59"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1,8</w:t>
            </w:r>
          </w:p>
        </w:tc>
        <w:tc>
          <w:tcPr>
            <w:tcW w:w="336" w:type="pct"/>
            <w:shd w:val="clear" w:color="auto" w:fill="auto"/>
            <w:vAlign w:val="bottom"/>
            <w:hideMark/>
          </w:tcPr>
          <w:p w14:paraId="6A1309C3"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4,6 </w:t>
            </w:r>
          </w:p>
        </w:tc>
        <w:tc>
          <w:tcPr>
            <w:tcW w:w="375" w:type="pct"/>
            <w:shd w:val="clear" w:color="auto" w:fill="auto"/>
            <w:noWrap/>
            <w:vAlign w:val="bottom"/>
            <w:hideMark/>
          </w:tcPr>
          <w:p w14:paraId="776A7665"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22,0</w:t>
            </w:r>
          </w:p>
        </w:tc>
        <w:tc>
          <w:tcPr>
            <w:tcW w:w="409" w:type="pct"/>
            <w:shd w:val="clear" w:color="auto" w:fill="auto"/>
            <w:vAlign w:val="bottom"/>
            <w:hideMark/>
          </w:tcPr>
          <w:p w14:paraId="4A4D0ADC"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492 000 </w:t>
            </w:r>
          </w:p>
        </w:tc>
      </w:tr>
      <w:tr w:rsidR="005F400D" w:rsidRPr="002A06C3" w14:paraId="2606AB60" w14:textId="77777777" w:rsidTr="00EA7BDC">
        <w:trPr>
          <w:trHeight w:val="255"/>
        </w:trPr>
        <w:tc>
          <w:tcPr>
            <w:tcW w:w="1007" w:type="pct"/>
            <w:shd w:val="clear" w:color="auto" w:fill="auto"/>
            <w:vAlign w:val="bottom"/>
            <w:hideMark/>
          </w:tcPr>
          <w:p w14:paraId="74635521"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grunnskolenivå</w:t>
            </w:r>
          </w:p>
        </w:tc>
        <w:tc>
          <w:tcPr>
            <w:tcW w:w="328" w:type="pct"/>
            <w:shd w:val="clear" w:color="auto" w:fill="auto"/>
            <w:vAlign w:val="bottom"/>
            <w:hideMark/>
          </w:tcPr>
          <w:p w14:paraId="21C5D30B" w14:textId="77777777" w:rsidR="005F400D" w:rsidRPr="005E5FAE" w:rsidRDefault="005F400D" w:rsidP="008C4FE7">
            <w:pPr>
              <w:spacing w:after="0"/>
              <w:jc w:val="center"/>
              <w:rPr>
                <w:rFonts w:ascii="Times New Roman" w:hAnsi="Times New Roman"/>
                <w:sz w:val="18"/>
                <w:szCs w:val="18"/>
              </w:rPr>
            </w:pPr>
            <w:r w:rsidRPr="005E5FAE">
              <w:rPr>
                <w:rFonts w:ascii="Times New Roman" w:hAnsi="Times New Roman"/>
                <w:sz w:val="18"/>
                <w:szCs w:val="18"/>
              </w:rPr>
              <w:t>7</w:t>
            </w:r>
          </w:p>
        </w:tc>
        <w:tc>
          <w:tcPr>
            <w:tcW w:w="263" w:type="pct"/>
            <w:shd w:val="clear" w:color="auto" w:fill="auto"/>
            <w:vAlign w:val="bottom"/>
            <w:hideMark/>
          </w:tcPr>
          <w:p w14:paraId="3D3E10C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263" w:type="pct"/>
            <w:shd w:val="clear" w:color="auto" w:fill="auto"/>
            <w:vAlign w:val="bottom"/>
            <w:hideMark/>
          </w:tcPr>
          <w:p w14:paraId="1117977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6,8</w:t>
            </w:r>
          </w:p>
        </w:tc>
        <w:tc>
          <w:tcPr>
            <w:tcW w:w="263" w:type="pct"/>
            <w:shd w:val="clear" w:color="auto" w:fill="auto"/>
            <w:vAlign w:val="bottom"/>
            <w:hideMark/>
          </w:tcPr>
          <w:p w14:paraId="51196D0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4,7</w:t>
            </w:r>
          </w:p>
        </w:tc>
        <w:tc>
          <w:tcPr>
            <w:tcW w:w="263" w:type="pct"/>
            <w:shd w:val="clear" w:color="auto" w:fill="auto"/>
            <w:vAlign w:val="bottom"/>
            <w:hideMark/>
          </w:tcPr>
          <w:p w14:paraId="5779122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7,3</w:t>
            </w:r>
          </w:p>
        </w:tc>
        <w:tc>
          <w:tcPr>
            <w:tcW w:w="263" w:type="pct"/>
            <w:shd w:val="clear" w:color="auto" w:fill="auto"/>
            <w:vAlign w:val="bottom"/>
            <w:hideMark/>
          </w:tcPr>
          <w:p w14:paraId="5ABAC6E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2,3</w:t>
            </w:r>
          </w:p>
        </w:tc>
        <w:tc>
          <w:tcPr>
            <w:tcW w:w="263" w:type="pct"/>
            <w:shd w:val="clear" w:color="auto" w:fill="auto"/>
            <w:vAlign w:val="bottom"/>
            <w:hideMark/>
          </w:tcPr>
          <w:p w14:paraId="4A6E3AA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5,9</w:t>
            </w:r>
          </w:p>
        </w:tc>
        <w:tc>
          <w:tcPr>
            <w:tcW w:w="309" w:type="pct"/>
            <w:shd w:val="clear" w:color="auto" w:fill="auto"/>
            <w:vAlign w:val="bottom"/>
            <w:hideMark/>
          </w:tcPr>
          <w:p w14:paraId="01CC05B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2,8</w:t>
            </w:r>
          </w:p>
        </w:tc>
        <w:tc>
          <w:tcPr>
            <w:tcW w:w="328" w:type="pct"/>
            <w:shd w:val="clear" w:color="auto" w:fill="auto"/>
            <w:vAlign w:val="bottom"/>
            <w:hideMark/>
          </w:tcPr>
          <w:p w14:paraId="0B04CF92"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5,1</w:t>
            </w:r>
          </w:p>
        </w:tc>
        <w:tc>
          <w:tcPr>
            <w:tcW w:w="328" w:type="pct"/>
            <w:shd w:val="clear" w:color="auto" w:fill="auto"/>
            <w:vAlign w:val="bottom"/>
            <w:hideMark/>
          </w:tcPr>
          <w:p w14:paraId="529BD873"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2,3</w:t>
            </w:r>
          </w:p>
        </w:tc>
        <w:tc>
          <w:tcPr>
            <w:tcW w:w="336" w:type="pct"/>
            <w:shd w:val="clear" w:color="auto" w:fill="auto"/>
            <w:vAlign w:val="bottom"/>
            <w:hideMark/>
          </w:tcPr>
          <w:p w14:paraId="3FCB9E64"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4,7 </w:t>
            </w:r>
          </w:p>
        </w:tc>
        <w:tc>
          <w:tcPr>
            <w:tcW w:w="375" w:type="pct"/>
            <w:shd w:val="clear" w:color="auto" w:fill="auto"/>
            <w:noWrap/>
            <w:vAlign w:val="bottom"/>
            <w:hideMark/>
          </w:tcPr>
          <w:p w14:paraId="01883F18"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22,6</w:t>
            </w:r>
          </w:p>
        </w:tc>
        <w:tc>
          <w:tcPr>
            <w:tcW w:w="409" w:type="pct"/>
            <w:shd w:val="clear" w:color="auto" w:fill="auto"/>
            <w:vAlign w:val="bottom"/>
            <w:hideMark/>
          </w:tcPr>
          <w:p w14:paraId="62E92A3F"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397 200 </w:t>
            </w:r>
          </w:p>
        </w:tc>
      </w:tr>
      <w:tr w:rsidR="005F400D" w:rsidRPr="002A06C3" w14:paraId="3BDE642F" w14:textId="77777777" w:rsidTr="00EA7BDC">
        <w:trPr>
          <w:trHeight w:val="510"/>
        </w:trPr>
        <w:tc>
          <w:tcPr>
            <w:tcW w:w="1007" w:type="pct"/>
            <w:shd w:val="clear" w:color="auto" w:fill="auto"/>
            <w:vAlign w:val="bottom"/>
            <w:hideMark/>
          </w:tcPr>
          <w:p w14:paraId="68E943CF"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videregående skolenivå</w:t>
            </w:r>
          </w:p>
        </w:tc>
        <w:tc>
          <w:tcPr>
            <w:tcW w:w="328" w:type="pct"/>
            <w:shd w:val="clear" w:color="auto" w:fill="auto"/>
            <w:vAlign w:val="bottom"/>
            <w:hideMark/>
          </w:tcPr>
          <w:p w14:paraId="57DB5668" w14:textId="77777777" w:rsidR="005F400D" w:rsidRPr="005E5FAE" w:rsidRDefault="005F400D" w:rsidP="008C4FE7">
            <w:pPr>
              <w:spacing w:after="0"/>
              <w:jc w:val="center"/>
              <w:rPr>
                <w:rFonts w:ascii="Times New Roman" w:hAnsi="Times New Roman"/>
                <w:sz w:val="18"/>
                <w:szCs w:val="18"/>
              </w:rPr>
            </w:pPr>
            <w:r w:rsidRPr="005E5FAE">
              <w:rPr>
                <w:rFonts w:ascii="Times New Roman" w:hAnsi="Times New Roman"/>
                <w:sz w:val="18"/>
                <w:szCs w:val="18"/>
              </w:rPr>
              <w:t>25</w:t>
            </w:r>
          </w:p>
        </w:tc>
        <w:tc>
          <w:tcPr>
            <w:tcW w:w="263" w:type="pct"/>
            <w:shd w:val="clear" w:color="auto" w:fill="auto"/>
            <w:vAlign w:val="bottom"/>
            <w:hideMark/>
          </w:tcPr>
          <w:p w14:paraId="148EB77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2,2</w:t>
            </w:r>
          </w:p>
        </w:tc>
        <w:tc>
          <w:tcPr>
            <w:tcW w:w="263" w:type="pct"/>
            <w:shd w:val="clear" w:color="auto" w:fill="auto"/>
            <w:vAlign w:val="bottom"/>
            <w:hideMark/>
          </w:tcPr>
          <w:p w14:paraId="42200D7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5,5</w:t>
            </w:r>
          </w:p>
        </w:tc>
        <w:tc>
          <w:tcPr>
            <w:tcW w:w="263" w:type="pct"/>
            <w:shd w:val="clear" w:color="auto" w:fill="auto"/>
            <w:vAlign w:val="bottom"/>
            <w:hideMark/>
          </w:tcPr>
          <w:p w14:paraId="62B2716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5,2</w:t>
            </w:r>
          </w:p>
        </w:tc>
        <w:tc>
          <w:tcPr>
            <w:tcW w:w="263" w:type="pct"/>
            <w:shd w:val="clear" w:color="auto" w:fill="auto"/>
            <w:vAlign w:val="bottom"/>
            <w:hideMark/>
          </w:tcPr>
          <w:p w14:paraId="72B4E24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8,3</w:t>
            </w:r>
          </w:p>
        </w:tc>
        <w:tc>
          <w:tcPr>
            <w:tcW w:w="263" w:type="pct"/>
            <w:shd w:val="clear" w:color="auto" w:fill="auto"/>
            <w:vAlign w:val="bottom"/>
            <w:hideMark/>
          </w:tcPr>
          <w:p w14:paraId="20593BD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263" w:type="pct"/>
            <w:shd w:val="clear" w:color="auto" w:fill="auto"/>
            <w:vAlign w:val="bottom"/>
            <w:hideMark/>
          </w:tcPr>
          <w:p w14:paraId="1A59B21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309" w:type="pct"/>
            <w:shd w:val="clear" w:color="auto" w:fill="auto"/>
            <w:vAlign w:val="bottom"/>
            <w:hideMark/>
          </w:tcPr>
          <w:p w14:paraId="7E1240B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328" w:type="pct"/>
            <w:shd w:val="clear" w:color="auto" w:fill="auto"/>
            <w:vAlign w:val="bottom"/>
            <w:hideMark/>
          </w:tcPr>
          <w:p w14:paraId="1D4ACD29"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5,9</w:t>
            </w:r>
          </w:p>
        </w:tc>
        <w:tc>
          <w:tcPr>
            <w:tcW w:w="328" w:type="pct"/>
            <w:shd w:val="clear" w:color="auto" w:fill="auto"/>
            <w:vAlign w:val="bottom"/>
            <w:hideMark/>
          </w:tcPr>
          <w:p w14:paraId="59AD556A"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1,8</w:t>
            </w:r>
          </w:p>
        </w:tc>
        <w:tc>
          <w:tcPr>
            <w:tcW w:w="336" w:type="pct"/>
            <w:shd w:val="clear" w:color="auto" w:fill="auto"/>
            <w:vAlign w:val="bottom"/>
            <w:hideMark/>
          </w:tcPr>
          <w:p w14:paraId="69B2B433"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4,6 </w:t>
            </w:r>
          </w:p>
        </w:tc>
        <w:tc>
          <w:tcPr>
            <w:tcW w:w="375" w:type="pct"/>
            <w:shd w:val="clear" w:color="auto" w:fill="auto"/>
            <w:noWrap/>
            <w:vAlign w:val="bottom"/>
            <w:hideMark/>
          </w:tcPr>
          <w:p w14:paraId="07B7E990"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22,0</w:t>
            </w:r>
          </w:p>
        </w:tc>
        <w:tc>
          <w:tcPr>
            <w:tcW w:w="409" w:type="pct"/>
            <w:shd w:val="clear" w:color="auto" w:fill="auto"/>
            <w:vAlign w:val="bottom"/>
            <w:hideMark/>
          </w:tcPr>
          <w:p w14:paraId="3587F568"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433 200 </w:t>
            </w:r>
          </w:p>
        </w:tc>
      </w:tr>
      <w:tr w:rsidR="005F400D" w:rsidRPr="002A06C3" w14:paraId="373E741A" w14:textId="77777777" w:rsidTr="00EA7BDC">
        <w:trPr>
          <w:trHeight w:val="173"/>
        </w:trPr>
        <w:tc>
          <w:tcPr>
            <w:tcW w:w="1007" w:type="pct"/>
            <w:shd w:val="clear" w:color="auto" w:fill="auto"/>
            <w:vAlign w:val="bottom"/>
            <w:hideMark/>
          </w:tcPr>
          <w:p w14:paraId="5DB62AE6"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Av dette:</w:t>
            </w:r>
          </w:p>
        </w:tc>
        <w:tc>
          <w:tcPr>
            <w:tcW w:w="328" w:type="pct"/>
            <w:shd w:val="clear" w:color="auto" w:fill="auto"/>
            <w:vAlign w:val="bottom"/>
            <w:hideMark/>
          </w:tcPr>
          <w:p w14:paraId="3098B2DD" w14:textId="77777777" w:rsidR="005F400D" w:rsidRPr="005E5FAE"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6D12A50B"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F529240"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DC199D0"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7367E15"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08FA3F9"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1927813"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7B154B0A"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7AECAC2D"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p>
        </w:tc>
        <w:tc>
          <w:tcPr>
            <w:tcW w:w="328" w:type="pct"/>
            <w:shd w:val="clear" w:color="auto" w:fill="auto"/>
            <w:vAlign w:val="bottom"/>
            <w:hideMark/>
          </w:tcPr>
          <w:p w14:paraId="649629C4"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p>
        </w:tc>
        <w:tc>
          <w:tcPr>
            <w:tcW w:w="336" w:type="pct"/>
            <w:shd w:val="clear" w:color="auto" w:fill="auto"/>
            <w:vAlign w:val="bottom"/>
            <w:hideMark/>
          </w:tcPr>
          <w:p w14:paraId="6FCD21F0" w14:textId="77777777" w:rsidR="005F400D" w:rsidRPr="00707934" w:rsidRDefault="005F400D" w:rsidP="008C4FE7">
            <w:pPr>
              <w:spacing w:after="0"/>
              <w:rPr>
                <w:rFonts w:ascii="Times New Roman" w:hAnsi="Times New Roman"/>
                <w:sz w:val="18"/>
                <w:szCs w:val="18"/>
              </w:rPr>
            </w:pPr>
          </w:p>
        </w:tc>
        <w:tc>
          <w:tcPr>
            <w:tcW w:w="375" w:type="pct"/>
            <w:shd w:val="clear" w:color="auto" w:fill="auto"/>
            <w:noWrap/>
            <w:vAlign w:val="bottom"/>
            <w:hideMark/>
          </w:tcPr>
          <w:p w14:paraId="2B9BD6F2" w14:textId="77777777" w:rsidR="005F400D" w:rsidRPr="00707934"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1491C4FA" w14:textId="77777777" w:rsidR="005F400D" w:rsidRPr="00707934" w:rsidRDefault="005F400D" w:rsidP="008C4FE7">
            <w:pPr>
              <w:spacing w:after="0"/>
              <w:rPr>
                <w:rFonts w:ascii="Times New Roman" w:hAnsi="Times New Roman"/>
                <w:sz w:val="18"/>
                <w:szCs w:val="18"/>
              </w:rPr>
            </w:pPr>
          </w:p>
        </w:tc>
      </w:tr>
      <w:tr w:rsidR="005F400D" w:rsidRPr="002A06C3" w14:paraId="3FA87D08" w14:textId="77777777" w:rsidTr="00EA7BDC">
        <w:trPr>
          <w:trHeight w:val="101"/>
        </w:trPr>
        <w:tc>
          <w:tcPr>
            <w:tcW w:w="1007" w:type="pct"/>
            <w:shd w:val="clear" w:color="auto" w:fill="auto"/>
            <w:vAlign w:val="bottom"/>
            <w:hideMark/>
          </w:tcPr>
          <w:p w14:paraId="71F8D5A5" w14:textId="77777777" w:rsidR="005F400D" w:rsidRPr="002A06C3" w:rsidRDefault="005F400D" w:rsidP="008C4FE7">
            <w:pPr>
              <w:spacing w:after="0"/>
              <w:ind w:left="284"/>
              <w:rPr>
                <w:rFonts w:ascii="Times New Roman" w:hAnsi="Times New Roman"/>
                <w:sz w:val="18"/>
                <w:szCs w:val="18"/>
              </w:rPr>
            </w:pPr>
            <w:r w:rsidRPr="002A06C3">
              <w:rPr>
                <w:rFonts w:ascii="Times New Roman" w:hAnsi="Times New Roman"/>
                <w:sz w:val="18"/>
                <w:szCs w:val="18"/>
              </w:rPr>
              <w:t>Fagutdanning</w:t>
            </w:r>
            <w:r w:rsidRPr="002A06C3">
              <w:rPr>
                <w:rFonts w:ascii="Times New Roman" w:hAnsi="Times New Roman"/>
                <w:sz w:val="18"/>
                <w:szCs w:val="18"/>
                <w:vertAlign w:val="superscript"/>
              </w:rPr>
              <w:t>6</w:t>
            </w:r>
          </w:p>
        </w:tc>
        <w:tc>
          <w:tcPr>
            <w:tcW w:w="328" w:type="pct"/>
            <w:shd w:val="clear" w:color="auto" w:fill="auto"/>
            <w:vAlign w:val="bottom"/>
            <w:hideMark/>
          </w:tcPr>
          <w:p w14:paraId="722910BA" w14:textId="77777777" w:rsidR="005F400D" w:rsidRPr="005E5FAE" w:rsidRDefault="005F400D" w:rsidP="008C4FE7">
            <w:pPr>
              <w:spacing w:after="0"/>
              <w:jc w:val="center"/>
              <w:rPr>
                <w:rFonts w:ascii="Times New Roman" w:hAnsi="Times New Roman"/>
                <w:sz w:val="18"/>
                <w:szCs w:val="18"/>
              </w:rPr>
            </w:pPr>
            <w:r w:rsidRPr="005E5FAE">
              <w:rPr>
                <w:rFonts w:ascii="Times New Roman" w:hAnsi="Times New Roman"/>
                <w:sz w:val="18"/>
                <w:szCs w:val="18"/>
              </w:rPr>
              <w:t>10</w:t>
            </w:r>
          </w:p>
        </w:tc>
        <w:tc>
          <w:tcPr>
            <w:tcW w:w="263" w:type="pct"/>
            <w:shd w:val="clear" w:color="auto" w:fill="auto"/>
            <w:vAlign w:val="bottom"/>
            <w:hideMark/>
          </w:tcPr>
          <w:p w14:paraId="2C739E1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263" w:type="pct"/>
            <w:shd w:val="clear" w:color="auto" w:fill="auto"/>
            <w:vAlign w:val="bottom"/>
            <w:hideMark/>
          </w:tcPr>
          <w:p w14:paraId="6A84AF3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263" w:type="pct"/>
            <w:shd w:val="clear" w:color="auto" w:fill="auto"/>
            <w:vAlign w:val="bottom"/>
            <w:hideMark/>
          </w:tcPr>
          <w:p w14:paraId="7F41FF0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4,8</w:t>
            </w:r>
          </w:p>
        </w:tc>
        <w:tc>
          <w:tcPr>
            <w:tcW w:w="263" w:type="pct"/>
            <w:shd w:val="clear" w:color="auto" w:fill="auto"/>
            <w:vAlign w:val="bottom"/>
            <w:hideMark/>
          </w:tcPr>
          <w:p w14:paraId="21E0D48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8,4</w:t>
            </w:r>
          </w:p>
        </w:tc>
        <w:tc>
          <w:tcPr>
            <w:tcW w:w="263" w:type="pct"/>
            <w:shd w:val="clear" w:color="auto" w:fill="auto"/>
            <w:vAlign w:val="bottom"/>
            <w:hideMark/>
          </w:tcPr>
          <w:p w14:paraId="49453E8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263" w:type="pct"/>
            <w:shd w:val="clear" w:color="auto" w:fill="auto"/>
            <w:vAlign w:val="bottom"/>
            <w:hideMark/>
          </w:tcPr>
          <w:p w14:paraId="007D20A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309" w:type="pct"/>
            <w:shd w:val="clear" w:color="auto" w:fill="auto"/>
            <w:vAlign w:val="bottom"/>
            <w:hideMark/>
          </w:tcPr>
          <w:p w14:paraId="5B599AE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328" w:type="pct"/>
            <w:shd w:val="clear" w:color="auto" w:fill="auto"/>
            <w:vAlign w:val="bottom"/>
            <w:hideMark/>
          </w:tcPr>
          <w:p w14:paraId="17995928"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8,0</w:t>
            </w:r>
          </w:p>
        </w:tc>
        <w:tc>
          <w:tcPr>
            <w:tcW w:w="328" w:type="pct"/>
            <w:shd w:val="clear" w:color="auto" w:fill="auto"/>
            <w:vAlign w:val="bottom"/>
            <w:hideMark/>
          </w:tcPr>
          <w:p w14:paraId="70FE176A"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1,5</w:t>
            </w:r>
          </w:p>
        </w:tc>
        <w:tc>
          <w:tcPr>
            <w:tcW w:w="336" w:type="pct"/>
            <w:shd w:val="clear" w:color="auto" w:fill="auto"/>
            <w:vAlign w:val="bottom"/>
            <w:hideMark/>
          </w:tcPr>
          <w:p w14:paraId="5ED52D13"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4,7 </w:t>
            </w:r>
          </w:p>
        </w:tc>
        <w:tc>
          <w:tcPr>
            <w:tcW w:w="375" w:type="pct"/>
            <w:shd w:val="clear" w:color="auto" w:fill="auto"/>
            <w:noWrap/>
            <w:vAlign w:val="bottom"/>
            <w:hideMark/>
          </w:tcPr>
          <w:p w14:paraId="332F1D93"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23,8</w:t>
            </w:r>
          </w:p>
        </w:tc>
        <w:tc>
          <w:tcPr>
            <w:tcW w:w="409" w:type="pct"/>
            <w:shd w:val="clear" w:color="auto" w:fill="auto"/>
            <w:vAlign w:val="bottom"/>
            <w:hideMark/>
          </w:tcPr>
          <w:p w14:paraId="318E6AEB"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429 600 </w:t>
            </w:r>
          </w:p>
        </w:tc>
      </w:tr>
      <w:tr w:rsidR="005F400D" w:rsidRPr="002A06C3" w14:paraId="2FEE9DA6" w14:textId="77777777" w:rsidTr="00EA7BDC">
        <w:trPr>
          <w:trHeight w:val="510"/>
        </w:trPr>
        <w:tc>
          <w:tcPr>
            <w:tcW w:w="1007" w:type="pct"/>
            <w:shd w:val="clear" w:color="auto" w:fill="auto"/>
            <w:vAlign w:val="bottom"/>
            <w:hideMark/>
          </w:tcPr>
          <w:p w14:paraId="3DD1769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til og med 4 år</w:t>
            </w:r>
          </w:p>
        </w:tc>
        <w:tc>
          <w:tcPr>
            <w:tcW w:w="328" w:type="pct"/>
            <w:shd w:val="clear" w:color="auto" w:fill="auto"/>
            <w:vAlign w:val="bottom"/>
            <w:hideMark/>
          </w:tcPr>
          <w:p w14:paraId="27BE90A3" w14:textId="77777777" w:rsidR="005F400D" w:rsidRPr="005E5FAE" w:rsidRDefault="005F400D" w:rsidP="008C4FE7">
            <w:pPr>
              <w:spacing w:after="0"/>
              <w:jc w:val="center"/>
              <w:rPr>
                <w:rFonts w:ascii="Times New Roman" w:hAnsi="Times New Roman"/>
                <w:sz w:val="18"/>
                <w:szCs w:val="18"/>
              </w:rPr>
            </w:pPr>
            <w:r w:rsidRPr="005E5FAE">
              <w:rPr>
                <w:rFonts w:ascii="Times New Roman" w:hAnsi="Times New Roman"/>
                <w:sz w:val="18"/>
                <w:szCs w:val="18"/>
              </w:rPr>
              <w:t>57</w:t>
            </w:r>
          </w:p>
        </w:tc>
        <w:tc>
          <w:tcPr>
            <w:tcW w:w="263" w:type="pct"/>
            <w:shd w:val="clear" w:color="auto" w:fill="auto"/>
            <w:vAlign w:val="bottom"/>
            <w:hideMark/>
          </w:tcPr>
          <w:p w14:paraId="54BF8FA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w:t>
            </w:r>
          </w:p>
        </w:tc>
        <w:tc>
          <w:tcPr>
            <w:tcW w:w="263" w:type="pct"/>
            <w:shd w:val="clear" w:color="auto" w:fill="auto"/>
            <w:vAlign w:val="bottom"/>
            <w:hideMark/>
          </w:tcPr>
          <w:p w14:paraId="53F6328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4,4</w:t>
            </w:r>
          </w:p>
        </w:tc>
        <w:tc>
          <w:tcPr>
            <w:tcW w:w="263" w:type="pct"/>
            <w:shd w:val="clear" w:color="auto" w:fill="auto"/>
            <w:vAlign w:val="bottom"/>
            <w:hideMark/>
          </w:tcPr>
          <w:p w14:paraId="26FE89B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263" w:type="pct"/>
            <w:shd w:val="clear" w:color="auto" w:fill="auto"/>
            <w:vAlign w:val="bottom"/>
            <w:hideMark/>
          </w:tcPr>
          <w:p w14:paraId="0DF51AC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6,6</w:t>
            </w:r>
          </w:p>
        </w:tc>
        <w:tc>
          <w:tcPr>
            <w:tcW w:w="263" w:type="pct"/>
            <w:shd w:val="clear" w:color="auto" w:fill="auto"/>
            <w:vAlign w:val="bottom"/>
            <w:hideMark/>
          </w:tcPr>
          <w:p w14:paraId="0F11F99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263" w:type="pct"/>
            <w:shd w:val="clear" w:color="auto" w:fill="auto"/>
            <w:vAlign w:val="bottom"/>
            <w:hideMark/>
          </w:tcPr>
          <w:p w14:paraId="3FA1353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309" w:type="pct"/>
            <w:shd w:val="clear" w:color="auto" w:fill="auto"/>
            <w:vAlign w:val="bottom"/>
            <w:hideMark/>
          </w:tcPr>
          <w:p w14:paraId="2683D95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328" w:type="pct"/>
            <w:shd w:val="clear" w:color="auto" w:fill="auto"/>
            <w:vAlign w:val="bottom"/>
            <w:hideMark/>
          </w:tcPr>
          <w:p w14:paraId="2B35042B"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5,8</w:t>
            </w:r>
          </w:p>
        </w:tc>
        <w:tc>
          <w:tcPr>
            <w:tcW w:w="328" w:type="pct"/>
            <w:shd w:val="clear" w:color="auto" w:fill="auto"/>
            <w:vAlign w:val="bottom"/>
            <w:hideMark/>
          </w:tcPr>
          <w:p w14:paraId="2BEDB63F"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1,2</w:t>
            </w:r>
          </w:p>
        </w:tc>
        <w:tc>
          <w:tcPr>
            <w:tcW w:w="336" w:type="pct"/>
            <w:shd w:val="clear" w:color="auto" w:fill="auto"/>
            <w:vAlign w:val="bottom"/>
            <w:hideMark/>
          </w:tcPr>
          <w:p w14:paraId="59755372"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4,4 </w:t>
            </w:r>
          </w:p>
        </w:tc>
        <w:tc>
          <w:tcPr>
            <w:tcW w:w="375" w:type="pct"/>
            <w:shd w:val="clear" w:color="auto" w:fill="auto"/>
            <w:noWrap/>
            <w:vAlign w:val="bottom"/>
            <w:hideMark/>
          </w:tcPr>
          <w:p w14:paraId="050F1DFA"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20,5</w:t>
            </w:r>
          </w:p>
        </w:tc>
        <w:tc>
          <w:tcPr>
            <w:tcW w:w="409" w:type="pct"/>
            <w:shd w:val="clear" w:color="auto" w:fill="auto"/>
            <w:vAlign w:val="bottom"/>
            <w:hideMark/>
          </w:tcPr>
          <w:p w14:paraId="2FFD9FF7"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510 000 </w:t>
            </w:r>
          </w:p>
        </w:tc>
      </w:tr>
      <w:tr w:rsidR="005F400D" w:rsidRPr="002A06C3" w14:paraId="2FE6008B" w14:textId="77777777" w:rsidTr="00EA7BDC">
        <w:trPr>
          <w:trHeight w:val="510"/>
        </w:trPr>
        <w:tc>
          <w:tcPr>
            <w:tcW w:w="1007" w:type="pct"/>
            <w:shd w:val="clear" w:color="auto" w:fill="auto"/>
            <w:vAlign w:val="bottom"/>
            <w:hideMark/>
          </w:tcPr>
          <w:p w14:paraId="7022B7C1"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lengre enn 4 år</w:t>
            </w:r>
          </w:p>
        </w:tc>
        <w:tc>
          <w:tcPr>
            <w:tcW w:w="328" w:type="pct"/>
            <w:shd w:val="clear" w:color="auto" w:fill="auto"/>
            <w:vAlign w:val="bottom"/>
            <w:hideMark/>
          </w:tcPr>
          <w:p w14:paraId="7EF047C4" w14:textId="77777777" w:rsidR="005F400D" w:rsidRPr="005E5FAE" w:rsidRDefault="005F400D" w:rsidP="008C4FE7">
            <w:pPr>
              <w:spacing w:after="0"/>
              <w:jc w:val="center"/>
              <w:rPr>
                <w:rFonts w:ascii="Times New Roman" w:hAnsi="Times New Roman"/>
                <w:sz w:val="18"/>
                <w:szCs w:val="18"/>
              </w:rPr>
            </w:pPr>
            <w:r w:rsidRPr="005E5FAE">
              <w:rPr>
                <w:rFonts w:ascii="Times New Roman" w:hAnsi="Times New Roman"/>
                <w:sz w:val="18"/>
                <w:szCs w:val="18"/>
              </w:rPr>
              <w:t>11</w:t>
            </w:r>
          </w:p>
        </w:tc>
        <w:tc>
          <w:tcPr>
            <w:tcW w:w="263" w:type="pct"/>
            <w:shd w:val="clear" w:color="auto" w:fill="auto"/>
            <w:vAlign w:val="bottom"/>
            <w:hideMark/>
          </w:tcPr>
          <w:p w14:paraId="62FE36B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1,8</w:t>
            </w:r>
          </w:p>
        </w:tc>
        <w:tc>
          <w:tcPr>
            <w:tcW w:w="263" w:type="pct"/>
            <w:shd w:val="clear" w:color="auto" w:fill="auto"/>
            <w:vAlign w:val="bottom"/>
            <w:hideMark/>
          </w:tcPr>
          <w:p w14:paraId="4D85145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4,3</w:t>
            </w:r>
          </w:p>
        </w:tc>
        <w:tc>
          <w:tcPr>
            <w:tcW w:w="263" w:type="pct"/>
            <w:shd w:val="clear" w:color="auto" w:fill="auto"/>
            <w:vAlign w:val="bottom"/>
            <w:hideMark/>
          </w:tcPr>
          <w:p w14:paraId="0569567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4,5</w:t>
            </w:r>
          </w:p>
        </w:tc>
        <w:tc>
          <w:tcPr>
            <w:tcW w:w="263" w:type="pct"/>
            <w:shd w:val="clear" w:color="auto" w:fill="auto"/>
            <w:vAlign w:val="bottom"/>
            <w:hideMark/>
          </w:tcPr>
          <w:p w14:paraId="35271AC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7,3</w:t>
            </w:r>
          </w:p>
        </w:tc>
        <w:tc>
          <w:tcPr>
            <w:tcW w:w="263" w:type="pct"/>
            <w:shd w:val="clear" w:color="auto" w:fill="auto"/>
            <w:vAlign w:val="bottom"/>
            <w:hideMark/>
          </w:tcPr>
          <w:p w14:paraId="383B0E5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3,8</w:t>
            </w:r>
          </w:p>
        </w:tc>
        <w:tc>
          <w:tcPr>
            <w:tcW w:w="263" w:type="pct"/>
            <w:shd w:val="clear" w:color="auto" w:fill="auto"/>
            <w:vAlign w:val="bottom"/>
            <w:hideMark/>
          </w:tcPr>
          <w:p w14:paraId="4CA14B5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4,6</w:t>
            </w:r>
          </w:p>
        </w:tc>
        <w:tc>
          <w:tcPr>
            <w:tcW w:w="309" w:type="pct"/>
            <w:shd w:val="clear" w:color="auto" w:fill="auto"/>
            <w:vAlign w:val="bottom"/>
            <w:hideMark/>
          </w:tcPr>
          <w:p w14:paraId="62D308A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3,2</w:t>
            </w:r>
          </w:p>
        </w:tc>
        <w:tc>
          <w:tcPr>
            <w:tcW w:w="328" w:type="pct"/>
            <w:shd w:val="clear" w:color="auto" w:fill="auto"/>
            <w:vAlign w:val="bottom"/>
            <w:hideMark/>
          </w:tcPr>
          <w:p w14:paraId="54FF477B"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6,2</w:t>
            </w:r>
          </w:p>
        </w:tc>
        <w:tc>
          <w:tcPr>
            <w:tcW w:w="328" w:type="pct"/>
            <w:shd w:val="clear" w:color="auto" w:fill="auto"/>
            <w:vAlign w:val="bottom"/>
            <w:hideMark/>
          </w:tcPr>
          <w:p w14:paraId="60661399" w14:textId="77777777" w:rsidR="005F400D" w:rsidRPr="002A06C3" w:rsidRDefault="005F400D" w:rsidP="008C4FE7">
            <w:pPr>
              <w:autoSpaceDE w:val="0"/>
              <w:autoSpaceDN w:val="0"/>
              <w:adjustRightInd w:val="0"/>
              <w:spacing w:after="0"/>
              <w:jc w:val="center"/>
              <w:rPr>
                <w:rFonts w:ascii="Times New Roman" w:eastAsiaTheme="minorHAnsi" w:hAnsi="Times New Roman"/>
                <w:sz w:val="18"/>
                <w:szCs w:val="18"/>
                <w:lang w:eastAsia="en-US"/>
              </w:rPr>
            </w:pPr>
            <w:r w:rsidRPr="002A06C3">
              <w:rPr>
                <w:rFonts w:ascii="Times New Roman" w:hAnsi="Times New Roman"/>
                <w:sz w:val="18"/>
                <w:szCs w:val="18"/>
              </w:rPr>
              <w:t>1,7</w:t>
            </w:r>
          </w:p>
        </w:tc>
        <w:tc>
          <w:tcPr>
            <w:tcW w:w="336" w:type="pct"/>
            <w:shd w:val="clear" w:color="auto" w:fill="auto"/>
            <w:vAlign w:val="bottom"/>
            <w:hideMark/>
          </w:tcPr>
          <w:p w14:paraId="470AAD39"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4,2 </w:t>
            </w:r>
          </w:p>
        </w:tc>
        <w:tc>
          <w:tcPr>
            <w:tcW w:w="375" w:type="pct"/>
            <w:shd w:val="clear" w:color="auto" w:fill="auto"/>
            <w:noWrap/>
            <w:vAlign w:val="bottom"/>
            <w:hideMark/>
          </w:tcPr>
          <w:p w14:paraId="7FA438F9"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16,6</w:t>
            </w:r>
          </w:p>
        </w:tc>
        <w:tc>
          <w:tcPr>
            <w:tcW w:w="409" w:type="pct"/>
            <w:shd w:val="clear" w:color="auto" w:fill="auto"/>
            <w:vAlign w:val="bottom"/>
            <w:hideMark/>
          </w:tcPr>
          <w:p w14:paraId="5A2A9D6B"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 591 600 </w:t>
            </w:r>
          </w:p>
        </w:tc>
      </w:tr>
      <w:tr w:rsidR="005F400D" w:rsidRPr="002A06C3" w14:paraId="6FF1DD57" w14:textId="77777777" w:rsidTr="00EA7BDC">
        <w:trPr>
          <w:trHeight w:val="255"/>
        </w:trPr>
        <w:tc>
          <w:tcPr>
            <w:tcW w:w="1007" w:type="pct"/>
            <w:shd w:val="clear" w:color="auto" w:fill="auto"/>
            <w:vAlign w:val="bottom"/>
            <w:hideMark/>
          </w:tcPr>
          <w:p w14:paraId="25AF92D7" w14:textId="77777777" w:rsidR="005F400D" w:rsidRPr="002A06C3" w:rsidRDefault="005F400D" w:rsidP="008C4FE7">
            <w:pPr>
              <w:spacing w:after="0"/>
              <w:rPr>
                <w:rFonts w:ascii="Times New Roman" w:hAnsi="Times New Roman"/>
                <w:i/>
                <w:iCs/>
                <w:sz w:val="18"/>
                <w:szCs w:val="18"/>
              </w:rPr>
            </w:pPr>
            <w:r w:rsidRPr="002A06C3">
              <w:rPr>
                <w:rFonts w:ascii="Times New Roman" w:hAnsi="Times New Roman"/>
                <w:sz w:val="18"/>
                <w:szCs w:val="18"/>
              </w:rPr>
              <w:t>Uoppgitt eller ingen fullført utdanning</w:t>
            </w:r>
          </w:p>
        </w:tc>
        <w:tc>
          <w:tcPr>
            <w:tcW w:w="328" w:type="pct"/>
            <w:shd w:val="clear" w:color="auto" w:fill="auto"/>
            <w:noWrap/>
            <w:vAlign w:val="bottom"/>
            <w:hideMark/>
          </w:tcPr>
          <w:p w14:paraId="5BA0FA60" w14:textId="77777777" w:rsidR="005F400D" w:rsidRPr="005E5FAE" w:rsidRDefault="005F400D" w:rsidP="008C4FE7">
            <w:pPr>
              <w:spacing w:after="0"/>
              <w:jc w:val="center"/>
              <w:rPr>
                <w:rFonts w:ascii="Times New Roman" w:hAnsi="Times New Roman"/>
                <w:sz w:val="18"/>
                <w:szCs w:val="18"/>
              </w:rPr>
            </w:pPr>
            <w:r w:rsidRPr="005E5FAE">
              <w:rPr>
                <w:rFonts w:ascii="Times New Roman" w:hAnsi="Times New Roman"/>
                <w:sz w:val="18"/>
                <w:szCs w:val="18"/>
              </w:rPr>
              <w:t>1</w:t>
            </w:r>
          </w:p>
        </w:tc>
        <w:tc>
          <w:tcPr>
            <w:tcW w:w="263" w:type="pct"/>
            <w:shd w:val="clear" w:color="auto" w:fill="auto"/>
            <w:noWrap/>
            <w:vAlign w:val="bottom"/>
            <w:hideMark/>
          </w:tcPr>
          <w:p w14:paraId="49B21E86"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5149D8DD"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19117C7D"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4EE197F5"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3F8F75F5"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7DAD1DAE"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noWrap/>
            <w:vAlign w:val="bottom"/>
            <w:hideMark/>
          </w:tcPr>
          <w:p w14:paraId="755888B4"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noWrap/>
            <w:vAlign w:val="bottom"/>
            <w:hideMark/>
          </w:tcPr>
          <w:p w14:paraId="60816231"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noWrap/>
            <w:vAlign w:val="bottom"/>
            <w:hideMark/>
          </w:tcPr>
          <w:p w14:paraId="5EA0D4EE"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noWrap/>
            <w:vAlign w:val="bottom"/>
            <w:hideMark/>
          </w:tcPr>
          <w:p w14:paraId="5B159436" w14:textId="77777777" w:rsidR="005F400D" w:rsidRPr="00707934"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65E3CF14" w14:textId="77777777" w:rsidR="005F400D" w:rsidRPr="00707934" w:rsidRDefault="005F400D" w:rsidP="008C4FE7">
            <w:pPr>
              <w:spacing w:after="0"/>
              <w:jc w:val="center"/>
              <w:rPr>
                <w:rFonts w:ascii="Times New Roman" w:hAnsi="Times New Roman"/>
                <w:sz w:val="18"/>
                <w:szCs w:val="18"/>
              </w:rPr>
            </w:pPr>
          </w:p>
        </w:tc>
        <w:tc>
          <w:tcPr>
            <w:tcW w:w="409" w:type="pct"/>
            <w:shd w:val="clear" w:color="auto" w:fill="auto"/>
            <w:noWrap/>
            <w:vAlign w:val="bottom"/>
            <w:hideMark/>
          </w:tcPr>
          <w:p w14:paraId="6F8C2EF2" w14:textId="77777777" w:rsidR="005F400D" w:rsidRPr="00707934" w:rsidRDefault="005F400D" w:rsidP="008C4FE7">
            <w:pPr>
              <w:spacing w:after="0"/>
              <w:jc w:val="center"/>
              <w:rPr>
                <w:rFonts w:ascii="Times New Roman" w:hAnsi="Times New Roman"/>
                <w:sz w:val="18"/>
                <w:szCs w:val="18"/>
              </w:rPr>
            </w:pPr>
          </w:p>
        </w:tc>
      </w:tr>
      <w:tr w:rsidR="005F400D" w:rsidRPr="002A06C3" w14:paraId="2681433D" w14:textId="77777777" w:rsidTr="00EA7BDC">
        <w:trPr>
          <w:trHeight w:val="255"/>
        </w:trPr>
        <w:tc>
          <w:tcPr>
            <w:tcW w:w="1007" w:type="pct"/>
            <w:shd w:val="clear" w:color="auto" w:fill="auto"/>
            <w:vAlign w:val="bottom"/>
            <w:hideMark/>
          </w:tcPr>
          <w:p w14:paraId="2CC5544F" w14:textId="77777777" w:rsidR="005F400D" w:rsidRPr="002A06C3" w:rsidRDefault="005F400D" w:rsidP="008C4FE7">
            <w:pPr>
              <w:spacing w:after="0"/>
              <w:rPr>
                <w:rFonts w:ascii="Times New Roman" w:hAnsi="Times New Roman"/>
                <w:i/>
                <w:iCs/>
                <w:sz w:val="18"/>
                <w:szCs w:val="18"/>
              </w:rPr>
            </w:pPr>
            <w:r w:rsidRPr="002A06C3">
              <w:rPr>
                <w:rFonts w:ascii="Times New Roman" w:hAnsi="Times New Roman"/>
                <w:i/>
                <w:iCs/>
                <w:sz w:val="18"/>
                <w:szCs w:val="18"/>
              </w:rPr>
              <w:t>Herav:</w:t>
            </w:r>
          </w:p>
        </w:tc>
        <w:tc>
          <w:tcPr>
            <w:tcW w:w="328" w:type="pct"/>
            <w:shd w:val="clear" w:color="auto" w:fill="auto"/>
            <w:noWrap/>
            <w:vAlign w:val="bottom"/>
            <w:hideMark/>
          </w:tcPr>
          <w:p w14:paraId="29401E5C"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1BD98A16"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03933F98"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42FB564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3F29B424"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3DF09475"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noWrap/>
            <w:vAlign w:val="bottom"/>
            <w:hideMark/>
          </w:tcPr>
          <w:p w14:paraId="517C1C01"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noWrap/>
            <w:vAlign w:val="bottom"/>
            <w:hideMark/>
          </w:tcPr>
          <w:p w14:paraId="214B217D"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noWrap/>
            <w:vAlign w:val="bottom"/>
            <w:hideMark/>
          </w:tcPr>
          <w:p w14:paraId="5A508B0E"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noWrap/>
            <w:vAlign w:val="bottom"/>
            <w:hideMark/>
          </w:tcPr>
          <w:p w14:paraId="5EF37F56"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noWrap/>
            <w:vAlign w:val="bottom"/>
            <w:hideMark/>
          </w:tcPr>
          <w:p w14:paraId="3E68EB9F" w14:textId="77777777" w:rsidR="005F400D" w:rsidRPr="00707934" w:rsidRDefault="005F400D" w:rsidP="008C4FE7">
            <w:pPr>
              <w:spacing w:after="0"/>
              <w:rPr>
                <w:rFonts w:ascii="Times New Roman" w:hAnsi="Times New Roman"/>
                <w:sz w:val="18"/>
                <w:szCs w:val="18"/>
              </w:rPr>
            </w:pPr>
          </w:p>
        </w:tc>
        <w:tc>
          <w:tcPr>
            <w:tcW w:w="375" w:type="pct"/>
            <w:shd w:val="clear" w:color="auto" w:fill="auto"/>
            <w:noWrap/>
            <w:vAlign w:val="bottom"/>
            <w:hideMark/>
          </w:tcPr>
          <w:p w14:paraId="5A240362" w14:textId="77777777" w:rsidR="005F400D" w:rsidRPr="00707934" w:rsidRDefault="005F400D" w:rsidP="008C4FE7">
            <w:pPr>
              <w:spacing w:after="0"/>
              <w:jc w:val="center"/>
              <w:rPr>
                <w:rFonts w:ascii="Times New Roman" w:hAnsi="Times New Roman"/>
                <w:sz w:val="18"/>
                <w:szCs w:val="18"/>
              </w:rPr>
            </w:pPr>
          </w:p>
        </w:tc>
        <w:tc>
          <w:tcPr>
            <w:tcW w:w="409" w:type="pct"/>
            <w:shd w:val="clear" w:color="auto" w:fill="auto"/>
            <w:noWrap/>
            <w:vAlign w:val="bottom"/>
            <w:hideMark/>
          </w:tcPr>
          <w:p w14:paraId="32A2B186" w14:textId="77777777" w:rsidR="005F400D" w:rsidRPr="00707934" w:rsidRDefault="005F400D" w:rsidP="008C4FE7">
            <w:pPr>
              <w:spacing w:after="0"/>
              <w:rPr>
                <w:rFonts w:ascii="Times New Roman" w:hAnsi="Times New Roman"/>
                <w:sz w:val="18"/>
                <w:szCs w:val="18"/>
              </w:rPr>
            </w:pPr>
          </w:p>
        </w:tc>
      </w:tr>
      <w:tr w:rsidR="005F400D" w:rsidRPr="002A06C3" w14:paraId="0E373E01" w14:textId="77777777" w:rsidTr="00EA7BDC">
        <w:trPr>
          <w:trHeight w:val="255"/>
        </w:trPr>
        <w:tc>
          <w:tcPr>
            <w:tcW w:w="1007" w:type="pct"/>
            <w:shd w:val="clear" w:color="auto" w:fill="auto"/>
            <w:vAlign w:val="bottom"/>
            <w:hideMark/>
          </w:tcPr>
          <w:p w14:paraId="47FD41AB" w14:textId="77777777" w:rsidR="005F400D" w:rsidRPr="002A06C3" w:rsidRDefault="005F400D" w:rsidP="008C4FE7">
            <w:pPr>
              <w:spacing w:after="0"/>
              <w:rPr>
                <w:rFonts w:ascii="Times New Roman" w:hAnsi="Times New Roman"/>
                <w:b/>
                <w:bCs/>
                <w:sz w:val="18"/>
                <w:szCs w:val="18"/>
              </w:rPr>
            </w:pPr>
            <w:r w:rsidRPr="002A06C3">
              <w:rPr>
                <w:rFonts w:ascii="Times New Roman" w:hAnsi="Times New Roman"/>
                <w:b/>
                <w:bCs/>
                <w:sz w:val="18"/>
                <w:szCs w:val="18"/>
              </w:rPr>
              <w:t>- Skoleverket i alt</w:t>
            </w:r>
          </w:p>
        </w:tc>
        <w:tc>
          <w:tcPr>
            <w:tcW w:w="328" w:type="pct"/>
            <w:shd w:val="clear" w:color="auto" w:fill="auto"/>
            <w:vAlign w:val="bottom"/>
            <w:hideMark/>
          </w:tcPr>
          <w:p w14:paraId="59CD1409"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100</w:t>
            </w:r>
          </w:p>
        </w:tc>
        <w:tc>
          <w:tcPr>
            <w:tcW w:w="263" w:type="pct"/>
            <w:shd w:val="clear" w:color="auto" w:fill="auto"/>
            <w:vAlign w:val="bottom"/>
            <w:hideMark/>
          </w:tcPr>
          <w:p w14:paraId="2B86921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1,9</w:t>
            </w:r>
          </w:p>
        </w:tc>
        <w:tc>
          <w:tcPr>
            <w:tcW w:w="263" w:type="pct"/>
            <w:shd w:val="clear" w:color="auto" w:fill="auto"/>
            <w:vAlign w:val="bottom"/>
            <w:hideMark/>
          </w:tcPr>
          <w:p w14:paraId="649F104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263" w:type="pct"/>
            <w:shd w:val="clear" w:color="auto" w:fill="auto"/>
            <w:vAlign w:val="bottom"/>
            <w:hideMark/>
          </w:tcPr>
          <w:p w14:paraId="4540A67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263" w:type="pct"/>
            <w:shd w:val="clear" w:color="auto" w:fill="auto"/>
            <w:vAlign w:val="bottom"/>
            <w:hideMark/>
          </w:tcPr>
          <w:p w14:paraId="5C40382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6,3</w:t>
            </w:r>
          </w:p>
        </w:tc>
        <w:tc>
          <w:tcPr>
            <w:tcW w:w="263" w:type="pct"/>
            <w:shd w:val="clear" w:color="auto" w:fill="auto"/>
            <w:vAlign w:val="bottom"/>
            <w:hideMark/>
          </w:tcPr>
          <w:p w14:paraId="26B6AD6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3,4</w:t>
            </w:r>
          </w:p>
        </w:tc>
        <w:tc>
          <w:tcPr>
            <w:tcW w:w="263" w:type="pct"/>
            <w:shd w:val="clear" w:color="auto" w:fill="auto"/>
            <w:vAlign w:val="bottom"/>
            <w:hideMark/>
          </w:tcPr>
          <w:p w14:paraId="4926E03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4,9</w:t>
            </w:r>
          </w:p>
        </w:tc>
        <w:tc>
          <w:tcPr>
            <w:tcW w:w="309" w:type="pct"/>
            <w:shd w:val="clear" w:color="auto" w:fill="auto"/>
            <w:vAlign w:val="bottom"/>
            <w:hideMark/>
          </w:tcPr>
          <w:p w14:paraId="7375A19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2,3</w:t>
            </w:r>
          </w:p>
        </w:tc>
        <w:tc>
          <w:tcPr>
            <w:tcW w:w="328" w:type="pct"/>
            <w:shd w:val="clear" w:color="auto" w:fill="auto"/>
            <w:vAlign w:val="bottom"/>
            <w:hideMark/>
          </w:tcPr>
          <w:p w14:paraId="02C4C30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6,1</w:t>
            </w:r>
          </w:p>
        </w:tc>
        <w:tc>
          <w:tcPr>
            <w:tcW w:w="328" w:type="pct"/>
            <w:shd w:val="clear" w:color="auto" w:fill="auto"/>
            <w:vAlign w:val="bottom"/>
            <w:hideMark/>
          </w:tcPr>
          <w:p w14:paraId="517A744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1,0</w:t>
            </w:r>
          </w:p>
        </w:tc>
        <w:tc>
          <w:tcPr>
            <w:tcW w:w="336" w:type="pct"/>
            <w:shd w:val="clear" w:color="auto" w:fill="auto"/>
            <w:vAlign w:val="bottom"/>
            <w:hideMark/>
          </w:tcPr>
          <w:p w14:paraId="61CAA87F"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4,5</w:t>
            </w:r>
          </w:p>
        </w:tc>
        <w:tc>
          <w:tcPr>
            <w:tcW w:w="375" w:type="pct"/>
            <w:shd w:val="clear" w:color="auto" w:fill="auto"/>
            <w:noWrap/>
            <w:vAlign w:val="bottom"/>
            <w:hideMark/>
          </w:tcPr>
          <w:p w14:paraId="36AEFA89"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20,2</w:t>
            </w:r>
          </w:p>
        </w:tc>
        <w:tc>
          <w:tcPr>
            <w:tcW w:w="409" w:type="pct"/>
            <w:shd w:val="clear" w:color="auto" w:fill="auto"/>
            <w:vAlign w:val="bottom"/>
            <w:hideMark/>
          </w:tcPr>
          <w:p w14:paraId="71CE30E9"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526 800 </w:t>
            </w:r>
          </w:p>
        </w:tc>
      </w:tr>
      <w:tr w:rsidR="005F400D" w:rsidRPr="002A06C3" w14:paraId="03B57EEC" w14:textId="77777777" w:rsidTr="00EA7BDC">
        <w:trPr>
          <w:trHeight w:val="255"/>
        </w:trPr>
        <w:tc>
          <w:tcPr>
            <w:tcW w:w="1007" w:type="pct"/>
            <w:shd w:val="clear" w:color="auto" w:fill="auto"/>
            <w:vAlign w:val="bottom"/>
            <w:hideMark/>
          </w:tcPr>
          <w:p w14:paraId="78525A71"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Utdanning på grunnskolenivå</w:t>
            </w:r>
          </w:p>
        </w:tc>
        <w:tc>
          <w:tcPr>
            <w:tcW w:w="328" w:type="pct"/>
            <w:shd w:val="clear" w:color="auto" w:fill="auto"/>
            <w:vAlign w:val="bottom"/>
            <w:hideMark/>
          </w:tcPr>
          <w:p w14:paraId="0A649618"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0</w:t>
            </w:r>
          </w:p>
        </w:tc>
        <w:tc>
          <w:tcPr>
            <w:tcW w:w="263" w:type="pct"/>
            <w:shd w:val="clear" w:color="auto" w:fill="auto"/>
            <w:vAlign w:val="bottom"/>
            <w:hideMark/>
          </w:tcPr>
          <w:p w14:paraId="4FDEBFB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1,8</w:t>
            </w:r>
          </w:p>
        </w:tc>
        <w:tc>
          <w:tcPr>
            <w:tcW w:w="263" w:type="pct"/>
            <w:shd w:val="clear" w:color="auto" w:fill="auto"/>
            <w:vAlign w:val="bottom"/>
            <w:hideMark/>
          </w:tcPr>
          <w:p w14:paraId="2F6D43F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8,1</w:t>
            </w:r>
          </w:p>
        </w:tc>
        <w:tc>
          <w:tcPr>
            <w:tcW w:w="263" w:type="pct"/>
            <w:shd w:val="clear" w:color="auto" w:fill="auto"/>
            <w:vAlign w:val="bottom"/>
            <w:hideMark/>
          </w:tcPr>
          <w:p w14:paraId="0DD44F7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6,7</w:t>
            </w:r>
          </w:p>
        </w:tc>
        <w:tc>
          <w:tcPr>
            <w:tcW w:w="263" w:type="pct"/>
            <w:shd w:val="clear" w:color="auto" w:fill="auto"/>
            <w:vAlign w:val="bottom"/>
            <w:hideMark/>
          </w:tcPr>
          <w:p w14:paraId="24F8623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263" w:type="pct"/>
            <w:shd w:val="clear" w:color="auto" w:fill="auto"/>
            <w:vAlign w:val="bottom"/>
            <w:hideMark/>
          </w:tcPr>
          <w:p w14:paraId="67DBB7D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263" w:type="pct"/>
            <w:shd w:val="clear" w:color="auto" w:fill="auto"/>
            <w:vAlign w:val="bottom"/>
            <w:hideMark/>
          </w:tcPr>
          <w:p w14:paraId="7329466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309" w:type="pct"/>
            <w:shd w:val="clear" w:color="auto" w:fill="auto"/>
            <w:vAlign w:val="bottom"/>
            <w:hideMark/>
          </w:tcPr>
          <w:p w14:paraId="117E518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1,5</w:t>
            </w:r>
          </w:p>
        </w:tc>
        <w:tc>
          <w:tcPr>
            <w:tcW w:w="328" w:type="pct"/>
            <w:shd w:val="clear" w:color="auto" w:fill="auto"/>
            <w:vAlign w:val="bottom"/>
            <w:hideMark/>
          </w:tcPr>
          <w:p w14:paraId="3609A05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328" w:type="pct"/>
            <w:shd w:val="clear" w:color="auto" w:fill="auto"/>
            <w:vAlign w:val="bottom"/>
            <w:hideMark/>
          </w:tcPr>
          <w:p w14:paraId="2A59520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2,8</w:t>
            </w:r>
          </w:p>
        </w:tc>
        <w:tc>
          <w:tcPr>
            <w:tcW w:w="336" w:type="pct"/>
            <w:shd w:val="clear" w:color="auto" w:fill="auto"/>
            <w:vAlign w:val="bottom"/>
            <w:hideMark/>
          </w:tcPr>
          <w:p w14:paraId="3FAD566C"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4,4</w:t>
            </w:r>
          </w:p>
        </w:tc>
        <w:tc>
          <w:tcPr>
            <w:tcW w:w="375" w:type="pct"/>
            <w:shd w:val="clear" w:color="auto" w:fill="auto"/>
            <w:noWrap/>
            <w:vAlign w:val="bottom"/>
            <w:hideMark/>
          </w:tcPr>
          <w:p w14:paraId="77D952AF"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20,6</w:t>
            </w:r>
          </w:p>
        </w:tc>
        <w:tc>
          <w:tcPr>
            <w:tcW w:w="409" w:type="pct"/>
            <w:shd w:val="clear" w:color="auto" w:fill="auto"/>
            <w:vAlign w:val="bottom"/>
            <w:hideMark/>
          </w:tcPr>
          <w:p w14:paraId="67460187"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456 000 </w:t>
            </w:r>
          </w:p>
        </w:tc>
      </w:tr>
      <w:tr w:rsidR="005F400D" w:rsidRPr="002A06C3" w14:paraId="546D6978" w14:textId="77777777" w:rsidTr="00EA7BDC">
        <w:trPr>
          <w:trHeight w:val="510"/>
        </w:trPr>
        <w:tc>
          <w:tcPr>
            <w:tcW w:w="1007" w:type="pct"/>
            <w:shd w:val="clear" w:color="auto" w:fill="auto"/>
            <w:vAlign w:val="bottom"/>
            <w:hideMark/>
          </w:tcPr>
          <w:p w14:paraId="64D2E645"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Utdanning på videregående skolenivå</w:t>
            </w:r>
          </w:p>
        </w:tc>
        <w:tc>
          <w:tcPr>
            <w:tcW w:w="328" w:type="pct"/>
            <w:shd w:val="clear" w:color="auto" w:fill="auto"/>
            <w:vAlign w:val="bottom"/>
            <w:hideMark/>
          </w:tcPr>
          <w:p w14:paraId="09D8CA4C"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3</w:t>
            </w:r>
          </w:p>
        </w:tc>
        <w:tc>
          <w:tcPr>
            <w:tcW w:w="263" w:type="pct"/>
            <w:shd w:val="clear" w:color="auto" w:fill="auto"/>
            <w:vAlign w:val="bottom"/>
            <w:hideMark/>
          </w:tcPr>
          <w:p w14:paraId="5CD5884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0,3</w:t>
            </w:r>
          </w:p>
        </w:tc>
        <w:tc>
          <w:tcPr>
            <w:tcW w:w="263" w:type="pct"/>
            <w:shd w:val="clear" w:color="auto" w:fill="auto"/>
            <w:vAlign w:val="bottom"/>
            <w:hideMark/>
          </w:tcPr>
          <w:p w14:paraId="06DA986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5,2</w:t>
            </w:r>
          </w:p>
        </w:tc>
        <w:tc>
          <w:tcPr>
            <w:tcW w:w="263" w:type="pct"/>
            <w:shd w:val="clear" w:color="auto" w:fill="auto"/>
            <w:vAlign w:val="bottom"/>
            <w:hideMark/>
          </w:tcPr>
          <w:p w14:paraId="0B15D4F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263" w:type="pct"/>
            <w:shd w:val="clear" w:color="auto" w:fill="auto"/>
            <w:vAlign w:val="bottom"/>
            <w:hideMark/>
          </w:tcPr>
          <w:p w14:paraId="5F97623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5,6</w:t>
            </w:r>
          </w:p>
        </w:tc>
        <w:tc>
          <w:tcPr>
            <w:tcW w:w="263" w:type="pct"/>
            <w:shd w:val="clear" w:color="auto" w:fill="auto"/>
            <w:vAlign w:val="bottom"/>
            <w:hideMark/>
          </w:tcPr>
          <w:p w14:paraId="4D9ECB9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263" w:type="pct"/>
            <w:shd w:val="clear" w:color="auto" w:fill="auto"/>
            <w:vAlign w:val="bottom"/>
            <w:hideMark/>
          </w:tcPr>
          <w:p w14:paraId="5FF4446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309" w:type="pct"/>
            <w:shd w:val="clear" w:color="auto" w:fill="auto"/>
            <w:vAlign w:val="bottom"/>
            <w:hideMark/>
          </w:tcPr>
          <w:p w14:paraId="38F01AC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2,8</w:t>
            </w:r>
          </w:p>
        </w:tc>
        <w:tc>
          <w:tcPr>
            <w:tcW w:w="328" w:type="pct"/>
            <w:shd w:val="clear" w:color="auto" w:fill="auto"/>
            <w:vAlign w:val="bottom"/>
            <w:hideMark/>
          </w:tcPr>
          <w:p w14:paraId="6E3F059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328" w:type="pct"/>
            <w:shd w:val="clear" w:color="auto" w:fill="auto"/>
            <w:vAlign w:val="bottom"/>
            <w:hideMark/>
          </w:tcPr>
          <w:p w14:paraId="02C6B43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1,3</w:t>
            </w:r>
          </w:p>
        </w:tc>
        <w:tc>
          <w:tcPr>
            <w:tcW w:w="336" w:type="pct"/>
            <w:shd w:val="clear" w:color="auto" w:fill="auto"/>
            <w:vAlign w:val="bottom"/>
            <w:hideMark/>
          </w:tcPr>
          <w:p w14:paraId="1BFCA914"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4,4</w:t>
            </w:r>
          </w:p>
        </w:tc>
        <w:tc>
          <w:tcPr>
            <w:tcW w:w="375" w:type="pct"/>
            <w:shd w:val="clear" w:color="auto" w:fill="auto"/>
            <w:noWrap/>
            <w:vAlign w:val="bottom"/>
            <w:hideMark/>
          </w:tcPr>
          <w:p w14:paraId="46EF2ADA"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19,9</w:t>
            </w:r>
          </w:p>
        </w:tc>
        <w:tc>
          <w:tcPr>
            <w:tcW w:w="409" w:type="pct"/>
            <w:shd w:val="clear" w:color="auto" w:fill="auto"/>
            <w:vAlign w:val="bottom"/>
            <w:hideMark/>
          </w:tcPr>
          <w:p w14:paraId="604BBBB8"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483 600 </w:t>
            </w:r>
          </w:p>
        </w:tc>
      </w:tr>
      <w:tr w:rsidR="005F400D" w:rsidRPr="002A06C3" w14:paraId="3AA164E1" w14:textId="77777777" w:rsidTr="00EA7BDC">
        <w:trPr>
          <w:trHeight w:val="80"/>
        </w:trPr>
        <w:tc>
          <w:tcPr>
            <w:tcW w:w="1007" w:type="pct"/>
            <w:shd w:val="clear" w:color="auto" w:fill="auto"/>
            <w:vAlign w:val="bottom"/>
            <w:hideMark/>
          </w:tcPr>
          <w:p w14:paraId="04740274" w14:textId="77777777" w:rsidR="005F400D" w:rsidRPr="002A06C3" w:rsidRDefault="005F400D" w:rsidP="008C4FE7">
            <w:pPr>
              <w:spacing w:after="0"/>
              <w:ind w:left="142" w:firstLineChars="100" w:firstLine="180"/>
              <w:rPr>
                <w:rFonts w:ascii="Times New Roman" w:hAnsi="Times New Roman"/>
                <w:sz w:val="18"/>
                <w:szCs w:val="18"/>
              </w:rPr>
            </w:pPr>
            <w:r w:rsidRPr="002A06C3">
              <w:rPr>
                <w:rFonts w:ascii="Times New Roman" w:hAnsi="Times New Roman"/>
                <w:sz w:val="18"/>
                <w:szCs w:val="18"/>
              </w:rPr>
              <w:t>Av dette:</w:t>
            </w:r>
          </w:p>
        </w:tc>
        <w:tc>
          <w:tcPr>
            <w:tcW w:w="328" w:type="pct"/>
            <w:shd w:val="clear" w:color="auto" w:fill="auto"/>
            <w:vAlign w:val="bottom"/>
            <w:hideMark/>
          </w:tcPr>
          <w:p w14:paraId="718ED828"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0076355"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67A5D78"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F6070CE"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1D448C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7F7FD9C"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FC94048"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46B3F89A"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154FBC0"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344A9306"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2BF70F58" w14:textId="77777777" w:rsidR="005F400D" w:rsidRPr="00707934"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401470DB" w14:textId="77777777" w:rsidR="005F400D" w:rsidRPr="00707934"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6B3A677F" w14:textId="77777777" w:rsidR="005F400D" w:rsidRPr="00707934" w:rsidRDefault="005F400D" w:rsidP="008C4FE7">
            <w:pPr>
              <w:spacing w:after="0"/>
              <w:rPr>
                <w:rFonts w:ascii="Times New Roman" w:hAnsi="Times New Roman"/>
                <w:sz w:val="18"/>
                <w:szCs w:val="18"/>
              </w:rPr>
            </w:pPr>
          </w:p>
        </w:tc>
      </w:tr>
      <w:tr w:rsidR="005F400D" w:rsidRPr="002A06C3" w14:paraId="50C87C35" w14:textId="77777777" w:rsidTr="00EA7BDC">
        <w:trPr>
          <w:trHeight w:val="215"/>
        </w:trPr>
        <w:tc>
          <w:tcPr>
            <w:tcW w:w="1007" w:type="pct"/>
            <w:shd w:val="clear" w:color="auto" w:fill="auto"/>
            <w:vAlign w:val="bottom"/>
            <w:hideMark/>
          </w:tcPr>
          <w:p w14:paraId="5CA7DB63" w14:textId="77777777" w:rsidR="005F400D" w:rsidRPr="002A06C3" w:rsidRDefault="005F400D" w:rsidP="008C4FE7">
            <w:pPr>
              <w:spacing w:after="0"/>
              <w:ind w:left="284"/>
              <w:rPr>
                <w:rFonts w:ascii="Times New Roman" w:hAnsi="Times New Roman"/>
                <w:sz w:val="18"/>
                <w:szCs w:val="18"/>
              </w:rPr>
            </w:pPr>
            <w:r w:rsidRPr="002A06C3">
              <w:rPr>
                <w:rFonts w:ascii="Times New Roman" w:hAnsi="Times New Roman"/>
                <w:sz w:val="18"/>
                <w:szCs w:val="18"/>
              </w:rPr>
              <w:t>Fagutdanning</w:t>
            </w:r>
            <w:r w:rsidRPr="002A06C3">
              <w:rPr>
                <w:rFonts w:ascii="Times New Roman" w:hAnsi="Times New Roman"/>
                <w:sz w:val="18"/>
                <w:szCs w:val="18"/>
                <w:vertAlign w:val="superscript"/>
              </w:rPr>
              <w:t>6</w:t>
            </w:r>
          </w:p>
        </w:tc>
        <w:tc>
          <w:tcPr>
            <w:tcW w:w="328" w:type="pct"/>
            <w:shd w:val="clear" w:color="auto" w:fill="auto"/>
            <w:vAlign w:val="bottom"/>
            <w:hideMark/>
          </w:tcPr>
          <w:p w14:paraId="2E984207"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w:t>
            </w:r>
          </w:p>
        </w:tc>
        <w:tc>
          <w:tcPr>
            <w:tcW w:w="263" w:type="pct"/>
            <w:shd w:val="clear" w:color="auto" w:fill="auto"/>
            <w:vAlign w:val="bottom"/>
            <w:hideMark/>
          </w:tcPr>
          <w:p w14:paraId="2229D0F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0,4</w:t>
            </w:r>
          </w:p>
        </w:tc>
        <w:tc>
          <w:tcPr>
            <w:tcW w:w="263" w:type="pct"/>
            <w:shd w:val="clear" w:color="auto" w:fill="auto"/>
            <w:vAlign w:val="bottom"/>
            <w:hideMark/>
          </w:tcPr>
          <w:p w14:paraId="3941BBE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4,6</w:t>
            </w:r>
          </w:p>
        </w:tc>
        <w:tc>
          <w:tcPr>
            <w:tcW w:w="263" w:type="pct"/>
            <w:shd w:val="clear" w:color="auto" w:fill="auto"/>
            <w:vAlign w:val="bottom"/>
            <w:hideMark/>
          </w:tcPr>
          <w:p w14:paraId="29D2DE5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6,1</w:t>
            </w:r>
          </w:p>
        </w:tc>
        <w:tc>
          <w:tcPr>
            <w:tcW w:w="263" w:type="pct"/>
            <w:shd w:val="clear" w:color="auto" w:fill="auto"/>
            <w:vAlign w:val="bottom"/>
            <w:hideMark/>
          </w:tcPr>
          <w:p w14:paraId="19A8A3B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6,0</w:t>
            </w:r>
          </w:p>
        </w:tc>
        <w:tc>
          <w:tcPr>
            <w:tcW w:w="263" w:type="pct"/>
            <w:shd w:val="clear" w:color="auto" w:fill="auto"/>
            <w:vAlign w:val="bottom"/>
            <w:hideMark/>
          </w:tcPr>
          <w:p w14:paraId="759E9EB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263" w:type="pct"/>
            <w:shd w:val="clear" w:color="auto" w:fill="auto"/>
            <w:vAlign w:val="bottom"/>
            <w:hideMark/>
          </w:tcPr>
          <w:p w14:paraId="613AD10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5,2</w:t>
            </w:r>
          </w:p>
        </w:tc>
        <w:tc>
          <w:tcPr>
            <w:tcW w:w="309" w:type="pct"/>
            <w:shd w:val="clear" w:color="auto" w:fill="auto"/>
            <w:vAlign w:val="bottom"/>
            <w:hideMark/>
          </w:tcPr>
          <w:p w14:paraId="2870F20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2,5</w:t>
            </w:r>
          </w:p>
        </w:tc>
        <w:tc>
          <w:tcPr>
            <w:tcW w:w="328" w:type="pct"/>
            <w:shd w:val="clear" w:color="auto" w:fill="auto"/>
            <w:vAlign w:val="bottom"/>
            <w:hideMark/>
          </w:tcPr>
          <w:p w14:paraId="1000AD4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4,6</w:t>
            </w:r>
          </w:p>
        </w:tc>
        <w:tc>
          <w:tcPr>
            <w:tcW w:w="328" w:type="pct"/>
            <w:shd w:val="clear" w:color="auto" w:fill="auto"/>
            <w:vAlign w:val="bottom"/>
            <w:hideMark/>
          </w:tcPr>
          <w:p w14:paraId="0504A7B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0,5</w:t>
            </w:r>
          </w:p>
        </w:tc>
        <w:tc>
          <w:tcPr>
            <w:tcW w:w="336" w:type="pct"/>
            <w:shd w:val="clear" w:color="auto" w:fill="auto"/>
            <w:vAlign w:val="bottom"/>
            <w:hideMark/>
          </w:tcPr>
          <w:p w14:paraId="1EA28A98"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4,6</w:t>
            </w:r>
          </w:p>
        </w:tc>
        <w:tc>
          <w:tcPr>
            <w:tcW w:w="375" w:type="pct"/>
            <w:shd w:val="clear" w:color="auto" w:fill="auto"/>
            <w:noWrap/>
            <w:vAlign w:val="bottom"/>
            <w:hideMark/>
          </w:tcPr>
          <w:p w14:paraId="5CABB9C4"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18,6</w:t>
            </w:r>
          </w:p>
        </w:tc>
        <w:tc>
          <w:tcPr>
            <w:tcW w:w="409" w:type="pct"/>
            <w:shd w:val="clear" w:color="auto" w:fill="auto"/>
            <w:vAlign w:val="bottom"/>
            <w:hideMark/>
          </w:tcPr>
          <w:p w14:paraId="43027828"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487 200 </w:t>
            </w:r>
          </w:p>
        </w:tc>
      </w:tr>
      <w:tr w:rsidR="005F400D" w:rsidRPr="002A06C3" w14:paraId="2A88B976" w14:textId="77777777" w:rsidTr="00EA7BDC">
        <w:trPr>
          <w:trHeight w:val="455"/>
        </w:trPr>
        <w:tc>
          <w:tcPr>
            <w:tcW w:w="1007" w:type="pct"/>
            <w:shd w:val="clear" w:color="auto" w:fill="auto"/>
            <w:vAlign w:val="bottom"/>
            <w:hideMark/>
          </w:tcPr>
          <w:p w14:paraId="3651E9C0"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Universitets- eller høyskoleutdanning, til og med 4 år</w:t>
            </w:r>
          </w:p>
        </w:tc>
        <w:tc>
          <w:tcPr>
            <w:tcW w:w="328" w:type="pct"/>
            <w:shd w:val="clear" w:color="auto" w:fill="auto"/>
            <w:vAlign w:val="bottom"/>
            <w:hideMark/>
          </w:tcPr>
          <w:p w14:paraId="7F81452F"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82</w:t>
            </w:r>
          </w:p>
        </w:tc>
        <w:tc>
          <w:tcPr>
            <w:tcW w:w="263" w:type="pct"/>
            <w:shd w:val="clear" w:color="auto" w:fill="auto"/>
            <w:vAlign w:val="bottom"/>
            <w:hideMark/>
          </w:tcPr>
          <w:p w14:paraId="1D48257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w:t>
            </w:r>
          </w:p>
        </w:tc>
        <w:tc>
          <w:tcPr>
            <w:tcW w:w="263" w:type="pct"/>
            <w:shd w:val="clear" w:color="auto" w:fill="auto"/>
            <w:vAlign w:val="bottom"/>
            <w:hideMark/>
          </w:tcPr>
          <w:p w14:paraId="73D331B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263" w:type="pct"/>
            <w:shd w:val="clear" w:color="auto" w:fill="auto"/>
            <w:vAlign w:val="bottom"/>
            <w:hideMark/>
          </w:tcPr>
          <w:p w14:paraId="0826CBE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263" w:type="pct"/>
            <w:shd w:val="clear" w:color="auto" w:fill="auto"/>
            <w:vAlign w:val="bottom"/>
            <w:hideMark/>
          </w:tcPr>
          <w:p w14:paraId="53699DD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6,2</w:t>
            </w:r>
          </w:p>
        </w:tc>
        <w:tc>
          <w:tcPr>
            <w:tcW w:w="263" w:type="pct"/>
            <w:shd w:val="clear" w:color="auto" w:fill="auto"/>
            <w:vAlign w:val="bottom"/>
            <w:hideMark/>
          </w:tcPr>
          <w:p w14:paraId="15D9D03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3,4</w:t>
            </w:r>
          </w:p>
        </w:tc>
        <w:tc>
          <w:tcPr>
            <w:tcW w:w="263" w:type="pct"/>
            <w:shd w:val="clear" w:color="auto" w:fill="auto"/>
            <w:vAlign w:val="bottom"/>
            <w:hideMark/>
          </w:tcPr>
          <w:p w14:paraId="6014EEB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309" w:type="pct"/>
            <w:shd w:val="clear" w:color="auto" w:fill="auto"/>
            <w:vAlign w:val="bottom"/>
            <w:hideMark/>
          </w:tcPr>
          <w:p w14:paraId="1E17F46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w:t>
            </w:r>
          </w:p>
        </w:tc>
        <w:tc>
          <w:tcPr>
            <w:tcW w:w="328" w:type="pct"/>
            <w:shd w:val="clear" w:color="auto" w:fill="auto"/>
            <w:vAlign w:val="bottom"/>
            <w:hideMark/>
          </w:tcPr>
          <w:p w14:paraId="1807ACD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5,9</w:t>
            </w:r>
          </w:p>
        </w:tc>
        <w:tc>
          <w:tcPr>
            <w:tcW w:w="328" w:type="pct"/>
            <w:shd w:val="clear" w:color="auto" w:fill="auto"/>
            <w:vAlign w:val="bottom"/>
            <w:hideMark/>
          </w:tcPr>
          <w:p w14:paraId="797DBDD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1,0</w:t>
            </w:r>
          </w:p>
        </w:tc>
        <w:tc>
          <w:tcPr>
            <w:tcW w:w="336" w:type="pct"/>
            <w:shd w:val="clear" w:color="auto" w:fill="auto"/>
            <w:vAlign w:val="bottom"/>
            <w:hideMark/>
          </w:tcPr>
          <w:p w14:paraId="67E9D5B9"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4,3</w:t>
            </w:r>
          </w:p>
        </w:tc>
        <w:tc>
          <w:tcPr>
            <w:tcW w:w="375" w:type="pct"/>
            <w:shd w:val="clear" w:color="auto" w:fill="auto"/>
            <w:noWrap/>
            <w:vAlign w:val="bottom"/>
            <w:hideMark/>
          </w:tcPr>
          <w:p w14:paraId="10B8FF97"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19,7</w:t>
            </w:r>
          </w:p>
        </w:tc>
        <w:tc>
          <w:tcPr>
            <w:tcW w:w="409" w:type="pct"/>
            <w:shd w:val="clear" w:color="auto" w:fill="auto"/>
            <w:vAlign w:val="bottom"/>
            <w:hideMark/>
          </w:tcPr>
          <w:p w14:paraId="2431EE1E"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518 400 </w:t>
            </w:r>
          </w:p>
        </w:tc>
      </w:tr>
      <w:tr w:rsidR="005F400D" w:rsidRPr="002A06C3" w14:paraId="64DB1ABA" w14:textId="77777777" w:rsidTr="00EA7BDC">
        <w:trPr>
          <w:trHeight w:val="765"/>
        </w:trPr>
        <w:tc>
          <w:tcPr>
            <w:tcW w:w="1007" w:type="pct"/>
            <w:shd w:val="clear" w:color="auto" w:fill="auto"/>
            <w:vAlign w:val="bottom"/>
            <w:hideMark/>
          </w:tcPr>
          <w:p w14:paraId="5A3F9F0F"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Universitets- eller høyskoleutdanning, lengre enn 4 år</w:t>
            </w:r>
          </w:p>
        </w:tc>
        <w:tc>
          <w:tcPr>
            <w:tcW w:w="328" w:type="pct"/>
            <w:shd w:val="clear" w:color="auto" w:fill="auto"/>
            <w:vAlign w:val="bottom"/>
            <w:hideMark/>
          </w:tcPr>
          <w:p w14:paraId="55C5EF52"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15</w:t>
            </w:r>
          </w:p>
        </w:tc>
        <w:tc>
          <w:tcPr>
            <w:tcW w:w="263" w:type="pct"/>
            <w:shd w:val="clear" w:color="auto" w:fill="auto"/>
            <w:vAlign w:val="bottom"/>
            <w:hideMark/>
          </w:tcPr>
          <w:p w14:paraId="257AF3B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0,7</w:t>
            </w:r>
          </w:p>
        </w:tc>
        <w:tc>
          <w:tcPr>
            <w:tcW w:w="263" w:type="pct"/>
            <w:shd w:val="clear" w:color="auto" w:fill="auto"/>
            <w:vAlign w:val="bottom"/>
            <w:hideMark/>
          </w:tcPr>
          <w:p w14:paraId="78E4353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263" w:type="pct"/>
            <w:shd w:val="clear" w:color="auto" w:fill="auto"/>
            <w:vAlign w:val="bottom"/>
            <w:hideMark/>
          </w:tcPr>
          <w:p w14:paraId="65D9EC8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263" w:type="pct"/>
            <w:shd w:val="clear" w:color="auto" w:fill="auto"/>
            <w:vAlign w:val="bottom"/>
            <w:hideMark/>
          </w:tcPr>
          <w:p w14:paraId="74549CF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7,5</w:t>
            </w:r>
          </w:p>
        </w:tc>
        <w:tc>
          <w:tcPr>
            <w:tcW w:w="263" w:type="pct"/>
            <w:shd w:val="clear" w:color="auto" w:fill="auto"/>
            <w:vAlign w:val="bottom"/>
            <w:hideMark/>
          </w:tcPr>
          <w:p w14:paraId="6D175F7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263" w:type="pct"/>
            <w:shd w:val="clear" w:color="auto" w:fill="auto"/>
            <w:vAlign w:val="bottom"/>
            <w:hideMark/>
          </w:tcPr>
          <w:p w14:paraId="34B726A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309" w:type="pct"/>
            <w:shd w:val="clear" w:color="auto" w:fill="auto"/>
            <w:vAlign w:val="bottom"/>
            <w:hideMark/>
          </w:tcPr>
          <w:p w14:paraId="7152082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2,1</w:t>
            </w:r>
          </w:p>
        </w:tc>
        <w:tc>
          <w:tcPr>
            <w:tcW w:w="328" w:type="pct"/>
            <w:shd w:val="clear" w:color="auto" w:fill="auto"/>
            <w:vAlign w:val="bottom"/>
            <w:hideMark/>
          </w:tcPr>
          <w:p w14:paraId="7310220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7,0</w:t>
            </w:r>
          </w:p>
        </w:tc>
        <w:tc>
          <w:tcPr>
            <w:tcW w:w="328" w:type="pct"/>
            <w:shd w:val="clear" w:color="auto" w:fill="auto"/>
            <w:vAlign w:val="bottom"/>
            <w:hideMark/>
          </w:tcPr>
          <w:p w14:paraId="4CF545D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0,7</w:t>
            </w:r>
          </w:p>
        </w:tc>
        <w:tc>
          <w:tcPr>
            <w:tcW w:w="336" w:type="pct"/>
            <w:shd w:val="clear" w:color="auto" w:fill="auto"/>
            <w:vAlign w:val="bottom"/>
            <w:hideMark/>
          </w:tcPr>
          <w:p w14:paraId="788471D0"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4,8</w:t>
            </w:r>
          </w:p>
        </w:tc>
        <w:tc>
          <w:tcPr>
            <w:tcW w:w="375" w:type="pct"/>
            <w:shd w:val="clear" w:color="auto" w:fill="auto"/>
            <w:noWrap/>
            <w:vAlign w:val="bottom"/>
            <w:hideMark/>
          </w:tcPr>
          <w:p w14:paraId="0C0F2151"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20,1</w:t>
            </w:r>
          </w:p>
        </w:tc>
        <w:tc>
          <w:tcPr>
            <w:tcW w:w="409" w:type="pct"/>
            <w:shd w:val="clear" w:color="auto" w:fill="auto"/>
            <w:vAlign w:val="bottom"/>
            <w:hideMark/>
          </w:tcPr>
          <w:p w14:paraId="3B7DD181"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579 600 </w:t>
            </w:r>
          </w:p>
        </w:tc>
      </w:tr>
      <w:tr w:rsidR="005F400D" w:rsidRPr="002A06C3" w14:paraId="09A6B0E8" w14:textId="77777777" w:rsidTr="00EA7BDC">
        <w:trPr>
          <w:trHeight w:val="229"/>
        </w:trPr>
        <w:tc>
          <w:tcPr>
            <w:tcW w:w="1007" w:type="pct"/>
            <w:shd w:val="clear" w:color="auto" w:fill="auto"/>
            <w:vAlign w:val="bottom"/>
            <w:hideMark/>
          </w:tcPr>
          <w:p w14:paraId="449D3BBE" w14:textId="77777777" w:rsidR="005F400D" w:rsidRPr="002A06C3" w:rsidRDefault="005F400D" w:rsidP="008C4FE7">
            <w:pPr>
              <w:spacing w:after="0"/>
              <w:ind w:left="142"/>
              <w:rPr>
                <w:rFonts w:ascii="Times New Roman" w:hAnsi="Times New Roman"/>
                <w:b/>
                <w:bCs/>
                <w:sz w:val="18"/>
                <w:szCs w:val="18"/>
              </w:rPr>
            </w:pPr>
            <w:r w:rsidRPr="002A06C3">
              <w:rPr>
                <w:rFonts w:ascii="Times New Roman" w:hAnsi="Times New Roman"/>
                <w:sz w:val="18"/>
                <w:szCs w:val="18"/>
              </w:rPr>
              <w:t>Uoppgitt eller ingen fullført utdanning</w:t>
            </w:r>
          </w:p>
        </w:tc>
        <w:tc>
          <w:tcPr>
            <w:tcW w:w="328" w:type="pct"/>
            <w:shd w:val="clear" w:color="auto" w:fill="auto"/>
            <w:vAlign w:val="bottom"/>
            <w:hideMark/>
          </w:tcPr>
          <w:p w14:paraId="5F09D09F"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0</w:t>
            </w:r>
          </w:p>
        </w:tc>
        <w:tc>
          <w:tcPr>
            <w:tcW w:w="263" w:type="pct"/>
            <w:shd w:val="clear" w:color="auto" w:fill="auto"/>
            <w:vAlign w:val="bottom"/>
            <w:hideMark/>
          </w:tcPr>
          <w:p w14:paraId="1695537C"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9B068DA"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FB364DC"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0313AE5"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BAD171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A5CAF04"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30B3137B"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60FF2628"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3767A985"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1EDF16C1" w14:textId="77777777" w:rsidR="005F400D" w:rsidRPr="00707934"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6F78AFDE" w14:textId="77777777" w:rsidR="005F400D" w:rsidRPr="00707934"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03FFDBFA" w14:textId="77777777" w:rsidR="005F400D" w:rsidRPr="00707934" w:rsidRDefault="005F400D" w:rsidP="008C4FE7">
            <w:pPr>
              <w:spacing w:after="0"/>
              <w:jc w:val="center"/>
              <w:rPr>
                <w:rFonts w:ascii="Times New Roman" w:hAnsi="Times New Roman"/>
                <w:sz w:val="18"/>
                <w:szCs w:val="18"/>
              </w:rPr>
            </w:pPr>
          </w:p>
        </w:tc>
      </w:tr>
      <w:tr w:rsidR="005F400D" w:rsidRPr="002A06C3" w14:paraId="4B424ED8" w14:textId="77777777" w:rsidTr="00EA7BDC">
        <w:trPr>
          <w:trHeight w:val="229"/>
        </w:trPr>
        <w:tc>
          <w:tcPr>
            <w:tcW w:w="1007" w:type="pct"/>
            <w:shd w:val="clear" w:color="auto" w:fill="auto"/>
            <w:vAlign w:val="bottom"/>
            <w:hideMark/>
          </w:tcPr>
          <w:p w14:paraId="5ADD78C4" w14:textId="77777777" w:rsidR="005F400D" w:rsidRPr="002A06C3" w:rsidRDefault="005F400D" w:rsidP="008C4FE7">
            <w:pPr>
              <w:spacing w:after="0"/>
              <w:ind w:left="142"/>
              <w:rPr>
                <w:rFonts w:ascii="Times New Roman" w:hAnsi="Times New Roman"/>
                <w:b/>
                <w:bCs/>
                <w:sz w:val="18"/>
                <w:szCs w:val="18"/>
              </w:rPr>
            </w:pPr>
          </w:p>
        </w:tc>
        <w:tc>
          <w:tcPr>
            <w:tcW w:w="328" w:type="pct"/>
            <w:shd w:val="clear" w:color="auto" w:fill="auto"/>
            <w:vAlign w:val="bottom"/>
            <w:hideMark/>
          </w:tcPr>
          <w:p w14:paraId="7D6ED1CA"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F73236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F20F06B"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DB40AD8"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F10CF5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2F02D4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304E3DE"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0DA6798B"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46917E52"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56A7EBCD"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030DF36A" w14:textId="77777777" w:rsidR="005F400D" w:rsidRPr="00707934"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493FD81D" w14:textId="77777777" w:rsidR="005F400D" w:rsidRPr="00707934"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3152A9A1" w14:textId="77777777" w:rsidR="005F400D" w:rsidRPr="00707934" w:rsidRDefault="005F400D" w:rsidP="008C4FE7">
            <w:pPr>
              <w:spacing w:after="0"/>
              <w:jc w:val="center"/>
              <w:rPr>
                <w:rFonts w:ascii="Times New Roman" w:hAnsi="Times New Roman"/>
                <w:sz w:val="18"/>
                <w:szCs w:val="18"/>
              </w:rPr>
            </w:pPr>
          </w:p>
        </w:tc>
      </w:tr>
      <w:tr w:rsidR="005F400D" w:rsidRPr="002A06C3" w14:paraId="417B4703" w14:textId="77777777" w:rsidTr="00EA7BDC">
        <w:trPr>
          <w:trHeight w:val="572"/>
        </w:trPr>
        <w:tc>
          <w:tcPr>
            <w:tcW w:w="1007" w:type="pct"/>
            <w:shd w:val="clear" w:color="auto" w:fill="auto"/>
            <w:vAlign w:val="bottom"/>
            <w:hideMark/>
          </w:tcPr>
          <w:p w14:paraId="49D787A4" w14:textId="77777777" w:rsidR="005F400D" w:rsidRPr="002A06C3" w:rsidRDefault="005F400D" w:rsidP="008C4FE7">
            <w:pPr>
              <w:spacing w:after="0"/>
              <w:ind w:left="142"/>
              <w:rPr>
                <w:rFonts w:ascii="Times New Roman" w:hAnsi="Times New Roman"/>
                <w:b/>
                <w:bCs/>
                <w:sz w:val="18"/>
                <w:szCs w:val="18"/>
              </w:rPr>
            </w:pPr>
            <w:r w:rsidRPr="002A06C3">
              <w:rPr>
                <w:rFonts w:ascii="Times New Roman" w:hAnsi="Times New Roman"/>
                <w:b/>
                <w:bCs/>
                <w:sz w:val="18"/>
                <w:szCs w:val="18"/>
              </w:rPr>
              <w:t>- Kommune og fylkeskommune ekskl. skoleverket</w:t>
            </w:r>
          </w:p>
        </w:tc>
        <w:tc>
          <w:tcPr>
            <w:tcW w:w="328" w:type="pct"/>
            <w:shd w:val="clear" w:color="auto" w:fill="auto"/>
            <w:vAlign w:val="bottom"/>
            <w:hideMark/>
          </w:tcPr>
          <w:p w14:paraId="6C7B69E1"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100</w:t>
            </w:r>
          </w:p>
        </w:tc>
        <w:tc>
          <w:tcPr>
            <w:tcW w:w="263" w:type="pct"/>
            <w:shd w:val="clear" w:color="auto" w:fill="auto"/>
            <w:vAlign w:val="bottom"/>
            <w:hideMark/>
          </w:tcPr>
          <w:p w14:paraId="5599CBA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263" w:type="pct"/>
            <w:shd w:val="clear" w:color="auto" w:fill="auto"/>
            <w:vAlign w:val="bottom"/>
            <w:hideMark/>
          </w:tcPr>
          <w:p w14:paraId="0825D91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5,8</w:t>
            </w:r>
          </w:p>
        </w:tc>
        <w:tc>
          <w:tcPr>
            <w:tcW w:w="263" w:type="pct"/>
            <w:shd w:val="clear" w:color="auto" w:fill="auto"/>
            <w:vAlign w:val="bottom"/>
            <w:hideMark/>
          </w:tcPr>
          <w:p w14:paraId="2F06665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5,2</w:t>
            </w:r>
          </w:p>
        </w:tc>
        <w:tc>
          <w:tcPr>
            <w:tcW w:w="263" w:type="pct"/>
            <w:shd w:val="clear" w:color="auto" w:fill="auto"/>
            <w:vAlign w:val="bottom"/>
            <w:hideMark/>
          </w:tcPr>
          <w:p w14:paraId="2391757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7,7</w:t>
            </w:r>
          </w:p>
        </w:tc>
        <w:tc>
          <w:tcPr>
            <w:tcW w:w="263" w:type="pct"/>
            <w:shd w:val="clear" w:color="auto" w:fill="auto"/>
            <w:vAlign w:val="bottom"/>
            <w:hideMark/>
          </w:tcPr>
          <w:p w14:paraId="1E54503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4,2</w:t>
            </w:r>
          </w:p>
        </w:tc>
        <w:tc>
          <w:tcPr>
            <w:tcW w:w="263" w:type="pct"/>
            <w:shd w:val="clear" w:color="auto" w:fill="auto"/>
            <w:vAlign w:val="bottom"/>
            <w:hideMark/>
          </w:tcPr>
          <w:p w14:paraId="23961CB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5,3</w:t>
            </w:r>
          </w:p>
        </w:tc>
        <w:tc>
          <w:tcPr>
            <w:tcW w:w="309" w:type="pct"/>
            <w:shd w:val="clear" w:color="auto" w:fill="auto"/>
            <w:vAlign w:val="bottom"/>
            <w:hideMark/>
          </w:tcPr>
          <w:p w14:paraId="50D9081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3,2</w:t>
            </w:r>
          </w:p>
        </w:tc>
        <w:tc>
          <w:tcPr>
            <w:tcW w:w="328" w:type="pct"/>
            <w:shd w:val="clear" w:color="auto" w:fill="auto"/>
            <w:vAlign w:val="bottom"/>
            <w:hideMark/>
          </w:tcPr>
          <w:p w14:paraId="3118A2F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6,0</w:t>
            </w:r>
          </w:p>
        </w:tc>
        <w:tc>
          <w:tcPr>
            <w:tcW w:w="328" w:type="pct"/>
            <w:shd w:val="clear" w:color="auto" w:fill="auto"/>
            <w:vAlign w:val="bottom"/>
            <w:hideMark/>
          </w:tcPr>
          <w:p w14:paraId="192FB4B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2,2</w:t>
            </w:r>
          </w:p>
        </w:tc>
        <w:tc>
          <w:tcPr>
            <w:tcW w:w="336" w:type="pct"/>
            <w:shd w:val="clear" w:color="auto" w:fill="auto"/>
            <w:vAlign w:val="bottom"/>
            <w:hideMark/>
          </w:tcPr>
          <w:p w14:paraId="5633CC88"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4,7</w:t>
            </w:r>
          </w:p>
        </w:tc>
        <w:tc>
          <w:tcPr>
            <w:tcW w:w="375" w:type="pct"/>
            <w:shd w:val="clear" w:color="auto" w:fill="auto"/>
            <w:noWrap/>
            <w:vAlign w:val="bottom"/>
            <w:hideMark/>
          </w:tcPr>
          <w:p w14:paraId="1C3A5C45"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23,3</w:t>
            </w:r>
          </w:p>
        </w:tc>
        <w:tc>
          <w:tcPr>
            <w:tcW w:w="409" w:type="pct"/>
            <w:shd w:val="clear" w:color="auto" w:fill="auto"/>
            <w:vAlign w:val="bottom"/>
            <w:hideMark/>
          </w:tcPr>
          <w:p w14:paraId="05F274E6"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476 400 </w:t>
            </w:r>
          </w:p>
        </w:tc>
      </w:tr>
      <w:tr w:rsidR="005F400D" w:rsidRPr="002A06C3" w14:paraId="25938CF9" w14:textId="77777777" w:rsidTr="00EA7BDC">
        <w:trPr>
          <w:trHeight w:val="255"/>
        </w:trPr>
        <w:tc>
          <w:tcPr>
            <w:tcW w:w="1007" w:type="pct"/>
            <w:shd w:val="clear" w:color="auto" w:fill="auto"/>
            <w:vAlign w:val="bottom"/>
            <w:hideMark/>
          </w:tcPr>
          <w:p w14:paraId="3160256B"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Utdanning på grunnskolenivå</w:t>
            </w:r>
          </w:p>
        </w:tc>
        <w:tc>
          <w:tcPr>
            <w:tcW w:w="328" w:type="pct"/>
            <w:shd w:val="clear" w:color="auto" w:fill="auto"/>
            <w:vAlign w:val="bottom"/>
            <w:hideMark/>
          </w:tcPr>
          <w:p w14:paraId="50883FDA"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10</w:t>
            </w:r>
          </w:p>
        </w:tc>
        <w:tc>
          <w:tcPr>
            <w:tcW w:w="263" w:type="pct"/>
            <w:shd w:val="clear" w:color="auto" w:fill="auto"/>
            <w:vAlign w:val="bottom"/>
            <w:hideMark/>
          </w:tcPr>
          <w:p w14:paraId="1606811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2,3</w:t>
            </w:r>
          </w:p>
        </w:tc>
        <w:tc>
          <w:tcPr>
            <w:tcW w:w="263" w:type="pct"/>
            <w:shd w:val="clear" w:color="auto" w:fill="auto"/>
            <w:vAlign w:val="bottom"/>
            <w:hideMark/>
          </w:tcPr>
          <w:p w14:paraId="129207C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263" w:type="pct"/>
            <w:shd w:val="clear" w:color="auto" w:fill="auto"/>
            <w:vAlign w:val="bottom"/>
            <w:hideMark/>
          </w:tcPr>
          <w:p w14:paraId="0740086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4,7</w:t>
            </w:r>
          </w:p>
        </w:tc>
        <w:tc>
          <w:tcPr>
            <w:tcW w:w="263" w:type="pct"/>
            <w:shd w:val="clear" w:color="auto" w:fill="auto"/>
            <w:vAlign w:val="bottom"/>
            <w:hideMark/>
          </w:tcPr>
          <w:p w14:paraId="3E8FEF8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7,3</w:t>
            </w:r>
          </w:p>
        </w:tc>
        <w:tc>
          <w:tcPr>
            <w:tcW w:w="263" w:type="pct"/>
            <w:shd w:val="clear" w:color="auto" w:fill="auto"/>
            <w:vAlign w:val="bottom"/>
            <w:hideMark/>
          </w:tcPr>
          <w:p w14:paraId="32E3DA4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2,3</w:t>
            </w:r>
          </w:p>
        </w:tc>
        <w:tc>
          <w:tcPr>
            <w:tcW w:w="263" w:type="pct"/>
            <w:shd w:val="clear" w:color="auto" w:fill="auto"/>
            <w:vAlign w:val="bottom"/>
            <w:hideMark/>
          </w:tcPr>
          <w:p w14:paraId="6A3A2C1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5,6</w:t>
            </w:r>
          </w:p>
        </w:tc>
        <w:tc>
          <w:tcPr>
            <w:tcW w:w="309" w:type="pct"/>
            <w:shd w:val="clear" w:color="auto" w:fill="auto"/>
            <w:vAlign w:val="bottom"/>
            <w:hideMark/>
          </w:tcPr>
          <w:p w14:paraId="54BA34B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2,8</w:t>
            </w:r>
          </w:p>
        </w:tc>
        <w:tc>
          <w:tcPr>
            <w:tcW w:w="328" w:type="pct"/>
            <w:shd w:val="clear" w:color="auto" w:fill="auto"/>
            <w:vAlign w:val="bottom"/>
            <w:hideMark/>
          </w:tcPr>
          <w:p w14:paraId="0685197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4,8</w:t>
            </w:r>
          </w:p>
        </w:tc>
        <w:tc>
          <w:tcPr>
            <w:tcW w:w="328" w:type="pct"/>
            <w:shd w:val="clear" w:color="auto" w:fill="auto"/>
            <w:vAlign w:val="bottom"/>
            <w:hideMark/>
          </w:tcPr>
          <w:p w14:paraId="3B2E9A8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336" w:type="pct"/>
            <w:shd w:val="clear" w:color="auto" w:fill="auto"/>
            <w:vAlign w:val="bottom"/>
            <w:hideMark/>
          </w:tcPr>
          <w:p w14:paraId="05EC3FDC"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4,4</w:t>
            </w:r>
          </w:p>
        </w:tc>
        <w:tc>
          <w:tcPr>
            <w:tcW w:w="375" w:type="pct"/>
            <w:shd w:val="clear" w:color="auto" w:fill="auto"/>
            <w:noWrap/>
            <w:vAlign w:val="bottom"/>
            <w:hideMark/>
          </w:tcPr>
          <w:p w14:paraId="535AA194"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21,8</w:t>
            </w:r>
          </w:p>
        </w:tc>
        <w:tc>
          <w:tcPr>
            <w:tcW w:w="409" w:type="pct"/>
            <w:shd w:val="clear" w:color="auto" w:fill="auto"/>
            <w:vAlign w:val="bottom"/>
            <w:hideMark/>
          </w:tcPr>
          <w:p w14:paraId="56F58F9E"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396 000 </w:t>
            </w:r>
          </w:p>
        </w:tc>
      </w:tr>
      <w:tr w:rsidR="005F400D" w:rsidRPr="002A06C3" w14:paraId="5652709B" w14:textId="77777777" w:rsidTr="00EA7BDC">
        <w:trPr>
          <w:trHeight w:val="510"/>
        </w:trPr>
        <w:tc>
          <w:tcPr>
            <w:tcW w:w="1007" w:type="pct"/>
            <w:shd w:val="clear" w:color="auto" w:fill="auto"/>
            <w:vAlign w:val="bottom"/>
            <w:hideMark/>
          </w:tcPr>
          <w:p w14:paraId="2893E781"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Utdanning på videregående skolenivå</w:t>
            </w:r>
          </w:p>
        </w:tc>
        <w:tc>
          <w:tcPr>
            <w:tcW w:w="328" w:type="pct"/>
            <w:shd w:val="clear" w:color="auto" w:fill="auto"/>
            <w:vAlign w:val="bottom"/>
            <w:hideMark/>
          </w:tcPr>
          <w:p w14:paraId="4D24F86F"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34</w:t>
            </w:r>
          </w:p>
        </w:tc>
        <w:tc>
          <w:tcPr>
            <w:tcW w:w="263" w:type="pct"/>
            <w:shd w:val="clear" w:color="auto" w:fill="auto"/>
            <w:vAlign w:val="bottom"/>
            <w:hideMark/>
          </w:tcPr>
          <w:p w14:paraId="1E5B997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2,4</w:t>
            </w:r>
          </w:p>
        </w:tc>
        <w:tc>
          <w:tcPr>
            <w:tcW w:w="263" w:type="pct"/>
            <w:shd w:val="clear" w:color="auto" w:fill="auto"/>
            <w:vAlign w:val="bottom"/>
            <w:hideMark/>
          </w:tcPr>
          <w:p w14:paraId="3B1BF7C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5,5</w:t>
            </w:r>
          </w:p>
        </w:tc>
        <w:tc>
          <w:tcPr>
            <w:tcW w:w="263" w:type="pct"/>
            <w:shd w:val="clear" w:color="auto" w:fill="auto"/>
            <w:vAlign w:val="bottom"/>
            <w:hideMark/>
          </w:tcPr>
          <w:p w14:paraId="3AFC421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263" w:type="pct"/>
            <w:shd w:val="clear" w:color="auto" w:fill="auto"/>
            <w:vAlign w:val="bottom"/>
            <w:hideMark/>
          </w:tcPr>
          <w:p w14:paraId="7A802ED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8,1</w:t>
            </w:r>
          </w:p>
        </w:tc>
        <w:tc>
          <w:tcPr>
            <w:tcW w:w="263" w:type="pct"/>
            <w:shd w:val="clear" w:color="auto" w:fill="auto"/>
            <w:vAlign w:val="bottom"/>
            <w:hideMark/>
          </w:tcPr>
          <w:p w14:paraId="2290E63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263" w:type="pct"/>
            <w:shd w:val="clear" w:color="auto" w:fill="auto"/>
            <w:vAlign w:val="bottom"/>
            <w:hideMark/>
          </w:tcPr>
          <w:p w14:paraId="2BDB866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309" w:type="pct"/>
            <w:shd w:val="clear" w:color="auto" w:fill="auto"/>
            <w:vAlign w:val="bottom"/>
            <w:hideMark/>
          </w:tcPr>
          <w:p w14:paraId="1FBFAB0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328" w:type="pct"/>
            <w:shd w:val="clear" w:color="auto" w:fill="auto"/>
            <w:vAlign w:val="bottom"/>
            <w:hideMark/>
          </w:tcPr>
          <w:p w14:paraId="1712142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6,3</w:t>
            </w:r>
          </w:p>
        </w:tc>
        <w:tc>
          <w:tcPr>
            <w:tcW w:w="328" w:type="pct"/>
            <w:shd w:val="clear" w:color="auto" w:fill="auto"/>
            <w:vAlign w:val="bottom"/>
            <w:hideMark/>
          </w:tcPr>
          <w:p w14:paraId="2B9CBEE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1,8</w:t>
            </w:r>
          </w:p>
        </w:tc>
        <w:tc>
          <w:tcPr>
            <w:tcW w:w="336" w:type="pct"/>
            <w:shd w:val="clear" w:color="auto" w:fill="auto"/>
            <w:vAlign w:val="bottom"/>
            <w:hideMark/>
          </w:tcPr>
          <w:p w14:paraId="375401AD"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4,7</w:t>
            </w:r>
          </w:p>
        </w:tc>
        <w:tc>
          <w:tcPr>
            <w:tcW w:w="375" w:type="pct"/>
            <w:shd w:val="clear" w:color="auto" w:fill="auto"/>
            <w:noWrap/>
            <w:vAlign w:val="bottom"/>
            <w:hideMark/>
          </w:tcPr>
          <w:p w14:paraId="2CD12350"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22,4</w:t>
            </w:r>
          </w:p>
        </w:tc>
        <w:tc>
          <w:tcPr>
            <w:tcW w:w="409" w:type="pct"/>
            <w:shd w:val="clear" w:color="auto" w:fill="auto"/>
            <w:vAlign w:val="bottom"/>
            <w:hideMark/>
          </w:tcPr>
          <w:p w14:paraId="6E448941"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432 000 </w:t>
            </w:r>
          </w:p>
        </w:tc>
      </w:tr>
      <w:tr w:rsidR="005F400D" w:rsidRPr="002A06C3" w14:paraId="4B69BAC0" w14:textId="77777777" w:rsidTr="00EA7BDC">
        <w:trPr>
          <w:trHeight w:val="57"/>
        </w:trPr>
        <w:tc>
          <w:tcPr>
            <w:tcW w:w="1007" w:type="pct"/>
            <w:shd w:val="clear" w:color="auto" w:fill="auto"/>
            <w:vAlign w:val="bottom"/>
            <w:hideMark/>
          </w:tcPr>
          <w:p w14:paraId="33B6DD06" w14:textId="77777777" w:rsidR="005F400D" w:rsidRPr="002A06C3" w:rsidRDefault="005F400D" w:rsidP="008C4FE7">
            <w:pPr>
              <w:spacing w:after="0"/>
              <w:ind w:left="142" w:firstLineChars="100" w:firstLine="180"/>
              <w:rPr>
                <w:rFonts w:ascii="Times New Roman" w:hAnsi="Times New Roman"/>
                <w:sz w:val="18"/>
                <w:szCs w:val="18"/>
              </w:rPr>
            </w:pPr>
            <w:r w:rsidRPr="002A06C3">
              <w:rPr>
                <w:rFonts w:ascii="Times New Roman" w:hAnsi="Times New Roman"/>
                <w:sz w:val="18"/>
                <w:szCs w:val="18"/>
              </w:rPr>
              <w:t>Av dette:</w:t>
            </w:r>
          </w:p>
        </w:tc>
        <w:tc>
          <w:tcPr>
            <w:tcW w:w="328" w:type="pct"/>
            <w:shd w:val="clear" w:color="auto" w:fill="auto"/>
            <w:vAlign w:val="bottom"/>
            <w:hideMark/>
          </w:tcPr>
          <w:p w14:paraId="094A0C8B"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8CFF068"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C46C3A9"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1CD0A3B"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520E391F"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6B2433D"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FCA40FD"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0D2C3535"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7401D924"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5F41E56"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013C7E38" w14:textId="77777777" w:rsidR="005F400D" w:rsidRPr="00707934"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08C2EDEF" w14:textId="77777777" w:rsidR="005F400D" w:rsidRPr="00707934"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392E9728" w14:textId="77777777" w:rsidR="005F400D" w:rsidRPr="00707934" w:rsidRDefault="005F400D" w:rsidP="008C4FE7">
            <w:pPr>
              <w:spacing w:after="0"/>
              <w:rPr>
                <w:rFonts w:ascii="Times New Roman" w:hAnsi="Times New Roman"/>
                <w:sz w:val="18"/>
                <w:szCs w:val="18"/>
              </w:rPr>
            </w:pPr>
          </w:p>
        </w:tc>
      </w:tr>
      <w:tr w:rsidR="005F400D" w:rsidRPr="002A06C3" w14:paraId="023FEFE9" w14:textId="77777777" w:rsidTr="00EA7BDC">
        <w:trPr>
          <w:trHeight w:val="159"/>
        </w:trPr>
        <w:tc>
          <w:tcPr>
            <w:tcW w:w="1007" w:type="pct"/>
            <w:shd w:val="clear" w:color="auto" w:fill="auto"/>
            <w:vAlign w:val="bottom"/>
            <w:hideMark/>
          </w:tcPr>
          <w:p w14:paraId="322E3869" w14:textId="77777777" w:rsidR="005F400D" w:rsidRPr="002A06C3" w:rsidRDefault="005F400D" w:rsidP="008C4FE7">
            <w:pPr>
              <w:spacing w:after="0"/>
              <w:ind w:left="284"/>
              <w:rPr>
                <w:rFonts w:ascii="Times New Roman" w:hAnsi="Times New Roman"/>
                <w:sz w:val="18"/>
                <w:szCs w:val="18"/>
              </w:rPr>
            </w:pPr>
            <w:r w:rsidRPr="002A06C3">
              <w:rPr>
                <w:rFonts w:ascii="Times New Roman" w:hAnsi="Times New Roman"/>
                <w:sz w:val="18"/>
                <w:szCs w:val="18"/>
              </w:rPr>
              <w:t>Fagutdanning</w:t>
            </w:r>
            <w:r w:rsidRPr="002A06C3">
              <w:rPr>
                <w:rFonts w:ascii="Times New Roman" w:hAnsi="Times New Roman"/>
                <w:sz w:val="18"/>
                <w:szCs w:val="18"/>
                <w:vertAlign w:val="superscript"/>
              </w:rPr>
              <w:t>6</w:t>
            </w:r>
          </w:p>
        </w:tc>
        <w:tc>
          <w:tcPr>
            <w:tcW w:w="328" w:type="pct"/>
            <w:shd w:val="clear" w:color="auto" w:fill="auto"/>
            <w:vAlign w:val="bottom"/>
            <w:hideMark/>
          </w:tcPr>
          <w:p w14:paraId="3236D3C3"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14</w:t>
            </w:r>
          </w:p>
        </w:tc>
        <w:tc>
          <w:tcPr>
            <w:tcW w:w="263" w:type="pct"/>
            <w:shd w:val="clear" w:color="auto" w:fill="auto"/>
            <w:vAlign w:val="bottom"/>
            <w:hideMark/>
          </w:tcPr>
          <w:p w14:paraId="7C669B7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263" w:type="pct"/>
            <w:shd w:val="clear" w:color="auto" w:fill="auto"/>
            <w:vAlign w:val="bottom"/>
            <w:hideMark/>
          </w:tcPr>
          <w:p w14:paraId="0767AE0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263" w:type="pct"/>
            <w:shd w:val="clear" w:color="auto" w:fill="auto"/>
            <w:vAlign w:val="bottom"/>
            <w:hideMark/>
          </w:tcPr>
          <w:p w14:paraId="2F8B1AA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263" w:type="pct"/>
            <w:shd w:val="clear" w:color="auto" w:fill="auto"/>
            <w:vAlign w:val="bottom"/>
            <w:hideMark/>
          </w:tcPr>
          <w:p w14:paraId="06896A2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8,3</w:t>
            </w:r>
          </w:p>
        </w:tc>
        <w:tc>
          <w:tcPr>
            <w:tcW w:w="263" w:type="pct"/>
            <w:shd w:val="clear" w:color="auto" w:fill="auto"/>
            <w:vAlign w:val="bottom"/>
            <w:hideMark/>
          </w:tcPr>
          <w:p w14:paraId="60BA47F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3,9</w:t>
            </w:r>
          </w:p>
        </w:tc>
        <w:tc>
          <w:tcPr>
            <w:tcW w:w="263" w:type="pct"/>
            <w:shd w:val="clear" w:color="auto" w:fill="auto"/>
            <w:vAlign w:val="bottom"/>
            <w:hideMark/>
          </w:tcPr>
          <w:p w14:paraId="65669FF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309" w:type="pct"/>
            <w:shd w:val="clear" w:color="auto" w:fill="auto"/>
            <w:vAlign w:val="bottom"/>
            <w:hideMark/>
          </w:tcPr>
          <w:p w14:paraId="2D14E35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328" w:type="pct"/>
            <w:shd w:val="clear" w:color="auto" w:fill="auto"/>
            <w:vAlign w:val="bottom"/>
            <w:hideMark/>
          </w:tcPr>
          <w:p w14:paraId="1563259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6,3</w:t>
            </w:r>
          </w:p>
        </w:tc>
        <w:tc>
          <w:tcPr>
            <w:tcW w:w="328" w:type="pct"/>
            <w:shd w:val="clear" w:color="auto" w:fill="auto"/>
            <w:vAlign w:val="bottom"/>
            <w:hideMark/>
          </w:tcPr>
          <w:p w14:paraId="17A55A7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1,8</w:t>
            </w:r>
          </w:p>
        </w:tc>
        <w:tc>
          <w:tcPr>
            <w:tcW w:w="336" w:type="pct"/>
            <w:shd w:val="clear" w:color="auto" w:fill="auto"/>
            <w:vAlign w:val="bottom"/>
            <w:hideMark/>
          </w:tcPr>
          <w:p w14:paraId="3D8D17F8"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4,7</w:t>
            </w:r>
          </w:p>
        </w:tc>
        <w:tc>
          <w:tcPr>
            <w:tcW w:w="375" w:type="pct"/>
            <w:shd w:val="clear" w:color="auto" w:fill="auto"/>
            <w:noWrap/>
            <w:vAlign w:val="bottom"/>
            <w:hideMark/>
          </w:tcPr>
          <w:p w14:paraId="68DD6586"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22,6</w:t>
            </w:r>
          </w:p>
        </w:tc>
        <w:tc>
          <w:tcPr>
            <w:tcW w:w="409" w:type="pct"/>
            <w:shd w:val="clear" w:color="auto" w:fill="auto"/>
            <w:vAlign w:val="bottom"/>
            <w:hideMark/>
          </w:tcPr>
          <w:p w14:paraId="108CBD1E"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428 400 </w:t>
            </w:r>
          </w:p>
        </w:tc>
      </w:tr>
      <w:tr w:rsidR="005F400D" w:rsidRPr="002A06C3" w14:paraId="66A31D3A" w14:textId="77777777" w:rsidTr="00EA7BDC">
        <w:trPr>
          <w:trHeight w:val="540"/>
        </w:trPr>
        <w:tc>
          <w:tcPr>
            <w:tcW w:w="1007" w:type="pct"/>
            <w:shd w:val="clear" w:color="auto" w:fill="auto"/>
            <w:vAlign w:val="bottom"/>
            <w:hideMark/>
          </w:tcPr>
          <w:p w14:paraId="69E3601C"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Universitets- eller høyskoleutdanning, til og med 4 år</w:t>
            </w:r>
          </w:p>
        </w:tc>
        <w:tc>
          <w:tcPr>
            <w:tcW w:w="328" w:type="pct"/>
            <w:shd w:val="clear" w:color="auto" w:fill="auto"/>
            <w:vAlign w:val="bottom"/>
            <w:hideMark/>
          </w:tcPr>
          <w:p w14:paraId="52EB014B"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46</w:t>
            </w:r>
          </w:p>
        </w:tc>
        <w:tc>
          <w:tcPr>
            <w:tcW w:w="263" w:type="pct"/>
            <w:shd w:val="clear" w:color="auto" w:fill="auto"/>
            <w:vAlign w:val="bottom"/>
            <w:hideMark/>
          </w:tcPr>
          <w:p w14:paraId="1C9D730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2,4</w:t>
            </w:r>
          </w:p>
        </w:tc>
        <w:tc>
          <w:tcPr>
            <w:tcW w:w="263" w:type="pct"/>
            <w:shd w:val="clear" w:color="auto" w:fill="auto"/>
            <w:vAlign w:val="bottom"/>
            <w:hideMark/>
          </w:tcPr>
          <w:p w14:paraId="5F53037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5,6</w:t>
            </w:r>
          </w:p>
        </w:tc>
        <w:tc>
          <w:tcPr>
            <w:tcW w:w="263" w:type="pct"/>
            <w:shd w:val="clear" w:color="auto" w:fill="auto"/>
            <w:vAlign w:val="bottom"/>
            <w:hideMark/>
          </w:tcPr>
          <w:p w14:paraId="0EB925A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4,8</w:t>
            </w:r>
          </w:p>
        </w:tc>
        <w:tc>
          <w:tcPr>
            <w:tcW w:w="263" w:type="pct"/>
            <w:shd w:val="clear" w:color="auto" w:fill="auto"/>
            <w:vAlign w:val="bottom"/>
            <w:hideMark/>
          </w:tcPr>
          <w:p w14:paraId="6FE74D3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7,5</w:t>
            </w:r>
          </w:p>
        </w:tc>
        <w:tc>
          <w:tcPr>
            <w:tcW w:w="263" w:type="pct"/>
            <w:shd w:val="clear" w:color="auto" w:fill="auto"/>
            <w:vAlign w:val="bottom"/>
            <w:hideMark/>
          </w:tcPr>
          <w:p w14:paraId="1789277F"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3,9</w:t>
            </w:r>
          </w:p>
        </w:tc>
        <w:tc>
          <w:tcPr>
            <w:tcW w:w="263" w:type="pct"/>
            <w:shd w:val="clear" w:color="auto" w:fill="auto"/>
            <w:vAlign w:val="bottom"/>
            <w:hideMark/>
          </w:tcPr>
          <w:p w14:paraId="03BCECC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5,2</w:t>
            </w:r>
          </w:p>
        </w:tc>
        <w:tc>
          <w:tcPr>
            <w:tcW w:w="309" w:type="pct"/>
            <w:shd w:val="clear" w:color="auto" w:fill="auto"/>
            <w:vAlign w:val="bottom"/>
            <w:hideMark/>
          </w:tcPr>
          <w:p w14:paraId="01D39C1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328" w:type="pct"/>
            <w:shd w:val="clear" w:color="auto" w:fill="auto"/>
            <w:vAlign w:val="bottom"/>
            <w:hideMark/>
          </w:tcPr>
          <w:p w14:paraId="2E18722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5,9</w:t>
            </w:r>
          </w:p>
        </w:tc>
        <w:tc>
          <w:tcPr>
            <w:tcW w:w="328" w:type="pct"/>
            <w:shd w:val="clear" w:color="auto" w:fill="auto"/>
            <w:vAlign w:val="bottom"/>
            <w:hideMark/>
          </w:tcPr>
          <w:p w14:paraId="7AE1154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1,8</w:t>
            </w:r>
          </w:p>
        </w:tc>
        <w:tc>
          <w:tcPr>
            <w:tcW w:w="336" w:type="pct"/>
            <w:shd w:val="clear" w:color="auto" w:fill="auto"/>
            <w:vAlign w:val="bottom"/>
            <w:hideMark/>
          </w:tcPr>
          <w:p w14:paraId="27FAD323"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4,5</w:t>
            </w:r>
          </w:p>
        </w:tc>
        <w:tc>
          <w:tcPr>
            <w:tcW w:w="375" w:type="pct"/>
            <w:shd w:val="clear" w:color="auto" w:fill="auto"/>
            <w:noWrap/>
            <w:vAlign w:val="bottom"/>
            <w:hideMark/>
          </w:tcPr>
          <w:p w14:paraId="5C82A6FA"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22,0</w:t>
            </w:r>
          </w:p>
        </w:tc>
        <w:tc>
          <w:tcPr>
            <w:tcW w:w="409" w:type="pct"/>
            <w:shd w:val="clear" w:color="auto" w:fill="auto"/>
            <w:vAlign w:val="bottom"/>
            <w:hideMark/>
          </w:tcPr>
          <w:p w14:paraId="1B4CA6AE"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504 000 </w:t>
            </w:r>
          </w:p>
        </w:tc>
      </w:tr>
      <w:tr w:rsidR="005F400D" w:rsidRPr="002A06C3" w14:paraId="1A90F817" w14:textId="77777777" w:rsidTr="00EA7BDC">
        <w:trPr>
          <w:trHeight w:val="583"/>
        </w:trPr>
        <w:tc>
          <w:tcPr>
            <w:tcW w:w="1007" w:type="pct"/>
            <w:shd w:val="clear" w:color="auto" w:fill="auto"/>
            <w:vAlign w:val="bottom"/>
            <w:hideMark/>
          </w:tcPr>
          <w:p w14:paraId="1AA526DE"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Universitets- eller høyskoleutdanning, lengre enn 4 år</w:t>
            </w:r>
          </w:p>
        </w:tc>
        <w:tc>
          <w:tcPr>
            <w:tcW w:w="328" w:type="pct"/>
            <w:shd w:val="clear" w:color="auto" w:fill="auto"/>
            <w:vAlign w:val="bottom"/>
            <w:hideMark/>
          </w:tcPr>
          <w:p w14:paraId="4CD0E299"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9</w:t>
            </w:r>
          </w:p>
        </w:tc>
        <w:tc>
          <w:tcPr>
            <w:tcW w:w="263" w:type="pct"/>
            <w:shd w:val="clear" w:color="auto" w:fill="auto"/>
            <w:vAlign w:val="bottom"/>
            <w:hideMark/>
          </w:tcPr>
          <w:p w14:paraId="0491DA2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263" w:type="pct"/>
            <w:shd w:val="clear" w:color="auto" w:fill="auto"/>
            <w:vAlign w:val="bottom"/>
            <w:hideMark/>
          </w:tcPr>
          <w:p w14:paraId="6A6AEA7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5,4</w:t>
            </w:r>
          </w:p>
        </w:tc>
        <w:tc>
          <w:tcPr>
            <w:tcW w:w="263" w:type="pct"/>
            <w:shd w:val="clear" w:color="auto" w:fill="auto"/>
            <w:vAlign w:val="bottom"/>
            <w:hideMark/>
          </w:tcPr>
          <w:p w14:paraId="22B1274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5,8</w:t>
            </w:r>
          </w:p>
        </w:tc>
        <w:tc>
          <w:tcPr>
            <w:tcW w:w="263" w:type="pct"/>
            <w:shd w:val="clear" w:color="auto" w:fill="auto"/>
            <w:vAlign w:val="bottom"/>
            <w:hideMark/>
          </w:tcPr>
          <w:p w14:paraId="013C9F0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7,2</w:t>
            </w:r>
          </w:p>
        </w:tc>
        <w:tc>
          <w:tcPr>
            <w:tcW w:w="263" w:type="pct"/>
            <w:shd w:val="clear" w:color="auto" w:fill="auto"/>
            <w:vAlign w:val="bottom"/>
            <w:hideMark/>
          </w:tcPr>
          <w:p w14:paraId="0DAE311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4,0</w:t>
            </w:r>
          </w:p>
        </w:tc>
        <w:tc>
          <w:tcPr>
            <w:tcW w:w="263" w:type="pct"/>
            <w:shd w:val="clear" w:color="auto" w:fill="auto"/>
            <w:vAlign w:val="bottom"/>
            <w:hideMark/>
          </w:tcPr>
          <w:p w14:paraId="6E9D9C1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5,0</w:t>
            </w:r>
          </w:p>
        </w:tc>
        <w:tc>
          <w:tcPr>
            <w:tcW w:w="309" w:type="pct"/>
            <w:shd w:val="clear" w:color="auto" w:fill="auto"/>
            <w:vAlign w:val="bottom"/>
            <w:hideMark/>
          </w:tcPr>
          <w:p w14:paraId="2F79085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3,9</w:t>
            </w:r>
          </w:p>
        </w:tc>
        <w:tc>
          <w:tcPr>
            <w:tcW w:w="328" w:type="pct"/>
            <w:shd w:val="clear" w:color="auto" w:fill="auto"/>
            <w:vAlign w:val="bottom"/>
            <w:hideMark/>
          </w:tcPr>
          <w:p w14:paraId="5140B5E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5,6</w:t>
            </w:r>
          </w:p>
        </w:tc>
        <w:tc>
          <w:tcPr>
            <w:tcW w:w="328" w:type="pct"/>
            <w:shd w:val="clear" w:color="auto" w:fill="auto"/>
            <w:vAlign w:val="bottom"/>
            <w:hideMark/>
          </w:tcPr>
          <w:p w14:paraId="3A8F851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2,3</w:t>
            </w:r>
          </w:p>
        </w:tc>
        <w:tc>
          <w:tcPr>
            <w:tcW w:w="336" w:type="pct"/>
            <w:shd w:val="clear" w:color="auto" w:fill="auto"/>
            <w:vAlign w:val="bottom"/>
            <w:hideMark/>
          </w:tcPr>
          <w:p w14:paraId="2EF2585E"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3,5</w:t>
            </w:r>
          </w:p>
        </w:tc>
        <w:tc>
          <w:tcPr>
            <w:tcW w:w="375" w:type="pct"/>
            <w:shd w:val="clear" w:color="auto" w:fill="auto"/>
            <w:noWrap/>
            <w:vAlign w:val="bottom"/>
            <w:hideMark/>
          </w:tcPr>
          <w:p w14:paraId="2234D5C8"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22,1</w:t>
            </w:r>
          </w:p>
        </w:tc>
        <w:tc>
          <w:tcPr>
            <w:tcW w:w="409" w:type="pct"/>
            <w:shd w:val="clear" w:color="auto" w:fill="auto"/>
            <w:vAlign w:val="bottom"/>
            <w:hideMark/>
          </w:tcPr>
          <w:p w14:paraId="5FFA2602"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598 800 </w:t>
            </w:r>
          </w:p>
        </w:tc>
      </w:tr>
      <w:tr w:rsidR="005F400D" w:rsidRPr="002A06C3" w14:paraId="4D5C05AD" w14:textId="77777777" w:rsidTr="00EA7BDC">
        <w:trPr>
          <w:trHeight w:val="255"/>
        </w:trPr>
        <w:tc>
          <w:tcPr>
            <w:tcW w:w="1007" w:type="pct"/>
            <w:shd w:val="clear" w:color="auto" w:fill="auto"/>
            <w:vAlign w:val="bottom"/>
            <w:hideMark/>
          </w:tcPr>
          <w:p w14:paraId="468A4A45"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Uoppgitt eller ingen fullført utdanning</w:t>
            </w:r>
          </w:p>
        </w:tc>
        <w:tc>
          <w:tcPr>
            <w:tcW w:w="328" w:type="pct"/>
            <w:shd w:val="clear" w:color="auto" w:fill="auto"/>
            <w:vAlign w:val="bottom"/>
            <w:hideMark/>
          </w:tcPr>
          <w:p w14:paraId="42501095"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w:t>
            </w:r>
          </w:p>
        </w:tc>
        <w:tc>
          <w:tcPr>
            <w:tcW w:w="263" w:type="pct"/>
            <w:shd w:val="clear" w:color="auto" w:fill="auto"/>
            <w:vAlign w:val="bottom"/>
            <w:hideMark/>
          </w:tcPr>
          <w:p w14:paraId="149903F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D39DA6B"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F7D23D9"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3ED501AA"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CADBBB1"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0061C1E"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057161D3"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69C29499"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68CB9ADF"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66015D36" w14:textId="77777777" w:rsidR="005F400D" w:rsidRPr="00707934"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5D61D8A7" w14:textId="77777777" w:rsidR="005F400D" w:rsidRPr="00707934"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0DC15810" w14:textId="77777777" w:rsidR="005F400D" w:rsidRPr="00707934" w:rsidRDefault="005F400D" w:rsidP="008C4FE7">
            <w:pPr>
              <w:spacing w:after="0"/>
              <w:jc w:val="center"/>
              <w:rPr>
                <w:rFonts w:ascii="Times New Roman" w:hAnsi="Times New Roman"/>
                <w:sz w:val="18"/>
                <w:szCs w:val="18"/>
              </w:rPr>
            </w:pPr>
          </w:p>
        </w:tc>
      </w:tr>
      <w:tr w:rsidR="005F400D" w:rsidRPr="002A06C3" w14:paraId="57A327A3" w14:textId="77777777" w:rsidTr="00EA7BDC">
        <w:trPr>
          <w:trHeight w:val="255"/>
        </w:trPr>
        <w:tc>
          <w:tcPr>
            <w:tcW w:w="1007" w:type="pct"/>
            <w:shd w:val="clear" w:color="auto" w:fill="auto"/>
            <w:vAlign w:val="bottom"/>
            <w:hideMark/>
          </w:tcPr>
          <w:p w14:paraId="5E528999" w14:textId="77777777" w:rsidR="005F400D" w:rsidRPr="002A06C3" w:rsidRDefault="005F400D" w:rsidP="008C4FE7">
            <w:pPr>
              <w:spacing w:after="0"/>
              <w:rPr>
                <w:rFonts w:ascii="Times New Roman" w:hAnsi="Times New Roman"/>
                <w:sz w:val="18"/>
                <w:szCs w:val="18"/>
              </w:rPr>
            </w:pPr>
          </w:p>
        </w:tc>
        <w:tc>
          <w:tcPr>
            <w:tcW w:w="328" w:type="pct"/>
            <w:shd w:val="clear" w:color="auto" w:fill="auto"/>
            <w:vAlign w:val="bottom"/>
            <w:hideMark/>
          </w:tcPr>
          <w:p w14:paraId="1F75A4ED"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F44D29D"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E50CBEC"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CABCC04"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5BE808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2855BB66"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C02F15F"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17F2C7FE"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57EF2620"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0C968513"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057BEF84" w14:textId="77777777" w:rsidR="005F400D" w:rsidRPr="00707934"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7EA0449C" w14:textId="77777777" w:rsidR="005F400D" w:rsidRPr="00707934"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65751493" w14:textId="77777777" w:rsidR="005F400D" w:rsidRPr="00707934" w:rsidRDefault="005F400D" w:rsidP="008C4FE7">
            <w:pPr>
              <w:spacing w:after="0"/>
              <w:jc w:val="center"/>
              <w:rPr>
                <w:rFonts w:ascii="Times New Roman" w:hAnsi="Times New Roman"/>
                <w:sz w:val="18"/>
                <w:szCs w:val="18"/>
              </w:rPr>
            </w:pPr>
          </w:p>
        </w:tc>
      </w:tr>
      <w:tr w:rsidR="005F400D" w:rsidRPr="002A06C3" w14:paraId="462839ED" w14:textId="77777777" w:rsidTr="00EA7BDC">
        <w:trPr>
          <w:trHeight w:val="255"/>
        </w:trPr>
        <w:tc>
          <w:tcPr>
            <w:tcW w:w="1007" w:type="pct"/>
            <w:shd w:val="clear" w:color="auto" w:fill="auto"/>
            <w:vAlign w:val="bottom"/>
            <w:hideMark/>
          </w:tcPr>
          <w:p w14:paraId="2934890F" w14:textId="77777777" w:rsidR="005F400D" w:rsidRPr="002A06C3" w:rsidRDefault="005F400D" w:rsidP="008C4FE7">
            <w:pPr>
              <w:spacing w:after="0"/>
              <w:rPr>
                <w:rFonts w:ascii="Times New Roman" w:hAnsi="Times New Roman"/>
                <w:b/>
                <w:bCs/>
                <w:sz w:val="18"/>
                <w:szCs w:val="18"/>
              </w:rPr>
            </w:pPr>
            <w:r w:rsidRPr="002A06C3">
              <w:rPr>
                <w:rFonts w:ascii="Times New Roman" w:hAnsi="Times New Roman"/>
                <w:b/>
                <w:bCs/>
                <w:sz w:val="18"/>
                <w:szCs w:val="18"/>
              </w:rPr>
              <w:t>Helseforetak</w:t>
            </w:r>
          </w:p>
        </w:tc>
        <w:tc>
          <w:tcPr>
            <w:tcW w:w="328" w:type="pct"/>
            <w:shd w:val="clear" w:color="auto" w:fill="auto"/>
            <w:vAlign w:val="bottom"/>
            <w:hideMark/>
          </w:tcPr>
          <w:p w14:paraId="5F7ACD0E"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100</w:t>
            </w:r>
          </w:p>
        </w:tc>
        <w:tc>
          <w:tcPr>
            <w:tcW w:w="263" w:type="pct"/>
            <w:shd w:val="clear" w:color="auto" w:fill="auto"/>
            <w:vAlign w:val="bottom"/>
            <w:hideMark/>
          </w:tcPr>
          <w:p w14:paraId="05196C4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2,4</w:t>
            </w:r>
          </w:p>
        </w:tc>
        <w:tc>
          <w:tcPr>
            <w:tcW w:w="263" w:type="pct"/>
            <w:shd w:val="clear" w:color="auto" w:fill="auto"/>
            <w:vAlign w:val="bottom"/>
            <w:hideMark/>
          </w:tcPr>
          <w:p w14:paraId="3B5C942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263" w:type="pct"/>
            <w:shd w:val="clear" w:color="auto" w:fill="auto"/>
            <w:vAlign w:val="bottom"/>
            <w:hideMark/>
          </w:tcPr>
          <w:p w14:paraId="69AB546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8,1</w:t>
            </w:r>
          </w:p>
        </w:tc>
        <w:tc>
          <w:tcPr>
            <w:tcW w:w="263" w:type="pct"/>
            <w:shd w:val="clear" w:color="auto" w:fill="auto"/>
            <w:vAlign w:val="bottom"/>
            <w:hideMark/>
          </w:tcPr>
          <w:p w14:paraId="6CD2103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5,3</w:t>
            </w:r>
          </w:p>
        </w:tc>
        <w:tc>
          <w:tcPr>
            <w:tcW w:w="263" w:type="pct"/>
            <w:shd w:val="clear" w:color="auto" w:fill="auto"/>
            <w:vAlign w:val="bottom"/>
            <w:hideMark/>
          </w:tcPr>
          <w:p w14:paraId="51C5FB0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263" w:type="pct"/>
            <w:shd w:val="clear" w:color="auto" w:fill="auto"/>
            <w:vAlign w:val="bottom"/>
            <w:hideMark/>
          </w:tcPr>
          <w:p w14:paraId="333C39F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309" w:type="pct"/>
            <w:shd w:val="clear" w:color="auto" w:fill="auto"/>
            <w:vAlign w:val="bottom"/>
            <w:hideMark/>
          </w:tcPr>
          <w:p w14:paraId="2887E32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5,2</w:t>
            </w:r>
          </w:p>
        </w:tc>
        <w:tc>
          <w:tcPr>
            <w:tcW w:w="328" w:type="pct"/>
            <w:shd w:val="clear" w:color="auto" w:fill="auto"/>
            <w:vAlign w:val="bottom"/>
            <w:hideMark/>
          </w:tcPr>
          <w:p w14:paraId="00228B7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328" w:type="pct"/>
            <w:shd w:val="clear" w:color="auto" w:fill="auto"/>
            <w:vAlign w:val="bottom"/>
            <w:hideMark/>
          </w:tcPr>
          <w:p w14:paraId="484D197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336" w:type="pct"/>
            <w:shd w:val="clear" w:color="auto" w:fill="auto"/>
            <w:vAlign w:val="bottom"/>
            <w:hideMark/>
          </w:tcPr>
          <w:p w14:paraId="50D6BDC7"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3,9</w:t>
            </w:r>
          </w:p>
        </w:tc>
        <w:tc>
          <w:tcPr>
            <w:tcW w:w="375" w:type="pct"/>
            <w:shd w:val="clear" w:color="auto" w:fill="auto"/>
            <w:noWrap/>
            <w:vAlign w:val="bottom"/>
            <w:hideMark/>
          </w:tcPr>
          <w:p w14:paraId="593B5176"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19,5</w:t>
            </w:r>
          </w:p>
        </w:tc>
        <w:tc>
          <w:tcPr>
            <w:tcW w:w="409" w:type="pct"/>
            <w:shd w:val="clear" w:color="auto" w:fill="auto"/>
            <w:vAlign w:val="bottom"/>
            <w:hideMark/>
          </w:tcPr>
          <w:p w14:paraId="53B0F15C"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540 000 </w:t>
            </w:r>
          </w:p>
        </w:tc>
      </w:tr>
      <w:tr w:rsidR="005F400D" w:rsidRPr="002A06C3" w14:paraId="61455B30" w14:textId="77777777" w:rsidTr="00EA7BDC">
        <w:trPr>
          <w:trHeight w:val="255"/>
        </w:trPr>
        <w:tc>
          <w:tcPr>
            <w:tcW w:w="1007" w:type="pct"/>
            <w:shd w:val="clear" w:color="auto" w:fill="auto"/>
            <w:vAlign w:val="bottom"/>
            <w:hideMark/>
          </w:tcPr>
          <w:p w14:paraId="10431B55"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grunnskolenivå</w:t>
            </w:r>
          </w:p>
        </w:tc>
        <w:tc>
          <w:tcPr>
            <w:tcW w:w="328" w:type="pct"/>
            <w:shd w:val="clear" w:color="auto" w:fill="auto"/>
            <w:vAlign w:val="bottom"/>
            <w:hideMark/>
          </w:tcPr>
          <w:p w14:paraId="797C445F"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5</w:t>
            </w:r>
          </w:p>
        </w:tc>
        <w:tc>
          <w:tcPr>
            <w:tcW w:w="263" w:type="pct"/>
            <w:shd w:val="clear" w:color="auto" w:fill="auto"/>
            <w:vAlign w:val="bottom"/>
            <w:hideMark/>
          </w:tcPr>
          <w:p w14:paraId="2F57EF1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3,4</w:t>
            </w:r>
          </w:p>
        </w:tc>
        <w:tc>
          <w:tcPr>
            <w:tcW w:w="263" w:type="pct"/>
            <w:shd w:val="clear" w:color="auto" w:fill="auto"/>
            <w:vAlign w:val="bottom"/>
            <w:hideMark/>
          </w:tcPr>
          <w:p w14:paraId="5B7B311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2,4</w:t>
            </w:r>
          </w:p>
        </w:tc>
        <w:tc>
          <w:tcPr>
            <w:tcW w:w="263" w:type="pct"/>
            <w:shd w:val="clear" w:color="auto" w:fill="auto"/>
            <w:vAlign w:val="bottom"/>
            <w:hideMark/>
          </w:tcPr>
          <w:p w14:paraId="20166DD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7,0</w:t>
            </w:r>
          </w:p>
        </w:tc>
        <w:tc>
          <w:tcPr>
            <w:tcW w:w="263" w:type="pct"/>
            <w:shd w:val="clear" w:color="auto" w:fill="auto"/>
            <w:vAlign w:val="bottom"/>
            <w:hideMark/>
          </w:tcPr>
          <w:p w14:paraId="17806C9B"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7,2</w:t>
            </w:r>
          </w:p>
        </w:tc>
        <w:tc>
          <w:tcPr>
            <w:tcW w:w="263" w:type="pct"/>
            <w:shd w:val="clear" w:color="auto" w:fill="auto"/>
            <w:vAlign w:val="bottom"/>
            <w:hideMark/>
          </w:tcPr>
          <w:p w14:paraId="34D3433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1,5</w:t>
            </w:r>
          </w:p>
        </w:tc>
        <w:tc>
          <w:tcPr>
            <w:tcW w:w="263" w:type="pct"/>
            <w:shd w:val="clear" w:color="auto" w:fill="auto"/>
            <w:vAlign w:val="bottom"/>
            <w:hideMark/>
          </w:tcPr>
          <w:p w14:paraId="27C549D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2,2</w:t>
            </w:r>
          </w:p>
        </w:tc>
        <w:tc>
          <w:tcPr>
            <w:tcW w:w="309" w:type="pct"/>
            <w:shd w:val="clear" w:color="auto" w:fill="auto"/>
            <w:vAlign w:val="bottom"/>
            <w:hideMark/>
          </w:tcPr>
          <w:p w14:paraId="56AEF9A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5,8</w:t>
            </w:r>
          </w:p>
        </w:tc>
        <w:tc>
          <w:tcPr>
            <w:tcW w:w="328" w:type="pct"/>
            <w:shd w:val="clear" w:color="auto" w:fill="auto"/>
            <w:vAlign w:val="bottom"/>
            <w:hideMark/>
          </w:tcPr>
          <w:p w14:paraId="11AB494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2,8</w:t>
            </w:r>
          </w:p>
        </w:tc>
        <w:tc>
          <w:tcPr>
            <w:tcW w:w="328" w:type="pct"/>
            <w:shd w:val="clear" w:color="auto" w:fill="auto"/>
            <w:vAlign w:val="bottom"/>
            <w:hideMark/>
          </w:tcPr>
          <w:p w14:paraId="73267CE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336" w:type="pct"/>
            <w:shd w:val="clear" w:color="auto" w:fill="auto"/>
            <w:vAlign w:val="bottom"/>
            <w:hideMark/>
          </w:tcPr>
          <w:p w14:paraId="2691D95F"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2,6</w:t>
            </w:r>
          </w:p>
        </w:tc>
        <w:tc>
          <w:tcPr>
            <w:tcW w:w="375" w:type="pct"/>
            <w:shd w:val="clear" w:color="auto" w:fill="auto"/>
            <w:noWrap/>
            <w:vAlign w:val="bottom"/>
            <w:hideMark/>
          </w:tcPr>
          <w:p w14:paraId="444CE14F"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17,4</w:t>
            </w:r>
          </w:p>
        </w:tc>
        <w:tc>
          <w:tcPr>
            <w:tcW w:w="409" w:type="pct"/>
            <w:shd w:val="clear" w:color="auto" w:fill="auto"/>
            <w:vAlign w:val="bottom"/>
            <w:hideMark/>
          </w:tcPr>
          <w:p w14:paraId="546C7EB2"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378 000 </w:t>
            </w:r>
          </w:p>
        </w:tc>
      </w:tr>
      <w:tr w:rsidR="005F400D" w:rsidRPr="002A06C3" w14:paraId="3143826F" w14:textId="77777777" w:rsidTr="00EA7BDC">
        <w:trPr>
          <w:trHeight w:val="510"/>
        </w:trPr>
        <w:tc>
          <w:tcPr>
            <w:tcW w:w="1007" w:type="pct"/>
            <w:shd w:val="clear" w:color="auto" w:fill="auto"/>
            <w:vAlign w:val="bottom"/>
            <w:hideMark/>
          </w:tcPr>
          <w:p w14:paraId="3CC82930"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Utdanning på videregående skolenivå</w:t>
            </w:r>
          </w:p>
        </w:tc>
        <w:tc>
          <w:tcPr>
            <w:tcW w:w="328" w:type="pct"/>
            <w:shd w:val="clear" w:color="auto" w:fill="auto"/>
            <w:vAlign w:val="bottom"/>
            <w:hideMark/>
          </w:tcPr>
          <w:p w14:paraId="65E0EDBA"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20</w:t>
            </w:r>
          </w:p>
        </w:tc>
        <w:tc>
          <w:tcPr>
            <w:tcW w:w="263" w:type="pct"/>
            <w:shd w:val="clear" w:color="auto" w:fill="auto"/>
            <w:vAlign w:val="bottom"/>
            <w:hideMark/>
          </w:tcPr>
          <w:p w14:paraId="010CE9D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3,3</w:t>
            </w:r>
          </w:p>
        </w:tc>
        <w:tc>
          <w:tcPr>
            <w:tcW w:w="263" w:type="pct"/>
            <w:shd w:val="clear" w:color="auto" w:fill="auto"/>
            <w:vAlign w:val="bottom"/>
            <w:hideMark/>
          </w:tcPr>
          <w:p w14:paraId="67748F5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2,7</w:t>
            </w:r>
          </w:p>
        </w:tc>
        <w:tc>
          <w:tcPr>
            <w:tcW w:w="263" w:type="pct"/>
            <w:shd w:val="clear" w:color="auto" w:fill="auto"/>
            <w:vAlign w:val="bottom"/>
            <w:hideMark/>
          </w:tcPr>
          <w:p w14:paraId="7DABBE1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8,6</w:t>
            </w:r>
          </w:p>
        </w:tc>
        <w:tc>
          <w:tcPr>
            <w:tcW w:w="263" w:type="pct"/>
            <w:shd w:val="clear" w:color="auto" w:fill="auto"/>
            <w:vAlign w:val="bottom"/>
            <w:hideMark/>
          </w:tcPr>
          <w:p w14:paraId="40A87A9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7,2</w:t>
            </w:r>
          </w:p>
        </w:tc>
        <w:tc>
          <w:tcPr>
            <w:tcW w:w="263" w:type="pct"/>
            <w:shd w:val="clear" w:color="auto" w:fill="auto"/>
            <w:vAlign w:val="bottom"/>
            <w:hideMark/>
          </w:tcPr>
          <w:p w14:paraId="1A73744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2,8</w:t>
            </w:r>
          </w:p>
        </w:tc>
        <w:tc>
          <w:tcPr>
            <w:tcW w:w="263" w:type="pct"/>
            <w:shd w:val="clear" w:color="auto" w:fill="auto"/>
            <w:vAlign w:val="bottom"/>
            <w:hideMark/>
          </w:tcPr>
          <w:p w14:paraId="5A40B2F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1,0</w:t>
            </w:r>
          </w:p>
        </w:tc>
        <w:tc>
          <w:tcPr>
            <w:tcW w:w="309" w:type="pct"/>
            <w:shd w:val="clear" w:color="auto" w:fill="auto"/>
            <w:vAlign w:val="bottom"/>
            <w:hideMark/>
          </w:tcPr>
          <w:p w14:paraId="7F1D97A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6,0</w:t>
            </w:r>
          </w:p>
        </w:tc>
        <w:tc>
          <w:tcPr>
            <w:tcW w:w="328" w:type="pct"/>
            <w:shd w:val="clear" w:color="auto" w:fill="auto"/>
            <w:vAlign w:val="bottom"/>
            <w:hideMark/>
          </w:tcPr>
          <w:p w14:paraId="2D4F9BD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3,8</w:t>
            </w:r>
          </w:p>
        </w:tc>
        <w:tc>
          <w:tcPr>
            <w:tcW w:w="328" w:type="pct"/>
            <w:shd w:val="clear" w:color="auto" w:fill="auto"/>
            <w:vAlign w:val="bottom"/>
            <w:hideMark/>
          </w:tcPr>
          <w:p w14:paraId="6219529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336" w:type="pct"/>
            <w:shd w:val="clear" w:color="auto" w:fill="auto"/>
            <w:vAlign w:val="bottom"/>
            <w:hideMark/>
          </w:tcPr>
          <w:p w14:paraId="0082C833"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3,5</w:t>
            </w:r>
          </w:p>
        </w:tc>
        <w:tc>
          <w:tcPr>
            <w:tcW w:w="375" w:type="pct"/>
            <w:shd w:val="clear" w:color="auto" w:fill="auto"/>
            <w:noWrap/>
            <w:vAlign w:val="bottom"/>
            <w:hideMark/>
          </w:tcPr>
          <w:p w14:paraId="3446EF5F"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19,3</w:t>
            </w:r>
          </w:p>
        </w:tc>
        <w:tc>
          <w:tcPr>
            <w:tcW w:w="409" w:type="pct"/>
            <w:shd w:val="clear" w:color="auto" w:fill="auto"/>
            <w:vAlign w:val="bottom"/>
            <w:hideMark/>
          </w:tcPr>
          <w:p w14:paraId="2059D4C0"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422 400 </w:t>
            </w:r>
          </w:p>
        </w:tc>
      </w:tr>
      <w:tr w:rsidR="005F400D" w:rsidRPr="002A06C3" w14:paraId="1D1653A8" w14:textId="77777777" w:rsidTr="00EA7BDC">
        <w:trPr>
          <w:trHeight w:val="255"/>
        </w:trPr>
        <w:tc>
          <w:tcPr>
            <w:tcW w:w="1007" w:type="pct"/>
            <w:shd w:val="clear" w:color="auto" w:fill="auto"/>
            <w:vAlign w:val="bottom"/>
            <w:hideMark/>
          </w:tcPr>
          <w:p w14:paraId="05EFB2C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Av dette:</w:t>
            </w:r>
          </w:p>
        </w:tc>
        <w:tc>
          <w:tcPr>
            <w:tcW w:w="328" w:type="pct"/>
            <w:shd w:val="clear" w:color="auto" w:fill="auto"/>
            <w:vAlign w:val="bottom"/>
            <w:hideMark/>
          </w:tcPr>
          <w:p w14:paraId="57A970D0" w14:textId="77777777" w:rsidR="005F400D" w:rsidRPr="00A3498F"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1A59C3D4"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0BA5929"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7FB35C4"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4B4A58B3"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7E39AEB7" w14:textId="77777777" w:rsidR="005F400D" w:rsidRPr="002A06C3" w:rsidRDefault="005F400D" w:rsidP="008C4FE7">
            <w:pPr>
              <w:spacing w:after="0"/>
              <w:jc w:val="center"/>
              <w:rPr>
                <w:rFonts w:ascii="Times New Roman" w:hAnsi="Times New Roman"/>
                <w:sz w:val="18"/>
                <w:szCs w:val="18"/>
              </w:rPr>
            </w:pPr>
          </w:p>
        </w:tc>
        <w:tc>
          <w:tcPr>
            <w:tcW w:w="263" w:type="pct"/>
            <w:shd w:val="clear" w:color="auto" w:fill="auto"/>
            <w:vAlign w:val="bottom"/>
            <w:hideMark/>
          </w:tcPr>
          <w:p w14:paraId="05F0A95B" w14:textId="77777777" w:rsidR="005F400D" w:rsidRPr="002A06C3" w:rsidRDefault="005F400D" w:rsidP="008C4FE7">
            <w:pPr>
              <w:spacing w:after="0"/>
              <w:jc w:val="center"/>
              <w:rPr>
                <w:rFonts w:ascii="Times New Roman" w:hAnsi="Times New Roman"/>
                <w:sz w:val="18"/>
                <w:szCs w:val="18"/>
              </w:rPr>
            </w:pPr>
          </w:p>
        </w:tc>
        <w:tc>
          <w:tcPr>
            <w:tcW w:w="309" w:type="pct"/>
            <w:shd w:val="clear" w:color="auto" w:fill="auto"/>
            <w:vAlign w:val="bottom"/>
            <w:hideMark/>
          </w:tcPr>
          <w:p w14:paraId="7C9DB9BC"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49EB4B8C" w14:textId="77777777" w:rsidR="005F400D" w:rsidRPr="002A06C3" w:rsidRDefault="005F400D" w:rsidP="008C4FE7">
            <w:pPr>
              <w:spacing w:after="0"/>
              <w:jc w:val="center"/>
              <w:rPr>
                <w:rFonts w:ascii="Times New Roman" w:hAnsi="Times New Roman"/>
                <w:sz w:val="18"/>
                <w:szCs w:val="18"/>
              </w:rPr>
            </w:pPr>
          </w:p>
        </w:tc>
        <w:tc>
          <w:tcPr>
            <w:tcW w:w="328" w:type="pct"/>
            <w:shd w:val="clear" w:color="auto" w:fill="auto"/>
            <w:vAlign w:val="bottom"/>
            <w:hideMark/>
          </w:tcPr>
          <w:p w14:paraId="62BE0336" w14:textId="77777777" w:rsidR="005F400D" w:rsidRPr="002A06C3" w:rsidRDefault="005F400D" w:rsidP="008C4FE7">
            <w:pPr>
              <w:spacing w:after="0"/>
              <w:jc w:val="center"/>
              <w:rPr>
                <w:rFonts w:ascii="Times New Roman" w:hAnsi="Times New Roman"/>
                <w:sz w:val="18"/>
                <w:szCs w:val="18"/>
              </w:rPr>
            </w:pPr>
          </w:p>
        </w:tc>
        <w:tc>
          <w:tcPr>
            <w:tcW w:w="336" w:type="pct"/>
            <w:shd w:val="clear" w:color="auto" w:fill="auto"/>
            <w:vAlign w:val="bottom"/>
            <w:hideMark/>
          </w:tcPr>
          <w:p w14:paraId="2E8E2827" w14:textId="77777777" w:rsidR="005F400D" w:rsidRPr="00707934" w:rsidRDefault="005F400D" w:rsidP="008C4FE7">
            <w:pPr>
              <w:spacing w:after="0"/>
              <w:jc w:val="center"/>
              <w:rPr>
                <w:rFonts w:ascii="Times New Roman" w:hAnsi="Times New Roman"/>
                <w:sz w:val="18"/>
                <w:szCs w:val="18"/>
              </w:rPr>
            </w:pPr>
          </w:p>
        </w:tc>
        <w:tc>
          <w:tcPr>
            <w:tcW w:w="375" w:type="pct"/>
            <w:shd w:val="clear" w:color="auto" w:fill="auto"/>
            <w:noWrap/>
            <w:vAlign w:val="bottom"/>
            <w:hideMark/>
          </w:tcPr>
          <w:p w14:paraId="1EA72B79" w14:textId="77777777" w:rsidR="005F400D" w:rsidRPr="00707934" w:rsidRDefault="005F400D" w:rsidP="008C4FE7">
            <w:pPr>
              <w:spacing w:after="0"/>
              <w:jc w:val="center"/>
              <w:rPr>
                <w:rFonts w:ascii="Times New Roman" w:hAnsi="Times New Roman"/>
                <w:sz w:val="18"/>
                <w:szCs w:val="18"/>
              </w:rPr>
            </w:pPr>
          </w:p>
        </w:tc>
        <w:tc>
          <w:tcPr>
            <w:tcW w:w="409" w:type="pct"/>
            <w:shd w:val="clear" w:color="auto" w:fill="auto"/>
            <w:vAlign w:val="bottom"/>
            <w:hideMark/>
          </w:tcPr>
          <w:p w14:paraId="0E3B897E" w14:textId="77777777" w:rsidR="005F400D" w:rsidRPr="00707934" w:rsidRDefault="005F400D" w:rsidP="008C4FE7">
            <w:pPr>
              <w:spacing w:after="0"/>
              <w:rPr>
                <w:rFonts w:ascii="Times New Roman" w:hAnsi="Times New Roman"/>
                <w:sz w:val="18"/>
                <w:szCs w:val="18"/>
              </w:rPr>
            </w:pPr>
          </w:p>
        </w:tc>
      </w:tr>
      <w:tr w:rsidR="005F400D" w:rsidRPr="002A06C3" w14:paraId="2597D8B9" w14:textId="77777777" w:rsidTr="00EA7BDC">
        <w:trPr>
          <w:trHeight w:val="155"/>
        </w:trPr>
        <w:tc>
          <w:tcPr>
            <w:tcW w:w="1007" w:type="pct"/>
            <w:shd w:val="clear" w:color="auto" w:fill="auto"/>
            <w:vAlign w:val="bottom"/>
            <w:hideMark/>
          </w:tcPr>
          <w:p w14:paraId="7C94264D" w14:textId="77777777" w:rsidR="005F400D" w:rsidRPr="002A06C3" w:rsidRDefault="005F400D" w:rsidP="008C4FE7">
            <w:pPr>
              <w:spacing w:after="0"/>
              <w:ind w:left="142"/>
              <w:rPr>
                <w:rFonts w:ascii="Times New Roman" w:hAnsi="Times New Roman"/>
                <w:sz w:val="18"/>
                <w:szCs w:val="18"/>
              </w:rPr>
            </w:pPr>
            <w:r w:rsidRPr="002A06C3">
              <w:rPr>
                <w:rFonts w:ascii="Times New Roman" w:hAnsi="Times New Roman"/>
                <w:sz w:val="18"/>
                <w:szCs w:val="18"/>
              </w:rPr>
              <w:t>Fagutdanning</w:t>
            </w:r>
            <w:r w:rsidRPr="002A06C3">
              <w:rPr>
                <w:rFonts w:ascii="Times New Roman" w:hAnsi="Times New Roman"/>
                <w:sz w:val="18"/>
                <w:szCs w:val="18"/>
                <w:vertAlign w:val="superscript"/>
              </w:rPr>
              <w:t>6</w:t>
            </w:r>
          </w:p>
        </w:tc>
        <w:tc>
          <w:tcPr>
            <w:tcW w:w="328" w:type="pct"/>
            <w:shd w:val="clear" w:color="auto" w:fill="auto"/>
            <w:vAlign w:val="bottom"/>
            <w:hideMark/>
          </w:tcPr>
          <w:p w14:paraId="5A8E42BF"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8</w:t>
            </w:r>
          </w:p>
        </w:tc>
        <w:tc>
          <w:tcPr>
            <w:tcW w:w="263" w:type="pct"/>
            <w:shd w:val="clear" w:color="auto" w:fill="auto"/>
            <w:vAlign w:val="bottom"/>
            <w:hideMark/>
          </w:tcPr>
          <w:p w14:paraId="1EA36D15"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263" w:type="pct"/>
            <w:shd w:val="clear" w:color="auto" w:fill="auto"/>
            <w:vAlign w:val="bottom"/>
            <w:hideMark/>
          </w:tcPr>
          <w:p w14:paraId="7E9C945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3,3</w:t>
            </w:r>
          </w:p>
        </w:tc>
        <w:tc>
          <w:tcPr>
            <w:tcW w:w="263" w:type="pct"/>
            <w:shd w:val="clear" w:color="auto" w:fill="auto"/>
            <w:vAlign w:val="bottom"/>
            <w:hideMark/>
          </w:tcPr>
          <w:p w14:paraId="57F3EC6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9,0</w:t>
            </w:r>
          </w:p>
        </w:tc>
        <w:tc>
          <w:tcPr>
            <w:tcW w:w="263" w:type="pct"/>
            <w:shd w:val="clear" w:color="auto" w:fill="auto"/>
            <w:vAlign w:val="bottom"/>
            <w:hideMark/>
          </w:tcPr>
          <w:p w14:paraId="43C01B2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8,3</w:t>
            </w:r>
          </w:p>
        </w:tc>
        <w:tc>
          <w:tcPr>
            <w:tcW w:w="263" w:type="pct"/>
            <w:shd w:val="clear" w:color="auto" w:fill="auto"/>
            <w:vAlign w:val="bottom"/>
            <w:hideMark/>
          </w:tcPr>
          <w:p w14:paraId="3BDF9AA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5,1</w:t>
            </w:r>
          </w:p>
        </w:tc>
        <w:tc>
          <w:tcPr>
            <w:tcW w:w="263" w:type="pct"/>
            <w:shd w:val="clear" w:color="auto" w:fill="auto"/>
            <w:vAlign w:val="bottom"/>
            <w:hideMark/>
          </w:tcPr>
          <w:p w14:paraId="0C3D354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0,6</w:t>
            </w:r>
          </w:p>
        </w:tc>
        <w:tc>
          <w:tcPr>
            <w:tcW w:w="309" w:type="pct"/>
            <w:shd w:val="clear" w:color="auto" w:fill="auto"/>
            <w:vAlign w:val="bottom"/>
            <w:hideMark/>
          </w:tcPr>
          <w:p w14:paraId="23312C7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6,1</w:t>
            </w:r>
          </w:p>
        </w:tc>
        <w:tc>
          <w:tcPr>
            <w:tcW w:w="328" w:type="pct"/>
            <w:shd w:val="clear" w:color="auto" w:fill="auto"/>
            <w:vAlign w:val="bottom"/>
            <w:hideMark/>
          </w:tcPr>
          <w:p w14:paraId="3082FAD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3,6</w:t>
            </w:r>
          </w:p>
        </w:tc>
        <w:tc>
          <w:tcPr>
            <w:tcW w:w="328" w:type="pct"/>
            <w:shd w:val="clear" w:color="auto" w:fill="auto"/>
            <w:vAlign w:val="bottom"/>
            <w:hideMark/>
          </w:tcPr>
          <w:p w14:paraId="2BDDD36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4,1</w:t>
            </w:r>
          </w:p>
        </w:tc>
        <w:tc>
          <w:tcPr>
            <w:tcW w:w="336" w:type="pct"/>
            <w:shd w:val="clear" w:color="auto" w:fill="auto"/>
            <w:vAlign w:val="bottom"/>
            <w:hideMark/>
          </w:tcPr>
          <w:p w14:paraId="7803492A"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3,7</w:t>
            </w:r>
          </w:p>
        </w:tc>
        <w:tc>
          <w:tcPr>
            <w:tcW w:w="375" w:type="pct"/>
            <w:shd w:val="clear" w:color="auto" w:fill="auto"/>
            <w:noWrap/>
            <w:vAlign w:val="bottom"/>
            <w:hideMark/>
          </w:tcPr>
          <w:p w14:paraId="311AC60C"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19,4</w:t>
            </w:r>
          </w:p>
        </w:tc>
        <w:tc>
          <w:tcPr>
            <w:tcW w:w="409" w:type="pct"/>
            <w:shd w:val="clear" w:color="auto" w:fill="auto"/>
            <w:vAlign w:val="bottom"/>
            <w:hideMark/>
          </w:tcPr>
          <w:p w14:paraId="6B2C8283"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442 800 </w:t>
            </w:r>
          </w:p>
        </w:tc>
      </w:tr>
      <w:tr w:rsidR="005F400D" w:rsidRPr="002A06C3" w14:paraId="51D04A89" w14:textId="77777777" w:rsidTr="00EA7BDC">
        <w:trPr>
          <w:trHeight w:val="510"/>
        </w:trPr>
        <w:tc>
          <w:tcPr>
            <w:tcW w:w="1007" w:type="pct"/>
            <w:shd w:val="clear" w:color="auto" w:fill="auto"/>
            <w:vAlign w:val="bottom"/>
            <w:hideMark/>
          </w:tcPr>
          <w:p w14:paraId="4D61F1DF"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til og med 4 år</w:t>
            </w:r>
          </w:p>
        </w:tc>
        <w:tc>
          <w:tcPr>
            <w:tcW w:w="328" w:type="pct"/>
            <w:shd w:val="clear" w:color="auto" w:fill="auto"/>
            <w:vAlign w:val="bottom"/>
            <w:hideMark/>
          </w:tcPr>
          <w:p w14:paraId="4188C87C"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48</w:t>
            </w:r>
          </w:p>
        </w:tc>
        <w:tc>
          <w:tcPr>
            <w:tcW w:w="263" w:type="pct"/>
            <w:shd w:val="clear" w:color="auto" w:fill="auto"/>
            <w:vAlign w:val="bottom"/>
            <w:hideMark/>
          </w:tcPr>
          <w:p w14:paraId="37801A0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3,1</w:t>
            </w:r>
          </w:p>
        </w:tc>
        <w:tc>
          <w:tcPr>
            <w:tcW w:w="263" w:type="pct"/>
            <w:shd w:val="clear" w:color="auto" w:fill="auto"/>
            <w:vAlign w:val="bottom"/>
            <w:hideMark/>
          </w:tcPr>
          <w:p w14:paraId="48738EB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2,8</w:t>
            </w:r>
          </w:p>
        </w:tc>
        <w:tc>
          <w:tcPr>
            <w:tcW w:w="263" w:type="pct"/>
            <w:shd w:val="clear" w:color="auto" w:fill="auto"/>
            <w:vAlign w:val="bottom"/>
            <w:hideMark/>
          </w:tcPr>
          <w:p w14:paraId="14367B8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8,9</w:t>
            </w:r>
          </w:p>
        </w:tc>
        <w:tc>
          <w:tcPr>
            <w:tcW w:w="263" w:type="pct"/>
            <w:shd w:val="clear" w:color="auto" w:fill="auto"/>
            <w:vAlign w:val="bottom"/>
            <w:hideMark/>
          </w:tcPr>
          <w:p w14:paraId="092D2E8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5,6</w:t>
            </w:r>
          </w:p>
        </w:tc>
        <w:tc>
          <w:tcPr>
            <w:tcW w:w="263" w:type="pct"/>
            <w:shd w:val="clear" w:color="auto" w:fill="auto"/>
            <w:vAlign w:val="bottom"/>
            <w:hideMark/>
          </w:tcPr>
          <w:p w14:paraId="255FA886"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263" w:type="pct"/>
            <w:shd w:val="clear" w:color="auto" w:fill="auto"/>
            <w:vAlign w:val="bottom"/>
            <w:hideMark/>
          </w:tcPr>
          <w:p w14:paraId="61D0D33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2,9</w:t>
            </w:r>
          </w:p>
        </w:tc>
        <w:tc>
          <w:tcPr>
            <w:tcW w:w="309" w:type="pct"/>
            <w:shd w:val="clear" w:color="auto" w:fill="auto"/>
            <w:vAlign w:val="bottom"/>
            <w:hideMark/>
          </w:tcPr>
          <w:p w14:paraId="23443AE7"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4,5</w:t>
            </w:r>
          </w:p>
        </w:tc>
        <w:tc>
          <w:tcPr>
            <w:tcW w:w="328" w:type="pct"/>
            <w:shd w:val="clear" w:color="auto" w:fill="auto"/>
            <w:vAlign w:val="bottom"/>
            <w:hideMark/>
          </w:tcPr>
          <w:p w14:paraId="0B9479CD"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4,0</w:t>
            </w:r>
          </w:p>
        </w:tc>
        <w:tc>
          <w:tcPr>
            <w:tcW w:w="328" w:type="pct"/>
            <w:shd w:val="clear" w:color="auto" w:fill="auto"/>
            <w:vAlign w:val="bottom"/>
            <w:hideMark/>
          </w:tcPr>
          <w:p w14:paraId="5A1164B2"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2,6</w:t>
            </w:r>
          </w:p>
        </w:tc>
        <w:tc>
          <w:tcPr>
            <w:tcW w:w="336" w:type="pct"/>
            <w:shd w:val="clear" w:color="auto" w:fill="auto"/>
            <w:vAlign w:val="bottom"/>
            <w:hideMark/>
          </w:tcPr>
          <w:p w14:paraId="6850D57B"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4,0</w:t>
            </w:r>
          </w:p>
        </w:tc>
        <w:tc>
          <w:tcPr>
            <w:tcW w:w="375" w:type="pct"/>
            <w:shd w:val="clear" w:color="auto" w:fill="auto"/>
            <w:noWrap/>
            <w:vAlign w:val="bottom"/>
            <w:hideMark/>
          </w:tcPr>
          <w:p w14:paraId="001AC134" w14:textId="77777777" w:rsidR="005F400D" w:rsidRPr="00707934" w:rsidRDefault="005F400D" w:rsidP="008C4FE7">
            <w:pPr>
              <w:spacing w:after="0"/>
              <w:jc w:val="center"/>
              <w:rPr>
                <w:rFonts w:ascii="Times New Roman" w:hAnsi="Times New Roman"/>
                <w:sz w:val="18"/>
                <w:szCs w:val="18"/>
              </w:rPr>
            </w:pPr>
            <w:r w:rsidRPr="00707934">
              <w:rPr>
                <w:rFonts w:ascii="Times New Roman" w:hAnsi="Times New Roman"/>
                <w:sz w:val="18"/>
                <w:szCs w:val="18"/>
              </w:rPr>
              <w:t>19,4</w:t>
            </w:r>
          </w:p>
        </w:tc>
        <w:tc>
          <w:tcPr>
            <w:tcW w:w="409" w:type="pct"/>
            <w:shd w:val="clear" w:color="auto" w:fill="auto"/>
            <w:vAlign w:val="bottom"/>
            <w:hideMark/>
          </w:tcPr>
          <w:p w14:paraId="1D72A27D" w14:textId="77777777" w:rsidR="005F400D" w:rsidRPr="00707934" w:rsidRDefault="005F400D" w:rsidP="008C4FE7">
            <w:pPr>
              <w:spacing w:after="0"/>
              <w:rPr>
                <w:rFonts w:ascii="Times New Roman" w:hAnsi="Times New Roman"/>
                <w:sz w:val="18"/>
                <w:szCs w:val="18"/>
              </w:rPr>
            </w:pPr>
            <w:r w:rsidRPr="00707934">
              <w:rPr>
                <w:rFonts w:ascii="Times New Roman" w:hAnsi="Times New Roman"/>
                <w:sz w:val="18"/>
                <w:szCs w:val="18"/>
              </w:rPr>
              <w:t xml:space="preserve">496 800 </w:t>
            </w:r>
          </w:p>
        </w:tc>
      </w:tr>
      <w:tr w:rsidR="005F400D" w:rsidRPr="002A06C3" w14:paraId="51940B3E" w14:textId="77777777" w:rsidTr="00EA7BDC">
        <w:trPr>
          <w:trHeight w:val="525"/>
        </w:trPr>
        <w:tc>
          <w:tcPr>
            <w:tcW w:w="1007" w:type="pct"/>
            <w:shd w:val="clear" w:color="auto" w:fill="auto"/>
            <w:vAlign w:val="bottom"/>
            <w:hideMark/>
          </w:tcPr>
          <w:p w14:paraId="3EC849AE"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Universitets- eller høyskoleutdanning, lengre enn 4 år</w:t>
            </w:r>
          </w:p>
        </w:tc>
        <w:tc>
          <w:tcPr>
            <w:tcW w:w="328" w:type="pct"/>
            <w:shd w:val="clear" w:color="auto" w:fill="auto"/>
            <w:vAlign w:val="bottom"/>
            <w:hideMark/>
          </w:tcPr>
          <w:p w14:paraId="24BF5EDF"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25</w:t>
            </w:r>
          </w:p>
        </w:tc>
        <w:tc>
          <w:tcPr>
            <w:tcW w:w="263" w:type="pct"/>
            <w:shd w:val="clear" w:color="auto" w:fill="auto"/>
            <w:vAlign w:val="bottom"/>
            <w:hideMark/>
          </w:tcPr>
          <w:p w14:paraId="5CA74F8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1,0</w:t>
            </w:r>
          </w:p>
        </w:tc>
        <w:tc>
          <w:tcPr>
            <w:tcW w:w="263" w:type="pct"/>
            <w:shd w:val="clear" w:color="auto" w:fill="auto"/>
            <w:vAlign w:val="bottom"/>
            <w:hideMark/>
          </w:tcPr>
          <w:p w14:paraId="19A1CE13"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3,5</w:t>
            </w:r>
          </w:p>
        </w:tc>
        <w:tc>
          <w:tcPr>
            <w:tcW w:w="263" w:type="pct"/>
            <w:shd w:val="clear" w:color="auto" w:fill="auto"/>
            <w:vAlign w:val="bottom"/>
            <w:hideMark/>
          </w:tcPr>
          <w:p w14:paraId="6F6B69F1"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2,5</w:t>
            </w:r>
          </w:p>
        </w:tc>
        <w:tc>
          <w:tcPr>
            <w:tcW w:w="263" w:type="pct"/>
            <w:shd w:val="clear" w:color="auto" w:fill="auto"/>
            <w:vAlign w:val="bottom"/>
            <w:hideMark/>
          </w:tcPr>
          <w:p w14:paraId="06CC47DA"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1,3</w:t>
            </w:r>
          </w:p>
        </w:tc>
        <w:tc>
          <w:tcPr>
            <w:tcW w:w="263" w:type="pct"/>
            <w:shd w:val="clear" w:color="auto" w:fill="auto"/>
            <w:vAlign w:val="bottom"/>
            <w:hideMark/>
          </w:tcPr>
          <w:p w14:paraId="65ED2F1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2,8</w:t>
            </w:r>
          </w:p>
        </w:tc>
        <w:tc>
          <w:tcPr>
            <w:tcW w:w="263" w:type="pct"/>
            <w:shd w:val="clear" w:color="auto" w:fill="auto"/>
            <w:vAlign w:val="bottom"/>
            <w:hideMark/>
          </w:tcPr>
          <w:p w14:paraId="573373D8"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3,7</w:t>
            </w:r>
          </w:p>
        </w:tc>
        <w:tc>
          <w:tcPr>
            <w:tcW w:w="309" w:type="pct"/>
            <w:shd w:val="clear" w:color="auto" w:fill="auto"/>
            <w:vAlign w:val="bottom"/>
            <w:hideMark/>
          </w:tcPr>
          <w:p w14:paraId="6BF0090C"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4,3</w:t>
            </w:r>
          </w:p>
        </w:tc>
        <w:tc>
          <w:tcPr>
            <w:tcW w:w="328" w:type="pct"/>
            <w:shd w:val="clear" w:color="auto" w:fill="auto"/>
            <w:vAlign w:val="bottom"/>
            <w:hideMark/>
          </w:tcPr>
          <w:p w14:paraId="7297FA8E"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4,9</w:t>
            </w:r>
          </w:p>
        </w:tc>
        <w:tc>
          <w:tcPr>
            <w:tcW w:w="328" w:type="pct"/>
            <w:shd w:val="clear" w:color="auto" w:fill="auto"/>
            <w:vAlign w:val="bottom"/>
            <w:hideMark/>
          </w:tcPr>
          <w:p w14:paraId="4B741AB0"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1,2</w:t>
            </w:r>
          </w:p>
        </w:tc>
        <w:tc>
          <w:tcPr>
            <w:tcW w:w="336" w:type="pct"/>
            <w:shd w:val="clear" w:color="auto" w:fill="auto"/>
            <w:vAlign w:val="bottom"/>
            <w:hideMark/>
          </w:tcPr>
          <w:p w14:paraId="4030AA94"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3,0</w:t>
            </w:r>
          </w:p>
        </w:tc>
        <w:tc>
          <w:tcPr>
            <w:tcW w:w="375" w:type="pct"/>
            <w:shd w:val="clear" w:color="auto" w:fill="auto"/>
            <w:noWrap/>
            <w:vAlign w:val="bottom"/>
            <w:hideMark/>
          </w:tcPr>
          <w:p w14:paraId="260CC509" w14:textId="77777777" w:rsidR="005F400D" w:rsidRPr="002A06C3" w:rsidRDefault="005F400D" w:rsidP="008C4FE7">
            <w:pPr>
              <w:spacing w:after="0"/>
              <w:jc w:val="center"/>
              <w:rPr>
                <w:rFonts w:ascii="Times New Roman" w:hAnsi="Times New Roman"/>
                <w:sz w:val="18"/>
                <w:szCs w:val="18"/>
              </w:rPr>
            </w:pPr>
            <w:r w:rsidRPr="002A06C3">
              <w:rPr>
                <w:rFonts w:ascii="Times New Roman" w:hAnsi="Times New Roman"/>
                <w:sz w:val="18"/>
                <w:szCs w:val="18"/>
              </w:rPr>
              <w:t>18,2</w:t>
            </w:r>
          </w:p>
        </w:tc>
        <w:tc>
          <w:tcPr>
            <w:tcW w:w="409" w:type="pct"/>
            <w:shd w:val="clear" w:color="auto" w:fill="auto"/>
            <w:vAlign w:val="bottom"/>
            <w:hideMark/>
          </w:tcPr>
          <w:p w14:paraId="52EFB8DE"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 xml:space="preserve">748 800 </w:t>
            </w:r>
          </w:p>
        </w:tc>
      </w:tr>
      <w:tr w:rsidR="005F400D" w:rsidRPr="002A06C3" w14:paraId="38DA7ADF" w14:textId="77777777" w:rsidTr="00EA7BDC">
        <w:trPr>
          <w:trHeight w:val="332"/>
        </w:trPr>
        <w:tc>
          <w:tcPr>
            <w:tcW w:w="1007" w:type="pct"/>
            <w:tcBorders>
              <w:bottom w:val="single" w:sz="4" w:space="0" w:color="auto"/>
            </w:tcBorders>
            <w:shd w:val="clear" w:color="auto" w:fill="auto"/>
            <w:vAlign w:val="bottom"/>
            <w:hideMark/>
          </w:tcPr>
          <w:p w14:paraId="37802742" w14:textId="77777777" w:rsidR="005F400D" w:rsidRPr="002A06C3" w:rsidRDefault="005F400D" w:rsidP="008C4FE7">
            <w:pPr>
              <w:spacing w:after="0"/>
              <w:rPr>
                <w:rFonts w:ascii="Times New Roman" w:hAnsi="Times New Roman"/>
                <w:sz w:val="18"/>
                <w:szCs w:val="18"/>
              </w:rPr>
            </w:pPr>
            <w:r w:rsidRPr="002A06C3">
              <w:rPr>
                <w:rFonts w:ascii="Times New Roman" w:hAnsi="Times New Roman"/>
                <w:sz w:val="18"/>
                <w:szCs w:val="18"/>
              </w:rPr>
              <w:t>Uoppgitt eller ingen fullført utdanning</w:t>
            </w:r>
          </w:p>
        </w:tc>
        <w:tc>
          <w:tcPr>
            <w:tcW w:w="328" w:type="pct"/>
            <w:tcBorders>
              <w:bottom w:val="single" w:sz="4" w:space="0" w:color="auto"/>
            </w:tcBorders>
            <w:shd w:val="clear" w:color="auto" w:fill="auto"/>
            <w:vAlign w:val="bottom"/>
            <w:hideMark/>
          </w:tcPr>
          <w:p w14:paraId="4A6EF1BB" w14:textId="77777777" w:rsidR="005F400D" w:rsidRPr="00A3498F" w:rsidRDefault="005F400D" w:rsidP="008C4FE7">
            <w:pPr>
              <w:spacing w:after="0"/>
              <w:jc w:val="center"/>
              <w:rPr>
                <w:rFonts w:ascii="Times New Roman" w:hAnsi="Times New Roman"/>
                <w:sz w:val="18"/>
                <w:szCs w:val="18"/>
              </w:rPr>
            </w:pPr>
            <w:r w:rsidRPr="00A3498F">
              <w:rPr>
                <w:rFonts w:ascii="Times New Roman" w:hAnsi="Times New Roman"/>
                <w:sz w:val="18"/>
                <w:szCs w:val="18"/>
              </w:rPr>
              <w:t>2</w:t>
            </w:r>
          </w:p>
        </w:tc>
        <w:tc>
          <w:tcPr>
            <w:tcW w:w="263" w:type="pct"/>
            <w:tcBorders>
              <w:bottom w:val="single" w:sz="4" w:space="0" w:color="auto"/>
            </w:tcBorders>
            <w:shd w:val="clear" w:color="auto" w:fill="auto"/>
            <w:vAlign w:val="bottom"/>
            <w:hideMark/>
          </w:tcPr>
          <w:p w14:paraId="1D3C7C36" w14:textId="77777777" w:rsidR="005F400D" w:rsidRPr="002A06C3" w:rsidRDefault="005F400D" w:rsidP="008C4FE7">
            <w:pPr>
              <w:spacing w:after="0"/>
              <w:jc w:val="center"/>
              <w:rPr>
                <w:rFonts w:ascii="Times New Roman" w:hAnsi="Times New Roman"/>
                <w:sz w:val="18"/>
                <w:szCs w:val="18"/>
              </w:rPr>
            </w:pPr>
          </w:p>
        </w:tc>
        <w:tc>
          <w:tcPr>
            <w:tcW w:w="263" w:type="pct"/>
            <w:tcBorders>
              <w:bottom w:val="single" w:sz="4" w:space="0" w:color="auto"/>
            </w:tcBorders>
            <w:shd w:val="clear" w:color="auto" w:fill="auto"/>
            <w:vAlign w:val="bottom"/>
            <w:hideMark/>
          </w:tcPr>
          <w:p w14:paraId="3475DEF6" w14:textId="77777777" w:rsidR="005F400D" w:rsidRPr="002A06C3" w:rsidRDefault="005F400D" w:rsidP="008C4FE7">
            <w:pPr>
              <w:spacing w:after="0"/>
              <w:jc w:val="center"/>
              <w:rPr>
                <w:rFonts w:ascii="Times New Roman" w:hAnsi="Times New Roman"/>
                <w:sz w:val="18"/>
                <w:szCs w:val="18"/>
              </w:rPr>
            </w:pPr>
          </w:p>
        </w:tc>
        <w:tc>
          <w:tcPr>
            <w:tcW w:w="263" w:type="pct"/>
            <w:tcBorders>
              <w:bottom w:val="single" w:sz="4" w:space="0" w:color="auto"/>
            </w:tcBorders>
            <w:shd w:val="clear" w:color="auto" w:fill="auto"/>
            <w:vAlign w:val="bottom"/>
            <w:hideMark/>
          </w:tcPr>
          <w:p w14:paraId="28F757D0" w14:textId="77777777" w:rsidR="005F400D" w:rsidRPr="002A06C3" w:rsidRDefault="005F400D" w:rsidP="008C4FE7">
            <w:pPr>
              <w:spacing w:after="0"/>
              <w:jc w:val="center"/>
              <w:rPr>
                <w:rFonts w:ascii="Times New Roman" w:hAnsi="Times New Roman"/>
                <w:sz w:val="18"/>
                <w:szCs w:val="18"/>
              </w:rPr>
            </w:pPr>
          </w:p>
        </w:tc>
        <w:tc>
          <w:tcPr>
            <w:tcW w:w="263" w:type="pct"/>
            <w:tcBorders>
              <w:bottom w:val="single" w:sz="4" w:space="0" w:color="auto"/>
            </w:tcBorders>
            <w:shd w:val="clear" w:color="auto" w:fill="auto"/>
            <w:vAlign w:val="bottom"/>
            <w:hideMark/>
          </w:tcPr>
          <w:p w14:paraId="33F0953D" w14:textId="77777777" w:rsidR="005F400D" w:rsidRPr="002A06C3" w:rsidRDefault="005F400D" w:rsidP="008C4FE7">
            <w:pPr>
              <w:spacing w:after="0"/>
              <w:jc w:val="center"/>
              <w:rPr>
                <w:rFonts w:ascii="Times New Roman" w:hAnsi="Times New Roman"/>
                <w:sz w:val="18"/>
                <w:szCs w:val="18"/>
              </w:rPr>
            </w:pPr>
          </w:p>
        </w:tc>
        <w:tc>
          <w:tcPr>
            <w:tcW w:w="263" w:type="pct"/>
            <w:tcBorders>
              <w:bottom w:val="single" w:sz="4" w:space="0" w:color="auto"/>
            </w:tcBorders>
            <w:shd w:val="clear" w:color="auto" w:fill="auto"/>
            <w:vAlign w:val="bottom"/>
            <w:hideMark/>
          </w:tcPr>
          <w:p w14:paraId="2F9A145C" w14:textId="77777777" w:rsidR="005F400D" w:rsidRPr="002A06C3" w:rsidRDefault="005F400D" w:rsidP="008C4FE7">
            <w:pPr>
              <w:spacing w:after="0"/>
              <w:jc w:val="center"/>
              <w:rPr>
                <w:rFonts w:ascii="Times New Roman" w:hAnsi="Times New Roman"/>
                <w:sz w:val="18"/>
                <w:szCs w:val="18"/>
              </w:rPr>
            </w:pPr>
          </w:p>
        </w:tc>
        <w:tc>
          <w:tcPr>
            <w:tcW w:w="263" w:type="pct"/>
            <w:tcBorders>
              <w:bottom w:val="single" w:sz="4" w:space="0" w:color="auto"/>
            </w:tcBorders>
            <w:shd w:val="clear" w:color="auto" w:fill="auto"/>
            <w:vAlign w:val="bottom"/>
            <w:hideMark/>
          </w:tcPr>
          <w:p w14:paraId="450BE709" w14:textId="77777777" w:rsidR="005F400D" w:rsidRPr="002A06C3" w:rsidRDefault="005F400D" w:rsidP="008C4FE7">
            <w:pPr>
              <w:spacing w:after="0"/>
              <w:jc w:val="center"/>
              <w:rPr>
                <w:rFonts w:ascii="Times New Roman" w:hAnsi="Times New Roman"/>
                <w:sz w:val="18"/>
                <w:szCs w:val="18"/>
              </w:rPr>
            </w:pPr>
          </w:p>
        </w:tc>
        <w:tc>
          <w:tcPr>
            <w:tcW w:w="309" w:type="pct"/>
            <w:tcBorders>
              <w:bottom w:val="single" w:sz="4" w:space="0" w:color="auto"/>
            </w:tcBorders>
            <w:shd w:val="clear" w:color="auto" w:fill="auto"/>
            <w:vAlign w:val="bottom"/>
            <w:hideMark/>
          </w:tcPr>
          <w:p w14:paraId="74AB2766" w14:textId="77777777" w:rsidR="005F400D" w:rsidRPr="002A06C3" w:rsidRDefault="005F400D" w:rsidP="008C4FE7">
            <w:pPr>
              <w:spacing w:after="0"/>
              <w:jc w:val="center"/>
              <w:rPr>
                <w:rFonts w:ascii="Times New Roman" w:hAnsi="Times New Roman"/>
                <w:sz w:val="18"/>
                <w:szCs w:val="18"/>
              </w:rPr>
            </w:pPr>
          </w:p>
        </w:tc>
        <w:tc>
          <w:tcPr>
            <w:tcW w:w="328" w:type="pct"/>
            <w:tcBorders>
              <w:bottom w:val="single" w:sz="4" w:space="0" w:color="auto"/>
            </w:tcBorders>
            <w:shd w:val="clear" w:color="auto" w:fill="auto"/>
            <w:vAlign w:val="bottom"/>
            <w:hideMark/>
          </w:tcPr>
          <w:p w14:paraId="651359CE" w14:textId="77777777" w:rsidR="005F400D" w:rsidRPr="002A06C3" w:rsidRDefault="005F400D" w:rsidP="008C4FE7">
            <w:pPr>
              <w:spacing w:after="0"/>
              <w:jc w:val="center"/>
              <w:rPr>
                <w:rFonts w:ascii="Times New Roman" w:hAnsi="Times New Roman"/>
                <w:sz w:val="18"/>
                <w:szCs w:val="18"/>
              </w:rPr>
            </w:pPr>
          </w:p>
        </w:tc>
        <w:tc>
          <w:tcPr>
            <w:tcW w:w="328" w:type="pct"/>
            <w:tcBorders>
              <w:bottom w:val="single" w:sz="4" w:space="0" w:color="auto"/>
            </w:tcBorders>
            <w:shd w:val="clear" w:color="auto" w:fill="auto"/>
            <w:vAlign w:val="bottom"/>
            <w:hideMark/>
          </w:tcPr>
          <w:p w14:paraId="32692774" w14:textId="77777777" w:rsidR="005F400D" w:rsidRPr="002A06C3" w:rsidRDefault="005F400D" w:rsidP="008C4FE7">
            <w:pPr>
              <w:spacing w:after="0"/>
              <w:jc w:val="center"/>
              <w:rPr>
                <w:rFonts w:ascii="Times New Roman" w:hAnsi="Times New Roman"/>
                <w:sz w:val="18"/>
                <w:szCs w:val="18"/>
              </w:rPr>
            </w:pPr>
          </w:p>
        </w:tc>
        <w:tc>
          <w:tcPr>
            <w:tcW w:w="336" w:type="pct"/>
            <w:tcBorders>
              <w:bottom w:val="single" w:sz="4" w:space="0" w:color="auto"/>
            </w:tcBorders>
            <w:shd w:val="clear" w:color="auto" w:fill="auto"/>
            <w:vAlign w:val="bottom"/>
            <w:hideMark/>
          </w:tcPr>
          <w:p w14:paraId="071B4B09" w14:textId="77777777" w:rsidR="005F400D" w:rsidRPr="002A06C3" w:rsidRDefault="005F400D" w:rsidP="008C4FE7">
            <w:pPr>
              <w:spacing w:after="0"/>
              <w:jc w:val="center"/>
              <w:rPr>
                <w:rFonts w:ascii="Times New Roman" w:hAnsi="Times New Roman"/>
                <w:sz w:val="18"/>
                <w:szCs w:val="18"/>
              </w:rPr>
            </w:pPr>
          </w:p>
        </w:tc>
        <w:tc>
          <w:tcPr>
            <w:tcW w:w="375" w:type="pct"/>
            <w:tcBorders>
              <w:bottom w:val="single" w:sz="4" w:space="0" w:color="auto"/>
            </w:tcBorders>
            <w:shd w:val="clear" w:color="auto" w:fill="auto"/>
            <w:noWrap/>
            <w:vAlign w:val="bottom"/>
            <w:hideMark/>
          </w:tcPr>
          <w:p w14:paraId="3D1A4D18" w14:textId="77777777" w:rsidR="005F400D" w:rsidRPr="002A06C3" w:rsidRDefault="005F400D" w:rsidP="008C4FE7">
            <w:pPr>
              <w:spacing w:after="0"/>
              <w:jc w:val="center"/>
              <w:rPr>
                <w:rFonts w:ascii="Times New Roman" w:hAnsi="Times New Roman"/>
                <w:sz w:val="18"/>
                <w:szCs w:val="18"/>
              </w:rPr>
            </w:pPr>
          </w:p>
        </w:tc>
        <w:tc>
          <w:tcPr>
            <w:tcW w:w="409" w:type="pct"/>
            <w:tcBorders>
              <w:bottom w:val="single" w:sz="4" w:space="0" w:color="auto"/>
            </w:tcBorders>
            <w:shd w:val="clear" w:color="auto" w:fill="auto"/>
            <w:vAlign w:val="bottom"/>
            <w:hideMark/>
          </w:tcPr>
          <w:p w14:paraId="350C6DBB" w14:textId="77777777" w:rsidR="005F400D" w:rsidRPr="002A06C3" w:rsidRDefault="005F400D" w:rsidP="008C4FE7">
            <w:pPr>
              <w:spacing w:after="0"/>
              <w:jc w:val="right"/>
              <w:rPr>
                <w:rFonts w:ascii="Times New Roman" w:hAnsi="Times New Roman"/>
                <w:sz w:val="18"/>
                <w:szCs w:val="18"/>
              </w:rPr>
            </w:pPr>
          </w:p>
        </w:tc>
      </w:tr>
    </w:tbl>
    <w:p w14:paraId="30A891FB" w14:textId="77777777" w:rsidR="005F400D" w:rsidRDefault="005F400D" w:rsidP="006E305B">
      <w:pPr>
        <w:pStyle w:val="tabell-noter"/>
        <w:numPr>
          <w:ilvl w:val="0"/>
          <w:numId w:val="55"/>
        </w:numPr>
        <w:tabs>
          <w:tab w:val="clear" w:pos="360"/>
          <w:tab w:val="num" w:pos="-492"/>
          <w:tab w:val="num" w:pos="284"/>
        </w:tabs>
        <w:spacing w:after="0"/>
        <w:ind w:left="284" w:hanging="283"/>
        <w:rPr>
          <w:iCs/>
          <w:noProof/>
        </w:rPr>
      </w:pPr>
      <w:r w:rsidRPr="00AD725E">
        <w:rPr>
          <w:iCs/>
          <w:noProof/>
        </w:rPr>
        <w:t xml:space="preserve">Registrert månedslønn </w:t>
      </w:r>
      <w:r>
        <w:rPr>
          <w:iCs/>
          <w:noProof/>
        </w:rPr>
        <w:t>per dato</w:t>
      </w:r>
      <w:r w:rsidRPr="00AD725E">
        <w:rPr>
          <w:iCs/>
          <w:noProof/>
        </w:rPr>
        <w:t>*12. Dette begrepet må ikke forveksles med årslønn for eksempel i tabell 1.1 som viser gjennomsnittlig årslønn for året. Lønnsbegrepet i denne tabellen er det samme som i tabell 1.1, dvs avtalt lønn, uregelmessige tillegg og bonus, men eksklusiv overtid.</w:t>
      </w:r>
    </w:p>
    <w:p w14:paraId="4DF52346" w14:textId="77777777" w:rsidR="005F400D" w:rsidRPr="005C1B98" w:rsidRDefault="005F400D" w:rsidP="006E305B">
      <w:pPr>
        <w:pStyle w:val="tabell-noter"/>
        <w:numPr>
          <w:ilvl w:val="0"/>
          <w:numId w:val="55"/>
        </w:numPr>
        <w:tabs>
          <w:tab w:val="clear" w:pos="360"/>
          <w:tab w:val="num" w:pos="-492"/>
          <w:tab w:val="num" w:pos="284"/>
        </w:tabs>
        <w:spacing w:after="0"/>
        <w:ind w:left="284" w:hanging="283"/>
        <w:rPr>
          <w:iCs/>
          <w:noProof/>
        </w:rPr>
      </w:pPr>
      <w:r>
        <w:rPr>
          <w:iCs/>
          <w:noProof/>
        </w:rPr>
        <w:t xml:space="preserve"> </w:t>
      </w:r>
      <w:r w:rsidRPr="00EE0C0A">
        <w:t>Per september/oktober/desember.</w:t>
      </w:r>
    </w:p>
    <w:p w14:paraId="50570D25" w14:textId="77777777" w:rsidR="005F400D" w:rsidRDefault="005F400D" w:rsidP="006E305B">
      <w:pPr>
        <w:pStyle w:val="tabell-noter"/>
        <w:numPr>
          <w:ilvl w:val="0"/>
          <w:numId w:val="55"/>
        </w:numPr>
        <w:tabs>
          <w:tab w:val="clear" w:pos="360"/>
          <w:tab w:val="num" w:pos="-492"/>
          <w:tab w:val="num" w:pos="284"/>
        </w:tabs>
        <w:spacing w:after="0"/>
        <w:ind w:left="284" w:hanging="283"/>
        <w:rPr>
          <w:iCs/>
          <w:noProof/>
        </w:rPr>
      </w:pPr>
      <w:r>
        <w:t>NOS Standard for næringsgruppering (SN07).</w:t>
      </w:r>
    </w:p>
    <w:p w14:paraId="36A020AE" w14:textId="77777777" w:rsidR="005F400D" w:rsidRDefault="005F400D" w:rsidP="006E305B">
      <w:pPr>
        <w:pStyle w:val="tabell-noter"/>
        <w:numPr>
          <w:ilvl w:val="0"/>
          <w:numId w:val="55"/>
        </w:numPr>
        <w:tabs>
          <w:tab w:val="clear" w:pos="360"/>
          <w:tab w:val="num" w:pos="-492"/>
          <w:tab w:val="num" w:pos="284"/>
        </w:tabs>
        <w:spacing w:after="0"/>
        <w:ind w:left="284" w:hanging="283"/>
        <w:rPr>
          <w:iCs/>
          <w:noProof/>
        </w:rPr>
      </w:pPr>
      <w:r w:rsidRPr="00AD725E">
        <w:rPr>
          <w:iCs/>
          <w:noProof/>
        </w:rPr>
        <w:t>NOS Standard for utdanningsgruppering. Fra og med 2005 er nivåtallene for utdanning basert på nye definisjoner av hvor mye utdanning som kreves. Endringene i utdanningsgrupperingen medfører først og fremst endringer i fordelingen mellom videregående utdanninger og utdanninger på grunnskolenivå.</w:t>
      </w:r>
    </w:p>
    <w:p w14:paraId="38127DB1" w14:textId="77777777" w:rsidR="005F400D" w:rsidRDefault="005F400D" w:rsidP="006E305B">
      <w:pPr>
        <w:pStyle w:val="tabell-noter"/>
        <w:numPr>
          <w:ilvl w:val="0"/>
          <w:numId w:val="55"/>
        </w:numPr>
        <w:tabs>
          <w:tab w:val="clear" w:pos="360"/>
          <w:tab w:val="num" w:pos="-492"/>
          <w:tab w:val="num" w:pos="284"/>
        </w:tabs>
        <w:spacing w:after="0"/>
        <w:ind w:left="284" w:hanging="283"/>
        <w:rPr>
          <w:iCs/>
          <w:noProof/>
        </w:rPr>
      </w:pPr>
      <w:r w:rsidRPr="00AD725E">
        <w:rPr>
          <w:iCs/>
          <w:noProof/>
        </w:rPr>
        <w:t>Andeler av utvalget i den enkelte næring</w:t>
      </w:r>
      <w:r>
        <w:rPr>
          <w:iCs/>
          <w:noProof/>
        </w:rPr>
        <w:t xml:space="preserve">. </w:t>
      </w:r>
    </w:p>
    <w:p w14:paraId="386CB7E8" w14:textId="77777777" w:rsidR="005F400D" w:rsidRDefault="005F400D" w:rsidP="006E305B">
      <w:pPr>
        <w:pStyle w:val="tabell-noter"/>
        <w:numPr>
          <w:ilvl w:val="0"/>
          <w:numId w:val="55"/>
        </w:numPr>
        <w:tabs>
          <w:tab w:val="clear" w:pos="360"/>
          <w:tab w:val="num" w:pos="-492"/>
          <w:tab w:val="num" w:pos="284"/>
        </w:tabs>
        <w:spacing w:after="0"/>
        <w:ind w:left="284" w:hanging="283"/>
        <w:rPr>
          <w:iCs/>
          <w:noProof/>
        </w:rPr>
      </w:pPr>
      <w:r w:rsidRPr="00AD725E">
        <w:rPr>
          <w:noProof/>
        </w:rPr>
        <w:t>Som fagutdannet regnes: a) alle som har fagutdanning med godkjent fagbrev eller svenneprøve i henhold til Lov om fagopplæring i arbeidslivet som fullførte utdanning i henhold til register for befolkningens høyeste utdanning (BHU), og b) alle som har bestått teknisk fagskole som høyeste fullførte utdanning i henhold til register for BHU.</w:t>
      </w:r>
    </w:p>
    <w:p w14:paraId="3DD8197F" w14:textId="77777777" w:rsidR="005F400D" w:rsidRDefault="005F400D" w:rsidP="006E305B">
      <w:pPr>
        <w:pStyle w:val="tabell-noter"/>
        <w:numPr>
          <w:ilvl w:val="0"/>
          <w:numId w:val="55"/>
        </w:numPr>
        <w:tabs>
          <w:tab w:val="clear" w:pos="360"/>
          <w:tab w:val="num" w:pos="-492"/>
          <w:tab w:val="num" w:pos="284"/>
        </w:tabs>
        <w:spacing w:after="0"/>
        <w:ind w:left="284" w:hanging="283"/>
        <w:rPr>
          <w:iCs/>
          <w:noProof/>
        </w:rPr>
      </w:pPr>
      <w:r w:rsidRPr="00AD725E">
        <w:rPr>
          <w:iCs/>
          <w:noProof/>
        </w:rPr>
        <w:t>Omfatter bank og forsikring og annen finansiell tjenesteyting.</w:t>
      </w:r>
    </w:p>
    <w:p w14:paraId="2656EB4A" w14:textId="77777777" w:rsidR="005F400D" w:rsidRPr="00EA0201" w:rsidRDefault="005F400D" w:rsidP="006E305B">
      <w:pPr>
        <w:pStyle w:val="tabell-noter"/>
        <w:numPr>
          <w:ilvl w:val="0"/>
          <w:numId w:val="55"/>
        </w:numPr>
        <w:tabs>
          <w:tab w:val="clear" w:pos="360"/>
          <w:tab w:val="num" w:pos="-492"/>
          <w:tab w:val="num" w:pos="284"/>
        </w:tabs>
        <w:spacing w:after="0"/>
        <w:ind w:left="284" w:hanging="283"/>
        <w:rPr>
          <w:iCs/>
          <w:noProof/>
        </w:rPr>
      </w:pPr>
      <w:r w:rsidRPr="00EA0201">
        <w:rPr>
          <w:iCs/>
          <w:noProof/>
        </w:rPr>
        <w:t xml:space="preserve">Lønnsveksten fra og med 2009 er etter ny næringsstandard. Sammenlignet med veksten fra 2007 til 2008 og tidligere år, vil det være et brudd i tidsserien. </w:t>
      </w:r>
    </w:p>
    <w:p w14:paraId="6F8D3AAA" w14:textId="77777777" w:rsidR="005F400D" w:rsidRPr="00EA0201" w:rsidRDefault="005F400D" w:rsidP="006E305B">
      <w:pPr>
        <w:pStyle w:val="tabell-noter"/>
        <w:numPr>
          <w:ilvl w:val="0"/>
          <w:numId w:val="55"/>
        </w:numPr>
        <w:tabs>
          <w:tab w:val="clear" w:pos="360"/>
          <w:tab w:val="num" w:pos="-492"/>
          <w:tab w:val="num" w:pos="284"/>
        </w:tabs>
        <w:spacing w:after="0"/>
        <w:ind w:left="284" w:hanging="283"/>
        <w:rPr>
          <w:iCs/>
          <w:noProof/>
        </w:rPr>
      </w:pPr>
      <w:r w:rsidRPr="00EA0201">
        <w:rPr>
          <w:iCs/>
          <w:noProof/>
        </w:rPr>
        <w:t>Ansatte i kraftforsyning og vann og avløp er ikke inkludert.</w:t>
      </w:r>
    </w:p>
    <w:p w14:paraId="18108239" w14:textId="77777777" w:rsidR="005F400D" w:rsidRPr="00EA0201" w:rsidRDefault="005F400D" w:rsidP="006E305B">
      <w:pPr>
        <w:pStyle w:val="tabell-noter"/>
        <w:numPr>
          <w:ilvl w:val="0"/>
          <w:numId w:val="55"/>
        </w:numPr>
        <w:tabs>
          <w:tab w:val="clear" w:pos="360"/>
          <w:tab w:val="num" w:pos="-492"/>
          <w:tab w:val="num" w:pos="284"/>
        </w:tabs>
        <w:spacing w:after="0"/>
        <w:ind w:left="284" w:hanging="283"/>
        <w:rPr>
          <w:iCs/>
          <w:noProof/>
        </w:rPr>
      </w:pPr>
      <w:r w:rsidRPr="00EA0201">
        <w:rPr>
          <w:iCs/>
          <w:noProof/>
        </w:rPr>
        <w:t>Inkludert nye opplysninger om innvandrernes utdanningsnivå.</w:t>
      </w:r>
      <w:r w:rsidR="003D7F7A">
        <w:rPr>
          <w:iCs/>
          <w:noProof/>
        </w:rPr>
        <w:t xml:space="preserve"> Se nærmere omtale i boks 1.4.</w:t>
      </w:r>
    </w:p>
    <w:p w14:paraId="4C607EED" w14:textId="77777777" w:rsidR="005F400D" w:rsidRPr="00EA0201" w:rsidRDefault="005F400D" w:rsidP="006E305B">
      <w:pPr>
        <w:pStyle w:val="tabell-noter"/>
        <w:numPr>
          <w:ilvl w:val="0"/>
          <w:numId w:val="55"/>
        </w:numPr>
        <w:tabs>
          <w:tab w:val="clear" w:pos="360"/>
          <w:tab w:val="num" w:pos="-492"/>
          <w:tab w:val="num" w:pos="284"/>
        </w:tabs>
        <w:spacing w:after="0"/>
        <w:ind w:left="284" w:hanging="283"/>
        <w:rPr>
          <w:iCs/>
          <w:noProof/>
        </w:rPr>
      </w:pPr>
      <w:r w:rsidRPr="00EA0201">
        <w:rPr>
          <w:iCs/>
          <w:noProof/>
        </w:rPr>
        <w:t xml:space="preserve">For 2013 og 2014 er det for staten ikke foretatt korrigeringer i lønnsdataene for forsvaret i forhold til publiserte lønnsdata fra </w:t>
      </w:r>
      <w:r w:rsidR="00573205" w:rsidRPr="00EA0201">
        <w:rPr>
          <w:iCs/>
          <w:noProof/>
        </w:rPr>
        <w:t>Statistisk sentralbyrå</w:t>
      </w:r>
      <w:r w:rsidRPr="00EA0201">
        <w:rPr>
          <w:iCs/>
          <w:noProof/>
        </w:rPr>
        <w:t>.</w:t>
      </w:r>
    </w:p>
    <w:p w14:paraId="2CF2291C" w14:textId="77777777" w:rsidR="005F400D" w:rsidRDefault="005F400D" w:rsidP="005F400D">
      <w:pPr>
        <w:pStyle w:val="Kilde"/>
      </w:pPr>
      <w:r w:rsidRPr="00F33DF8">
        <w:t>Kilde:</w:t>
      </w:r>
      <w:r>
        <w:t xml:space="preserve"> </w:t>
      </w:r>
      <w:r w:rsidRPr="00F33DF8">
        <w:t>Statistisk sentralbyrå.</w:t>
      </w:r>
    </w:p>
    <w:bookmarkEnd w:id="164"/>
    <w:bookmarkEnd w:id="165"/>
    <w:bookmarkEnd w:id="166"/>
    <w:bookmarkEnd w:id="167"/>
    <w:bookmarkEnd w:id="168"/>
    <w:bookmarkEnd w:id="169"/>
    <w:p w14:paraId="611FD6EF" w14:textId="77777777" w:rsidR="005F400D" w:rsidRDefault="005F400D" w:rsidP="005F400D">
      <w:pPr>
        <w:pStyle w:val="avsnitt-under-undertittel"/>
      </w:pPr>
      <w:r>
        <w:t>Utvikling i lønn fordelt på sektor og utdanning</w:t>
      </w:r>
    </w:p>
    <w:p w14:paraId="1D857EC5" w14:textId="77777777" w:rsidR="005F400D" w:rsidRDefault="005F400D" w:rsidP="005F400D">
      <w:r>
        <w:t>Lønnsspredning kan uttrykkes som hvor mye høyere lønn ansatte med universitets- og høyskoleutdanning har i forhold til ansatte med grunnskole eller videregående skole som høyeste utdanning. I figur 1.</w:t>
      </w:r>
      <w:r w:rsidR="002642F9">
        <w:t xml:space="preserve">2 </w:t>
      </w:r>
      <w:r>
        <w:t xml:space="preserve">vises lønnsutviklingen (målt i faste 2014 kroner) for perioden 2005 -2014 etter ulike næringer totalt og etter utdanningslengder.  Lønnsspredningen målt på denne måten er større i privat enn i offentlig sektor. </w:t>
      </w:r>
    </w:p>
    <w:p w14:paraId="255D0D48" w14:textId="77777777" w:rsidR="00E3119D" w:rsidRDefault="00EE6BCB" w:rsidP="00E3119D">
      <w:r>
        <w:rPr>
          <w:noProof/>
        </w:rPr>
        <w:drawing>
          <wp:inline distT="0" distB="0" distL="0" distR="0" wp14:anchorId="590A7E6E" wp14:editId="02A12AF1">
            <wp:extent cx="5576129" cy="2487549"/>
            <wp:effectExtent l="19050" t="0" r="5521" b="0"/>
            <wp:docPr id="55" name="Bilde 7" descr="C:\Users\asd1311\AppData\Local\Microsoft\Windows\Temporary Internet Files\Content.Word\lønnsspred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d1311\AppData\Local\Microsoft\Windows\Temporary Internet Files\Content.Word\lønnsspredning.png"/>
                    <pic:cNvPicPr>
                      <a:picLocks noChangeAspect="1" noChangeArrowheads="1"/>
                    </pic:cNvPicPr>
                  </pic:nvPicPr>
                  <pic:blipFill>
                    <a:blip r:embed="rId15" cstate="print"/>
                    <a:srcRect/>
                    <a:stretch>
                      <a:fillRect/>
                    </a:stretch>
                  </pic:blipFill>
                  <pic:spPr bwMode="auto">
                    <a:xfrm>
                      <a:off x="0" y="0"/>
                      <a:ext cx="5583353" cy="2490772"/>
                    </a:xfrm>
                    <a:prstGeom prst="rect">
                      <a:avLst/>
                    </a:prstGeom>
                    <a:noFill/>
                    <a:ln w="9525">
                      <a:noFill/>
                      <a:miter lim="800000"/>
                      <a:headEnd/>
                      <a:tailEnd/>
                    </a:ln>
                  </pic:spPr>
                </pic:pic>
              </a:graphicData>
            </a:graphic>
          </wp:inline>
        </w:drawing>
      </w:r>
    </w:p>
    <w:p w14:paraId="7DD34218" w14:textId="77777777" w:rsidR="005F400D" w:rsidRDefault="005F400D" w:rsidP="005F400D">
      <w:pPr>
        <w:pStyle w:val="figur-tittel"/>
      </w:pPr>
      <w:r>
        <w:t>Lønnsspredning i ulike sektorer etter utdanning</w:t>
      </w:r>
      <w:r>
        <w:rPr>
          <w:vertAlign w:val="superscript"/>
        </w:rPr>
        <w:t>1,3</w:t>
      </w:r>
      <w:r>
        <w:t>. Lønn (månedslønn*12) for heltidsansatte i faste 2014 kroner</w:t>
      </w:r>
      <w:r>
        <w:rPr>
          <w:vertAlign w:val="superscript"/>
        </w:rPr>
        <w:t>2</w:t>
      </w:r>
      <w:r>
        <w:t>. 2005-201</w:t>
      </w:r>
      <w:r w:rsidR="00E62A17">
        <w:t>4</w:t>
      </w:r>
    </w:p>
    <w:p w14:paraId="2C9B82BD" w14:textId="77777777" w:rsidR="005F400D" w:rsidRPr="00184B7F" w:rsidRDefault="005F400D" w:rsidP="005F400D">
      <w:pPr>
        <w:pStyle w:val="figur-noter"/>
      </w:pPr>
      <w:r>
        <w:rPr>
          <w:vertAlign w:val="superscript"/>
        </w:rPr>
        <w:t xml:space="preserve">1 </w:t>
      </w:r>
      <w:r>
        <w:t>Fra og med 2012 er nye opplysninger om innvandrernes utdanningsnivå inkludert i statistikken. Disse har tidligere vært inkludert under ”uoppgitt utdanning”.  Dette har påvirket lønnsnivået bl.a. i industrien og bidratt til en negativ lønnsutvikling fra 2011 til 2012 for ansatte med universitet og høyskoleutdanning utover 4 år.</w:t>
      </w:r>
    </w:p>
    <w:p w14:paraId="64F3556A" w14:textId="77777777" w:rsidR="005F400D" w:rsidRDefault="005F400D" w:rsidP="005F400D">
      <w:pPr>
        <w:pStyle w:val="figur-noter"/>
      </w:pPr>
      <w:r>
        <w:rPr>
          <w:vertAlign w:val="superscript"/>
        </w:rPr>
        <w:t xml:space="preserve">2  </w:t>
      </w:r>
      <w:r>
        <w:t>Deflatert med konsumprisindeksen</w:t>
      </w:r>
      <w:r w:rsidR="00F12769">
        <w:t>.</w:t>
      </w:r>
    </w:p>
    <w:p w14:paraId="6620ABA8" w14:textId="77777777" w:rsidR="005F400D" w:rsidRPr="00063A86" w:rsidRDefault="005F400D" w:rsidP="00D87C14">
      <w:pPr>
        <w:pStyle w:val="figur-noter"/>
        <w:spacing w:before="0" w:after="0"/>
      </w:pPr>
      <w:r>
        <w:rPr>
          <w:vertAlign w:val="superscript"/>
        </w:rPr>
        <w:t xml:space="preserve">3 </w:t>
      </w:r>
      <w:r>
        <w:t>Personer med fagutdanning er inkludert i gruppen videregående skole</w:t>
      </w:r>
      <w:r w:rsidR="00F12769">
        <w:t>.</w:t>
      </w:r>
    </w:p>
    <w:p w14:paraId="0E66384E" w14:textId="77777777" w:rsidR="005F400D" w:rsidRDefault="005F400D" w:rsidP="005F400D">
      <w:pPr>
        <w:pStyle w:val="Kilde"/>
      </w:pPr>
      <w:r>
        <w:t>Kilde</w:t>
      </w:r>
      <w:r w:rsidR="001037E8">
        <w:t>r</w:t>
      </w:r>
      <w:r>
        <w:t xml:space="preserve">: </w:t>
      </w:r>
      <w:r w:rsidR="00573205">
        <w:t>Statistisk sentralbyrå</w:t>
      </w:r>
      <w:r>
        <w:t>s lønnsstatistikk og Beregningsutvalget</w:t>
      </w:r>
      <w:r w:rsidR="00F12769">
        <w:t>.</w:t>
      </w:r>
    </w:p>
    <w:p w14:paraId="028ACDE0" w14:textId="77777777" w:rsidR="005F400D" w:rsidRDefault="005F400D" w:rsidP="005F400D">
      <w:r>
        <w:t xml:space="preserve">Som vist i tabell 1.18 er det store forskjeller på hvor mange ansatte som har </w:t>
      </w:r>
      <w:r w:rsidR="00D8719D">
        <w:t xml:space="preserve">henholdsvis </w:t>
      </w:r>
      <w:r>
        <w:t>lengre/ kortere utdanning i de forskjellige næringene. F</w:t>
      </w:r>
      <w:r w:rsidR="00D8719D">
        <w:t xml:space="preserve">or </w:t>
      </w:r>
      <w:r>
        <w:t>eks</w:t>
      </w:r>
      <w:r w:rsidR="00D8719D">
        <w:t>empel</w:t>
      </w:r>
      <w:r>
        <w:t xml:space="preserve"> i industrien er det 8 prosent av de ansatte som har universitet eller høyskoleutdanning utover 4 år, mens det i staten er 34 prosent.</w:t>
      </w:r>
    </w:p>
    <w:p w14:paraId="2208AD12" w14:textId="77777777" w:rsidR="008551D4" w:rsidRDefault="008551D4" w:rsidP="00317248">
      <w:pPr>
        <w:pStyle w:val="Overskrift2"/>
        <w:spacing w:before="240"/>
      </w:pPr>
      <w:bookmarkStart w:id="170" w:name="_Toc422226831"/>
      <w:r w:rsidRPr="000D2EA1">
        <w:t>Lønnsutviklingen for deltidsansatte</w:t>
      </w:r>
      <w:bookmarkEnd w:id="170"/>
    </w:p>
    <w:p w14:paraId="41E442D7" w14:textId="77777777" w:rsidR="008551D4" w:rsidRDefault="008551D4" w:rsidP="008551D4">
      <w:r>
        <w:t>Tabell 1.</w:t>
      </w:r>
      <w:r w:rsidR="00D8719D">
        <w:t xml:space="preserve">19 </w:t>
      </w:r>
      <w:r>
        <w:t xml:space="preserve">viser lønnsutviklingen for deltidsansatte per heltidsekvivalent etter næringshovedområde fra 2013 til 2014. Tabellen viser også lønn for deltidsansatte som andel av lønn for heltidsansatte. </w:t>
      </w:r>
    </w:p>
    <w:p w14:paraId="6CE4FE88" w14:textId="77777777" w:rsidR="008551D4" w:rsidRDefault="008551D4" w:rsidP="008551D4">
      <w:r>
        <w:t xml:space="preserve">Deltidsansatte hadde en gjennomsnittlig årslønn (månedslønn*12) per heltidsekvivalent i 3. kvartal 2014 (september/oktober/desember) på kr </w:t>
      </w:r>
      <w:r w:rsidRPr="00D8719D">
        <w:t>418 800</w:t>
      </w:r>
      <w:r w:rsidRPr="001958DA">
        <w:t xml:space="preserve">, en vekst på </w:t>
      </w:r>
      <w:r>
        <w:t>3,3</w:t>
      </w:r>
      <w:r w:rsidRPr="001958DA">
        <w:t xml:space="preserve"> prosent fra 3. kvartal 201</w:t>
      </w:r>
      <w:r>
        <w:t>3</w:t>
      </w:r>
      <w:r w:rsidRPr="001958DA">
        <w:t xml:space="preserve">. </w:t>
      </w:r>
      <w:r>
        <w:t>Lønnsveksten for deltidsansatte var 0,2 prosentpoeng høyere enn for heltidsansatte. Per 3. kvartal 2014 hadde alle</w:t>
      </w:r>
      <w:r w:rsidRPr="001958DA">
        <w:t xml:space="preserve"> heltidsansatte en gjennomsnittlig årslønn (månedslønn*12) på kr </w:t>
      </w:r>
      <w:r>
        <w:t>526 600</w:t>
      </w:r>
      <w:r w:rsidRPr="001958DA">
        <w:t xml:space="preserve">, en vekst på </w:t>
      </w:r>
      <w:r w:rsidRPr="00150A7C">
        <w:t xml:space="preserve">3,1 </w:t>
      </w:r>
      <w:r w:rsidRPr="001958DA">
        <w:t>prosent</w:t>
      </w:r>
      <w:r>
        <w:t xml:space="preserve"> fra 3.</w:t>
      </w:r>
      <w:r w:rsidR="00D076C2">
        <w:t xml:space="preserve"> </w:t>
      </w:r>
      <w:r>
        <w:t>kvartal 2013</w:t>
      </w:r>
      <w:r w:rsidRPr="001958DA">
        <w:t xml:space="preserve">. </w:t>
      </w:r>
    </w:p>
    <w:p w14:paraId="28058BBD" w14:textId="77777777" w:rsidR="008551D4" w:rsidRDefault="008551D4" w:rsidP="008551D4">
      <w:r>
        <w:t xml:space="preserve">Der antallet deltidsansatte er lite, blir lønnsnivået for disse lettere påvirket av endringer i sysselsettingen, arbeidstid og sesongvariasjoner. </w:t>
      </w:r>
    </w:p>
    <w:p w14:paraId="77CE8D86" w14:textId="77777777" w:rsidR="008551D4" w:rsidRDefault="008551D4" w:rsidP="008551D4">
      <w:r w:rsidRPr="00A15428">
        <w:t xml:space="preserve">Lønnen til deltidsansatte per heltidsekvivalent som andel av heltidsansattes lønn, varierte i </w:t>
      </w:r>
      <w:r w:rsidR="00D8719D">
        <w:t xml:space="preserve">2014 </w:t>
      </w:r>
      <w:r w:rsidRPr="00A15428">
        <w:t xml:space="preserve">fra </w:t>
      </w:r>
      <w:r>
        <w:t>om lag 71</w:t>
      </w:r>
      <w:r w:rsidRPr="00A15428">
        <w:t xml:space="preserve"> prosent for ansatte i </w:t>
      </w:r>
      <w:r>
        <w:t>finanstjenester</w:t>
      </w:r>
      <w:r w:rsidRPr="00A15428">
        <w:t xml:space="preserve"> til </w:t>
      </w:r>
      <w:r>
        <w:t>om lag 92</w:t>
      </w:r>
      <w:r w:rsidRPr="00A15428">
        <w:t xml:space="preserve"> prosent for </w:t>
      </w:r>
      <w:r>
        <w:t>ansatte i kommuner og fylkeskommuner</w:t>
      </w:r>
      <w:r w:rsidRPr="00A15428">
        <w:t xml:space="preserve">, med et gjennomsnitt for alle på </w:t>
      </w:r>
      <w:r>
        <w:t xml:space="preserve">om lag </w:t>
      </w:r>
      <w:r w:rsidRPr="00A15428">
        <w:t>8</w:t>
      </w:r>
      <w:r>
        <w:t>0</w:t>
      </w:r>
      <w:r w:rsidRPr="00A15428">
        <w:t xml:space="preserve"> prosent. Forskjellen i lønn mellom gruppen deltidsansatte og gruppen heltidsansatte knytter seg blant annet til faktorer som yrke, stilling, utdanning og alder. For eksempel er deltidsansatte i varehandel relativt unge og jobber i lavere stillinger enn heltidsansatte. I skoleverket derimot er deltidsansatte og heltidsansatte mer like i alder og utdanning. Også andre forhold kan virke inn, for eksempel at deltidsansatte i enkelte områder stort sett har høyere turnover enn heltidsansatte.</w:t>
      </w:r>
    </w:p>
    <w:p w14:paraId="4A1852E7" w14:textId="77777777" w:rsidR="008551D4" w:rsidRDefault="00534700" w:rsidP="006E305B">
      <w:pPr>
        <w:pStyle w:val="tabell-tittel"/>
        <w:numPr>
          <w:ilvl w:val="6"/>
          <w:numId w:val="43"/>
        </w:numPr>
        <w:spacing w:before="0" w:line="240" w:lineRule="auto"/>
      </w:pPr>
      <w:r>
        <w:t>Månedslønn</w:t>
      </w:r>
      <w:r w:rsidR="002F6426">
        <w:t xml:space="preserve"> </w:t>
      </w:r>
      <w:r w:rsidR="008551D4" w:rsidRPr="004268E2">
        <w:t>per heltidsekvivalent</w:t>
      </w:r>
      <w:r w:rsidR="00072F19">
        <w:rPr>
          <w:vertAlign w:val="superscript"/>
        </w:rPr>
        <w:t>1</w:t>
      </w:r>
      <w:r w:rsidR="008551D4" w:rsidRPr="004268E2">
        <w:t xml:space="preserve"> </w:t>
      </w:r>
      <w:r w:rsidR="00E62A17">
        <w:t>omregnet til</w:t>
      </w:r>
      <w:r w:rsidR="00E62A17" w:rsidRPr="004268E2">
        <w:t xml:space="preserve"> årslønn</w:t>
      </w:r>
      <w:r w:rsidR="00072F19">
        <w:rPr>
          <w:vertAlign w:val="superscript"/>
        </w:rPr>
        <w:t>2</w:t>
      </w:r>
      <w:r w:rsidR="00E62A17">
        <w:t xml:space="preserve"> </w:t>
      </w:r>
      <w:r w:rsidR="008551D4" w:rsidRPr="004268E2">
        <w:t>for deltidsansatte etter næring</w:t>
      </w:r>
      <w:r w:rsidR="008551D4" w:rsidRPr="0025219E">
        <w:rPr>
          <w:vertAlign w:val="superscript"/>
        </w:rPr>
        <w:t>3</w:t>
      </w:r>
      <w:r w:rsidR="008551D4" w:rsidRPr="004268E2">
        <w:t xml:space="preserve">. </w:t>
      </w:r>
      <w:r>
        <w:t>V</w:t>
      </w:r>
      <w:r w:rsidRPr="004268E2">
        <w:t xml:space="preserve">ekst i prosent </w:t>
      </w:r>
      <w:r>
        <w:t xml:space="preserve">fra samme måned </w:t>
      </w:r>
      <w:r w:rsidRPr="004268E2">
        <w:t>året før</w:t>
      </w:r>
      <w:r w:rsidR="00781BE3">
        <w:t>.</w:t>
      </w:r>
      <w:r>
        <w:t xml:space="preserve"> </w:t>
      </w:r>
      <w:r w:rsidR="00781BE3">
        <w:t>D</w:t>
      </w:r>
      <w:r w:rsidR="008551D4" w:rsidRPr="004268E2">
        <w:t xml:space="preserve">eltidsansattes lønn </w:t>
      </w:r>
      <w:r>
        <w:t xml:space="preserve">per heltidsekvivalent </w:t>
      </w:r>
      <w:r w:rsidR="008551D4" w:rsidRPr="004268E2">
        <w:t xml:space="preserve">som andel av heltidsansattes lønn. </w:t>
      </w:r>
    </w:p>
    <w:tbl>
      <w:tblPr>
        <w:tblW w:w="5096" w:type="pct"/>
        <w:tblBorders>
          <w:bottom w:val="single" w:sz="4" w:space="0" w:color="auto"/>
        </w:tblBorders>
        <w:tblLook w:val="04A0" w:firstRow="1" w:lastRow="0" w:firstColumn="1" w:lastColumn="0" w:noHBand="0" w:noVBand="1"/>
      </w:tblPr>
      <w:tblGrid>
        <w:gridCol w:w="3394"/>
        <w:gridCol w:w="1909"/>
        <w:gridCol w:w="1712"/>
        <w:gridCol w:w="2229"/>
      </w:tblGrid>
      <w:tr w:rsidR="008551D4" w:rsidRPr="00BF10D1" w14:paraId="20AF38B4" w14:textId="77777777" w:rsidTr="00317248">
        <w:trPr>
          <w:trHeight w:val="555"/>
        </w:trPr>
        <w:tc>
          <w:tcPr>
            <w:tcW w:w="1842" w:type="pct"/>
            <w:tcBorders>
              <w:top w:val="single" w:sz="4" w:space="0" w:color="auto"/>
              <w:bottom w:val="single" w:sz="4" w:space="0" w:color="auto"/>
            </w:tcBorders>
            <w:vAlign w:val="bottom"/>
          </w:tcPr>
          <w:p w14:paraId="22314043" w14:textId="77777777" w:rsidR="008551D4" w:rsidRPr="00BF10D1" w:rsidRDefault="008551D4" w:rsidP="00E55CF0">
            <w:pPr>
              <w:spacing w:after="0"/>
              <w:rPr>
                <w:rFonts w:ascii="Times New Roman" w:hAnsi="Times New Roman"/>
                <w:color w:val="000000"/>
                <w:spacing w:val="6"/>
                <w:szCs w:val="22"/>
              </w:rPr>
            </w:pPr>
          </w:p>
        </w:tc>
        <w:tc>
          <w:tcPr>
            <w:tcW w:w="1038" w:type="pct"/>
            <w:tcBorders>
              <w:top w:val="single" w:sz="4" w:space="0" w:color="auto"/>
              <w:bottom w:val="single" w:sz="4" w:space="0" w:color="auto"/>
            </w:tcBorders>
            <w:vAlign w:val="bottom"/>
          </w:tcPr>
          <w:p w14:paraId="567B03BC" w14:textId="77777777" w:rsidR="008551D4" w:rsidRPr="00BF10D1" w:rsidRDefault="008551D4" w:rsidP="00E55CF0">
            <w:pPr>
              <w:spacing w:after="0"/>
              <w:ind w:left="611"/>
              <w:jc w:val="right"/>
              <w:rPr>
                <w:rFonts w:ascii="Times New Roman" w:hAnsi="Times New Roman"/>
                <w:color w:val="000000"/>
                <w:spacing w:val="6"/>
                <w:szCs w:val="22"/>
              </w:rPr>
            </w:pPr>
            <w:r w:rsidRPr="00BF10D1">
              <w:rPr>
                <w:rFonts w:ascii="Times New Roman" w:hAnsi="Times New Roman"/>
                <w:color w:val="000000"/>
                <w:spacing w:val="6"/>
                <w:sz w:val="22"/>
                <w:szCs w:val="22"/>
              </w:rPr>
              <w:t xml:space="preserve">Vekst fra </w:t>
            </w:r>
            <w:r w:rsidRPr="00BF10D1">
              <w:rPr>
                <w:rFonts w:ascii="Times New Roman" w:eastAsia="Times New Roman" w:hAnsi="Times New Roman"/>
                <w:color w:val="000000"/>
                <w:spacing w:val="6"/>
                <w:sz w:val="22"/>
                <w:szCs w:val="22"/>
              </w:rPr>
              <w:t>201</w:t>
            </w:r>
            <w:r>
              <w:rPr>
                <w:rFonts w:ascii="Times New Roman" w:eastAsia="Times New Roman" w:hAnsi="Times New Roman"/>
                <w:color w:val="000000"/>
                <w:spacing w:val="6"/>
                <w:sz w:val="22"/>
                <w:szCs w:val="22"/>
              </w:rPr>
              <w:t>3</w:t>
            </w:r>
            <w:r w:rsidRPr="00BF10D1">
              <w:rPr>
                <w:rFonts w:ascii="Times New Roman" w:hAnsi="Times New Roman"/>
                <w:color w:val="000000"/>
                <w:spacing w:val="6"/>
                <w:sz w:val="22"/>
                <w:szCs w:val="22"/>
              </w:rPr>
              <w:t xml:space="preserve"> til </w:t>
            </w:r>
            <w:r w:rsidRPr="00BF10D1">
              <w:rPr>
                <w:rFonts w:ascii="Times New Roman" w:eastAsia="Times New Roman" w:hAnsi="Times New Roman"/>
                <w:color w:val="000000"/>
                <w:spacing w:val="6"/>
                <w:sz w:val="22"/>
                <w:szCs w:val="22"/>
              </w:rPr>
              <w:t>201</w:t>
            </w:r>
            <w:r>
              <w:rPr>
                <w:rFonts w:ascii="Times New Roman" w:eastAsia="Times New Roman" w:hAnsi="Times New Roman"/>
                <w:color w:val="000000"/>
                <w:spacing w:val="6"/>
                <w:sz w:val="22"/>
                <w:szCs w:val="22"/>
              </w:rPr>
              <w:t>4</w:t>
            </w:r>
          </w:p>
        </w:tc>
        <w:tc>
          <w:tcPr>
            <w:tcW w:w="909" w:type="pct"/>
            <w:tcBorders>
              <w:top w:val="single" w:sz="4" w:space="0" w:color="auto"/>
              <w:bottom w:val="single" w:sz="4" w:space="0" w:color="auto"/>
            </w:tcBorders>
            <w:vAlign w:val="bottom"/>
          </w:tcPr>
          <w:p w14:paraId="484B2261" w14:textId="77777777" w:rsidR="008551D4" w:rsidRPr="00BF10D1" w:rsidRDefault="008551D4" w:rsidP="00E55CF0">
            <w:pPr>
              <w:spacing w:after="0"/>
              <w:jc w:val="right"/>
              <w:rPr>
                <w:rFonts w:ascii="Times New Roman" w:hAnsi="Times New Roman"/>
                <w:color w:val="000000"/>
                <w:spacing w:val="6"/>
                <w:szCs w:val="22"/>
              </w:rPr>
            </w:pPr>
            <w:r w:rsidRPr="00BF10D1">
              <w:rPr>
                <w:rFonts w:ascii="Times New Roman" w:hAnsi="Times New Roman"/>
                <w:color w:val="000000"/>
                <w:spacing w:val="6"/>
                <w:sz w:val="22"/>
                <w:szCs w:val="22"/>
              </w:rPr>
              <w:t>Månedslønn*12</w:t>
            </w:r>
            <w:r w:rsidRPr="00BF10D1">
              <w:rPr>
                <w:rFonts w:ascii="Times New Roman" w:hAnsi="Times New Roman"/>
                <w:color w:val="000000"/>
                <w:spacing w:val="6"/>
                <w:sz w:val="22"/>
                <w:szCs w:val="22"/>
              </w:rPr>
              <w:br/>
              <w:t>per 3. kvartal 201</w:t>
            </w:r>
            <w:r>
              <w:rPr>
                <w:rFonts w:ascii="Times New Roman" w:hAnsi="Times New Roman"/>
                <w:color w:val="000000"/>
                <w:spacing w:val="6"/>
                <w:sz w:val="22"/>
                <w:szCs w:val="22"/>
              </w:rPr>
              <w:t>4</w:t>
            </w:r>
          </w:p>
        </w:tc>
        <w:tc>
          <w:tcPr>
            <w:tcW w:w="1211" w:type="pct"/>
            <w:tcBorders>
              <w:top w:val="single" w:sz="4" w:space="0" w:color="auto"/>
              <w:bottom w:val="single" w:sz="4" w:space="0" w:color="auto"/>
            </w:tcBorders>
            <w:vAlign w:val="bottom"/>
          </w:tcPr>
          <w:p w14:paraId="0572D056" w14:textId="77777777" w:rsidR="008551D4" w:rsidRPr="00BF10D1" w:rsidRDefault="008551D4" w:rsidP="00E62A17">
            <w:pPr>
              <w:spacing w:after="0"/>
              <w:jc w:val="right"/>
              <w:rPr>
                <w:rFonts w:ascii="Times New Roman" w:hAnsi="Times New Roman"/>
                <w:color w:val="000000"/>
                <w:spacing w:val="6"/>
                <w:szCs w:val="22"/>
              </w:rPr>
            </w:pPr>
            <w:r w:rsidRPr="00BF10D1">
              <w:rPr>
                <w:rFonts w:ascii="Times New Roman" w:hAnsi="Times New Roman"/>
                <w:color w:val="000000"/>
                <w:spacing w:val="6"/>
                <w:sz w:val="22"/>
                <w:szCs w:val="22"/>
              </w:rPr>
              <w:t>Deltidsansattes lønn regnet om til heltidsekvivalenter, som prosentandel av heltidsansattes lønn</w:t>
            </w:r>
          </w:p>
        </w:tc>
      </w:tr>
      <w:tr w:rsidR="008551D4" w:rsidRPr="00BF10D1" w14:paraId="172710CA" w14:textId="77777777" w:rsidTr="00317248">
        <w:trPr>
          <w:trHeight w:val="340"/>
        </w:trPr>
        <w:tc>
          <w:tcPr>
            <w:tcW w:w="1842" w:type="pct"/>
            <w:tcBorders>
              <w:top w:val="single" w:sz="4" w:space="0" w:color="auto"/>
            </w:tcBorders>
            <w:vAlign w:val="bottom"/>
          </w:tcPr>
          <w:p w14:paraId="7D1F1379" w14:textId="77777777" w:rsidR="008551D4" w:rsidRDefault="008551D4" w:rsidP="00E55CF0">
            <w:pPr>
              <w:spacing w:after="0"/>
              <w:rPr>
                <w:rFonts w:ascii="Calibri" w:hAnsi="Calibri"/>
                <w:color w:val="000000"/>
                <w:szCs w:val="22"/>
              </w:rPr>
            </w:pPr>
            <w:r>
              <w:rPr>
                <w:rFonts w:ascii="Calibri" w:hAnsi="Calibri"/>
                <w:color w:val="000000"/>
                <w:sz w:val="22"/>
                <w:szCs w:val="22"/>
              </w:rPr>
              <w:t>Alle næringer</w:t>
            </w:r>
          </w:p>
        </w:tc>
        <w:tc>
          <w:tcPr>
            <w:tcW w:w="1038" w:type="pct"/>
            <w:tcBorders>
              <w:top w:val="single" w:sz="4" w:space="0" w:color="auto"/>
            </w:tcBorders>
            <w:noWrap/>
            <w:vAlign w:val="bottom"/>
          </w:tcPr>
          <w:p w14:paraId="2C3B111A" w14:textId="77777777" w:rsidR="008551D4" w:rsidRDefault="008551D4" w:rsidP="00E55CF0">
            <w:pPr>
              <w:spacing w:after="0"/>
              <w:jc w:val="right"/>
              <w:rPr>
                <w:rFonts w:ascii="Calibri" w:hAnsi="Calibri"/>
                <w:color w:val="000000"/>
                <w:szCs w:val="22"/>
              </w:rPr>
            </w:pPr>
            <w:r>
              <w:rPr>
                <w:rFonts w:ascii="Calibri" w:hAnsi="Calibri"/>
                <w:color w:val="000000"/>
                <w:sz w:val="22"/>
                <w:szCs w:val="22"/>
              </w:rPr>
              <w:t>3,3</w:t>
            </w:r>
          </w:p>
        </w:tc>
        <w:tc>
          <w:tcPr>
            <w:tcW w:w="909" w:type="pct"/>
            <w:tcBorders>
              <w:top w:val="single" w:sz="4" w:space="0" w:color="auto"/>
            </w:tcBorders>
            <w:vAlign w:val="bottom"/>
          </w:tcPr>
          <w:p w14:paraId="710BEDEE" w14:textId="77777777" w:rsidR="008551D4" w:rsidRDefault="008551D4" w:rsidP="00E55CF0">
            <w:pPr>
              <w:spacing w:after="0"/>
              <w:rPr>
                <w:rFonts w:ascii="Calibri" w:hAnsi="Calibri"/>
                <w:color w:val="000000"/>
                <w:szCs w:val="22"/>
              </w:rPr>
            </w:pPr>
            <w:r>
              <w:rPr>
                <w:rFonts w:ascii="Calibri" w:hAnsi="Calibri"/>
                <w:color w:val="000000"/>
                <w:sz w:val="22"/>
                <w:szCs w:val="22"/>
              </w:rPr>
              <w:t xml:space="preserve">         418 800 </w:t>
            </w:r>
          </w:p>
        </w:tc>
        <w:tc>
          <w:tcPr>
            <w:tcW w:w="1211" w:type="pct"/>
            <w:tcBorders>
              <w:top w:val="single" w:sz="4" w:space="0" w:color="auto"/>
            </w:tcBorders>
            <w:vAlign w:val="bottom"/>
          </w:tcPr>
          <w:p w14:paraId="71B3BB58"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79,7</w:t>
            </w:r>
          </w:p>
        </w:tc>
      </w:tr>
      <w:tr w:rsidR="008551D4" w:rsidRPr="00BF10D1" w14:paraId="1D4ECA13" w14:textId="77777777" w:rsidTr="00CB6588">
        <w:trPr>
          <w:trHeight w:hRule="exact" w:val="312"/>
        </w:trPr>
        <w:tc>
          <w:tcPr>
            <w:tcW w:w="1842" w:type="pct"/>
            <w:tcBorders>
              <w:top w:val="single" w:sz="4" w:space="0" w:color="auto"/>
            </w:tcBorders>
            <w:vAlign w:val="bottom"/>
          </w:tcPr>
          <w:p w14:paraId="50BBC590" w14:textId="77777777" w:rsidR="008551D4" w:rsidRPr="00FD2750" w:rsidRDefault="008551D4" w:rsidP="00E55CF0">
            <w:pPr>
              <w:spacing w:after="0"/>
              <w:rPr>
                <w:rFonts w:ascii="Calibri" w:hAnsi="Calibri"/>
                <w:szCs w:val="22"/>
              </w:rPr>
            </w:pPr>
            <w:r w:rsidRPr="00FD2750">
              <w:rPr>
                <w:rFonts w:ascii="Calibri" w:hAnsi="Calibri"/>
                <w:sz w:val="22"/>
                <w:szCs w:val="22"/>
              </w:rPr>
              <w:t>Industri</w:t>
            </w:r>
          </w:p>
        </w:tc>
        <w:tc>
          <w:tcPr>
            <w:tcW w:w="1038" w:type="pct"/>
            <w:tcBorders>
              <w:top w:val="single" w:sz="4" w:space="0" w:color="auto"/>
            </w:tcBorders>
            <w:noWrap/>
            <w:vAlign w:val="bottom"/>
          </w:tcPr>
          <w:p w14:paraId="4E96F749"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1,7</w:t>
            </w:r>
          </w:p>
        </w:tc>
        <w:tc>
          <w:tcPr>
            <w:tcW w:w="909" w:type="pct"/>
            <w:tcBorders>
              <w:top w:val="single" w:sz="4" w:space="0" w:color="auto"/>
            </w:tcBorders>
            <w:vAlign w:val="bottom"/>
          </w:tcPr>
          <w:p w14:paraId="10997A6C" w14:textId="77777777" w:rsidR="008551D4" w:rsidRPr="00FD2750" w:rsidRDefault="008551D4" w:rsidP="00E55CF0">
            <w:pPr>
              <w:spacing w:after="0"/>
              <w:rPr>
                <w:rFonts w:ascii="Calibri" w:hAnsi="Calibri"/>
                <w:szCs w:val="22"/>
              </w:rPr>
            </w:pPr>
            <w:r w:rsidRPr="00FD2750">
              <w:rPr>
                <w:rFonts w:ascii="Calibri" w:hAnsi="Calibri"/>
                <w:sz w:val="22"/>
                <w:szCs w:val="22"/>
              </w:rPr>
              <w:t xml:space="preserve">         422 400 </w:t>
            </w:r>
          </w:p>
        </w:tc>
        <w:tc>
          <w:tcPr>
            <w:tcW w:w="1211" w:type="pct"/>
            <w:tcBorders>
              <w:top w:val="single" w:sz="4" w:space="0" w:color="auto"/>
            </w:tcBorders>
            <w:vAlign w:val="bottom"/>
          </w:tcPr>
          <w:p w14:paraId="6AFA3EF9"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82,8</w:t>
            </w:r>
          </w:p>
        </w:tc>
      </w:tr>
      <w:tr w:rsidR="008551D4" w:rsidRPr="00BF10D1" w14:paraId="14EC8E55" w14:textId="77777777" w:rsidTr="00CB6588">
        <w:trPr>
          <w:trHeight w:hRule="exact" w:val="312"/>
        </w:trPr>
        <w:tc>
          <w:tcPr>
            <w:tcW w:w="1842" w:type="pct"/>
            <w:vAlign w:val="bottom"/>
          </w:tcPr>
          <w:p w14:paraId="72AAF8DE" w14:textId="77777777" w:rsidR="008551D4" w:rsidRPr="00FD2750" w:rsidRDefault="008551D4" w:rsidP="00E55CF0">
            <w:pPr>
              <w:spacing w:after="0"/>
              <w:rPr>
                <w:rFonts w:ascii="Calibri" w:hAnsi="Calibri"/>
                <w:szCs w:val="22"/>
              </w:rPr>
            </w:pPr>
            <w:r w:rsidRPr="00FD2750">
              <w:rPr>
                <w:rFonts w:ascii="Calibri" w:hAnsi="Calibri"/>
                <w:sz w:val="22"/>
                <w:szCs w:val="22"/>
              </w:rPr>
              <w:t>Varehandel</w:t>
            </w:r>
          </w:p>
        </w:tc>
        <w:tc>
          <w:tcPr>
            <w:tcW w:w="1038" w:type="pct"/>
            <w:noWrap/>
            <w:vAlign w:val="bottom"/>
          </w:tcPr>
          <w:p w14:paraId="241A3ECE"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2,5</w:t>
            </w:r>
          </w:p>
        </w:tc>
        <w:tc>
          <w:tcPr>
            <w:tcW w:w="909" w:type="pct"/>
            <w:vAlign w:val="bottom"/>
          </w:tcPr>
          <w:p w14:paraId="1DE83CE1" w14:textId="77777777" w:rsidR="008551D4" w:rsidRPr="00FD2750" w:rsidRDefault="008551D4" w:rsidP="00E55CF0">
            <w:pPr>
              <w:spacing w:after="0"/>
              <w:rPr>
                <w:rFonts w:ascii="Calibri" w:hAnsi="Calibri"/>
                <w:szCs w:val="22"/>
              </w:rPr>
            </w:pPr>
            <w:r w:rsidRPr="00FD2750">
              <w:rPr>
                <w:rFonts w:ascii="Calibri" w:hAnsi="Calibri"/>
                <w:sz w:val="22"/>
                <w:szCs w:val="22"/>
              </w:rPr>
              <w:t xml:space="preserve">         343 200 </w:t>
            </w:r>
          </w:p>
        </w:tc>
        <w:tc>
          <w:tcPr>
            <w:tcW w:w="1211" w:type="pct"/>
            <w:vAlign w:val="bottom"/>
          </w:tcPr>
          <w:p w14:paraId="7174479F"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72,8</w:t>
            </w:r>
          </w:p>
        </w:tc>
      </w:tr>
      <w:tr w:rsidR="008551D4" w:rsidRPr="00BF10D1" w14:paraId="01FD55D1" w14:textId="77777777" w:rsidTr="00CB6588">
        <w:trPr>
          <w:trHeight w:hRule="exact" w:val="312"/>
        </w:trPr>
        <w:tc>
          <w:tcPr>
            <w:tcW w:w="1842" w:type="pct"/>
            <w:vAlign w:val="bottom"/>
          </w:tcPr>
          <w:p w14:paraId="521D1830" w14:textId="77777777" w:rsidR="008551D4" w:rsidRPr="00FD2750" w:rsidRDefault="008551D4" w:rsidP="00E55CF0">
            <w:pPr>
              <w:spacing w:after="0"/>
              <w:rPr>
                <w:rFonts w:ascii="Calibri" w:hAnsi="Calibri"/>
                <w:szCs w:val="22"/>
              </w:rPr>
            </w:pPr>
            <w:r w:rsidRPr="00FD2750">
              <w:rPr>
                <w:rFonts w:ascii="Calibri" w:hAnsi="Calibri"/>
                <w:sz w:val="22"/>
                <w:szCs w:val="22"/>
              </w:rPr>
              <w:t>Samferdsel</w:t>
            </w:r>
          </w:p>
        </w:tc>
        <w:tc>
          <w:tcPr>
            <w:tcW w:w="1038" w:type="pct"/>
            <w:noWrap/>
            <w:vAlign w:val="bottom"/>
          </w:tcPr>
          <w:p w14:paraId="4135C3F3" w14:textId="77777777" w:rsidR="008551D4" w:rsidRPr="00FD2750" w:rsidRDefault="00072F19" w:rsidP="00E55CF0">
            <w:pPr>
              <w:spacing w:after="0"/>
              <w:jc w:val="right"/>
              <w:rPr>
                <w:rFonts w:ascii="Calibri" w:hAnsi="Calibri"/>
                <w:szCs w:val="22"/>
              </w:rPr>
            </w:pPr>
            <w:r>
              <w:rPr>
                <w:rFonts w:ascii="Calibri" w:hAnsi="Calibri"/>
                <w:sz w:val="22"/>
                <w:szCs w:val="22"/>
              </w:rPr>
              <w:t>3,2</w:t>
            </w:r>
          </w:p>
        </w:tc>
        <w:tc>
          <w:tcPr>
            <w:tcW w:w="909" w:type="pct"/>
            <w:vAlign w:val="bottom"/>
          </w:tcPr>
          <w:p w14:paraId="46AB2B4D" w14:textId="77777777" w:rsidR="008551D4" w:rsidRPr="00FD2750" w:rsidRDefault="008551D4" w:rsidP="00E55CF0">
            <w:pPr>
              <w:spacing w:after="0"/>
              <w:rPr>
                <w:rFonts w:ascii="Calibri" w:hAnsi="Calibri"/>
                <w:szCs w:val="22"/>
              </w:rPr>
            </w:pPr>
            <w:r w:rsidRPr="00FD2750">
              <w:rPr>
                <w:rFonts w:ascii="Calibri" w:hAnsi="Calibri"/>
                <w:sz w:val="22"/>
                <w:szCs w:val="22"/>
              </w:rPr>
              <w:t xml:space="preserve">         429 600 </w:t>
            </w:r>
          </w:p>
        </w:tc>
        <w:tc>
          <w:tcPr>
            <w:tcW w:w="1211" w:type="pct"/>
            <w:vAlign w:val="bottom"/>
          </w:tcPr>
          <w:p w14:paraId="2FA903A3" w14:textId="77777777" w:rsidR="008551D4" w:rsidRPr="00FD2750" w:rsidRDefault="008551D4" w:rsidP="00072F19">
            <w:pPr>
              <w:spacing w:after="0"/>
              <w:jc w:val="right"/>
              <w:rPr>
                <w:rFonts w:ascii="Calibri" w:hAnsi="Calibri"/>
                <w:szCs w:val="22"/>
              </w:rPr>
            </w:pPr>
            <w:r w:rsidRPr="00FD2750">
              <w:rPr>
                <w:rFonts w:ascii="Calibri" w:hAnsi="Calibri"/>
                <w:sz w:val="22"/>
                <w:szCs w:val="22"/>
              </w:rPr>
              <w:t>85,</w:t>
            </w:r>
            <w:r w:rsidR="00072F19">
              <w:rPr>
                <w:rFonts w:ascii="Calibri" w:hAnsi="Calibri"/>
                <w:sz w:val="22"/>
                <w:szCs w:val="22"/>
              </w:rPr>
              <w:t>6</w:t>
            </w:r>
          </w:p>
        </w:tc>
      </w:tr>
      <w:tr w:rsidR="008551D4" w:rsidRPr="00BF10D1" w14:paraId="64028CB0" w14:textId="77777777" w:rsidTr="00CB6588">
        <w:trPr>
          <w:trHeight w:hRule="exact" w:val="312"/>
        </w:trPr>
        <w:tc>
          <w:tcPr>
            <w:tcW w:w="1842" w:type="pct"/>
            <w:vAlign w:val="bottom"/>
          </w:tcPr>
          <w:p w14:paraId="6ED1DEFB" w14:textId="77777777" w:rsidR="008551D4" w:rsidRPr="00FD2750" w:rsidRDefault="008551D4" w:rsidP="00E55CF0">
            <w:pPr>
              <w:spacing w:after="0"/>
              <w:rPr>
                <w:rFonts w:ascii="Calibri" w:hAnsi="Calibri"/>
                <w:szCs w:val="22"/>
              </w:rPr>
            </w:pPr>
            <w:r w:rsidRPr="00FD2750">
              <w:rPr>
                <w:rFonts w:ascii="Calibri" w:hAnsi="Calibri"/>
                <w:sz w:val="22"/>
                <w:szCs w:val="22"/>
              </w:rPr>
              <w:t>Hotell- og restaurantvirksomhet</w:t>
            </w:r>
          </w:p>
        </w:tc>
        <w:tc>
          <w:tcPr>
            <w:tcW w:w="1038" w:type="pct"/>
            <w:noWrap/>
            <w:vAlign w:val="bottom"/>
          </w:tcPr>
          <w:p w14:paraId="04643BE6" w14:textId="77777777" w:rsidR="008551D4" w:rsidRPr="00FD2750" w:rsidRDefault="00072F19" w:rsidP="00E55CF0">
            <w:pPr>
              <w:spacing w:after="0"/>
              <w:jc w:val="right"/>
              <w:rPr>
                <w:rFonts w:ascii="Calibri" w:hAnsi="Calibri"/>
                <w:szCs w:val="22"/>
              </w:rPr>
            </w:pPr>
            <w:r>
              <w:rPr>
                <w:rFonts w:ascii="Calibri" w:hAnsi="Calibri"/>
                <w:sz w:val="22"/>
                <w:szCs w:val="22"/>
              </w:rPr>
              <w:t>2,9</w:t>
            </w:r>
          </w:p>
        </w:tc>
        <w:tc>
          <w:tcPr>
            <w:tcW w:w="909" w:type="pct"/>
            <w:vAlign w:val="bottom"/>
          </w:tcPr>
          <w:p w14:paraId="145AA293" w14:textId="77777777" w:rsidR="008551D4" w:rsidRPr="00FD2750" w:rsidRDefault="008551D4" w:rsidP="00072F19">
            <w:pPr>
              <w:spacing w:after="0"/>
              <w:rPr>
                <w:rFonts w:ascii="Calibri" w:hAnsi="Calibri"/>
                <w:szCs w:val="22"/>
              </w:rPr>
            </w:pPr>
            <w:r w:rsidRPr="00FD2750">
              <w:rPr>
                <w:rFonts w:ascii="Calibri" w:hAnsi="Calibri"/>
                <w:sz w:val="22"/>
                <w:szCs w:val="22"/>
              </w:rPr>
              <w:t xml:space="preserve">         29</w:t>
            </w:r>
            <w:r w:rsidR="00072F19">
              <w:rPr>
                <w:rFonts w:ascii="Calibri" w:hAnsi="Calibri"/>
                <w:sz w:val="22"/>
                <w:szCs w:val="22"/>
              </w:rPr>
              <w:t>5 200</w:t>
            </w:r>
            <w:r w:rsidRPr="00FD2750">
              <w:rPr>
                <w:rFonts w:ascii="Calibri" w:hAnsi="Calibri"/>
                <w:sz w:val="22"/>
                <w:szCs w:val="22"/>
              </w:rPr>
              <w:t xml:space="preserve"> 400 </w:t>
            </w:r>
          </w:p>
        </w:tc>
        <w:tc>
          <w:tcPr>
            <w:tcW w:w="1211" w:type="pct"/>
            <w:vAlign w:val="bottom"/>
          </w:tcPr>
          <w:p w14:paraId="741BA7D5" w14:textId="77777777" w:rsidR="008551D4" w:rsidRPr="00FD2750" w:rsidRDefault="008551D4" w:rsidP="00072F19">
            <w:pPr>
              <w:spacing w:after="0"/>
              <w:jc w:val="right"/>
              <w:rPr>
                <w:rFonts w:ascii="Calibri" w:hAnsi="Calibri"/>
                <w:szCs w:val="22"/>
              </w:rPr>
            </w:pPr>
            <w:r w:rsidRPr="00FD2750">
              <w:rPr>
                <w:rFonts w:ascii="Calibri" w:hAnsi="Calibri"/>
                <w:sz w:val="22"/>
                <w:szCs w:val="22"/>
              </w:rPr>
              <w:t>77,</w:t>
            </w:r>
            <w:r w:rsidR="00072F19">
              <w:rPr>
                <w:rFonts w:ascii="Calibri" w:hAnsi="Calibri"/>
                <w:sz w:val="22"/>
                <w:szCs w:val="22"/>
              </w:rPr>
              <w:t>4</w:t>
            </w:r>
          </w:p>
        </w:tc>
      </w:tr>
      <w:tr w:rsidR="008551D4" w:rsidRPr="00BF10D1" w14:paraId="3A8320AA" w14:textId="77777777" w:rsidTr="00CB6588">
        <w:trPr>
          <w:trHeight w:hRule="exact" w:val="312"/>
        </w:trPr>
        <w:tc>
          <w:tcPr>
            <w:tcW w:w="1842" w:type="pct"/>
            <w:vAlign w:val="bottom"/>
          </w:tcPr>
          <w:p w14:paraId="50DC34F2" w14:textId="77777777" w:rsidR="008551D4" w:rsidRPr="00FD2750" w:rsidRDefault="008551D4" w:rsidP="00E55CF0">
            <w:pPr>
              <w:spacing w:after="0"/>
              <w:rPr>
                <w:rFonts w:ascii="Calibri" w:hAnsi="Calibri"/>
                <w:szCs w:val="22"/>
              </w:rPr>
            </w:pPr>
            <w:r w:rsidRPr="00FD2750">
              <w:rPr>
                <w:rFonts w:ascii="Calibri" w:hAnsi="Calibri"/>
                <w:sz w:val="22"/>
                <w:szCs w:val="22"/>
              </w:rPr>
              <w:t>Informasjon og kommunikasjon</w:t>
            </w:r>
          </w:p>
        </w:tc>
        <w:tc>
          <w:tcPr>
            <w:tcW w:w="1038" w:type="pct"/>
            <w:noWrap/>
            <w:vAlign w:val="bottom"/>
          </w:tcPr>
          <w:p w14:paraId="2AE80F2B"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-0,7</w:t>
            </w:r>
          </w:p>
        </w:tc>
        <w:tc>
          <w:tcPr>
            <w:tcW w:w="909" w:type="pct"/>
            <w:vAlign w:val="bottom"/>
          </w:tcPr>
          <w:p w14:paraId="239AA3A3" w14:textId="77777777" w:rsidR="008551D4" w:rsidRPr="00FD2750" w:rsidRDefault="008551D4" w:rsidP="00E55CF0">
            <w:pPr>
              <w:spacing w:after="0"/>
              <w:rPr>
                <w:rFonts w:ascii="Calibri" w:hAnsi="Calibri"/>
                <w:szCs w:val="22"/>
              </w:rPr>
            </w:pPr>
            <w:r w:rsidRPr="00FD2750">
              <w:rPr>
                <w:rFonts w:ascii="Calibri" w:hAnsi="Calibri"/>
                <w:sz w:val="22"/>
                <w:szCs w:val="22"/>
              </w:rPr>
              <w:t xml:space="preserve">         507 600 </w:t>
            </w:r>
          </w:p>
        </w:tc>
        <w:tc>
          <w:tcPr>
            <w:tcW w:w="1211" w:type="pct"/>
            <w:vAlign w:val="bottom"/>
          </w:tcPr>
          <w:p w14:paraId="7E8474D6"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78,2</w:t>
            </w:r>
          </w:p>
        </w:tc>
      </w:tr>
      <w:tr w:rsidR="008551D4" w:rsidRPr="00BF10D1" w14:paraId="361D3BFC" w14:textId="77777777" w:rsidTr="00CB6588">
        <w:trPr>
          <w:trHeight w:hRule="exact" w:val="312"/>
        </w:trPr>
        <w:tc>
          <w:tcPr>
            <w:tcW w:w="1842" w:type="pct"/>
            <w:vAlign w:val="bottom"/>
          </w:tcPr>
          <w:p w14:paraId="5388FB63" w14:textId="77777777" w:rsidR="008551D4" w:rsidRPr="00FD2750" w:rsidRDefault="008551D4" w:rsidP="00E55CF0">
            <w:pPr>
              <w:spacing w:after="0"/>
              <w:rPr>
                <w:rFonts w:ascii="Calibri" w:hAnsi="Calibri"/>
                <w:szCs w:val="22"/>
              </w:rPr>
            </w:pPr>
            <w:r w:rsidRPr="00FD2750">
              <w:rPr>
                <w:rFonts w:ascii="Calibri" w:hAnsi="Calibri"/>
                <w:sz w:val="22"/>
                <w:szCs w:val="22"/>
              </w:rPr>
              <w:t>Finanstjenester</w:t>
            </w:r>
          </w:p>
        </w:tc>
        <w:tc>
          <w:tcPr>
            <w:tcW w:w="1038" w:type="pct"/>
            <w:noWrap/>
            <w:vAlign w:val="bottom"/>
          </w:tcPr>
          <w:p w14:paraId="4920F8CE"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4,</w:t>
            </w:r>
            <w:r w:rsidR="00072F19">
              <w:rPr>
                <w:rFonts w:ascii="Calibri" w:hAnsi="Calibri"/>
                <w:sz w:val="22"/>
                <w:szCs w:val="22"/>
              </w:rPr>
              <w:t>5</w:t>
            </w:r>
          </w:p>
        </w:tc>
        <w:tc>
          <w:tcPr>
            <w:tcW w:w="909" w:type="pct"/>
            <w:vAlign w:val="bottom"/>
          </w:tcPr>
          <w:p w14:paraId="10F5C9A3" w14:textId="77777777" w:rsidR="008551D4" w:rsidRPr="00FD2750" w:rsidRDefault="008551D4" w:rsidP="00072F19">
            <w:pPr>
              <w:spacing w:after="0"/>
              <w:rPr>
                <w:rFonts w:ascii="Calibri" w:hAnsi="Calibri"/>
                <w:szCs w:val="22"/>
              </w:rPr>
            </w:pPr>
            <w:r w:rsidRPr="00FD2750">
              <w:rPr>
                <w:rFonts w:ascii="Calibri" w:hAnsi="Calibri"/>
                <w:sz w:val="22"/>
                <w:szCs w:val="22"/>
              </w:rPr>
              <w:t xml:space="preserve">         50</w:t>
            </w:r>
            <w:r w:rsidR="00072F19">
              <w:rPr>
                <w:rFonts w:ascii="Calibri" w:hAnsi="Calibri"/>
                <w:sz w:val="22"/>
                <w:szCs w:val="22"/>
              </w:rPr>
              <w:t>1 6</w:t>
            </w:r>
            <w:r w:rsidRPr="00FD2750">
              <w:rPr>
                <w:rFonts w:ascii="Calibri" w:hAnsi="Calibri"/>
                <w:sz w:val="22"/>
                <w:szCs w:val="22"/>
              </w:rPr>
              <w:t xml:space="preserve">00 </w:t>
            </w:r>
          </w:p>
        </w:tc>
        <w:tc>
          <w:tcPr>
            <w:tcW w:w="1211" w:type="pct"/>
            <w:vAlign w:val="bottom"/>
          </w:tcPr>
          <w:p w14:paraId="40451AAD" w14:textId="77777777" w:rsidR="008551D4" w:rsidRPr="00FD2750" w:rsidRDefault="008551D4" w:rsidP="00072F19">
            <w:pPr>
              <w:spacing w:after="0"/>
              <w:jc w:val="right"/>
              <w:rPr>
                <w:rFonts w:ascii="Calibri" w:hAnsi="Calibri"/>
                <w:szCs w:val="22"/>
              </w:rPr>
            </w:pPr>
            <w:r w:rsidRPr="00FD2750">
              <w:rPr>
                <w:rFonts w:ascii="Calibri" w:hAnsi="Calibri"/>
                <w:sz w:val="22"/>
                <w:szCs w:val="22"/>
              </w:rPr>
              <w:t>70,</w:t>
            </w:r>
            <w:r w:rsidR="00072F19">
              <w:rPr>
                <w:rFonts w:ascii="Calibri" w:hAnsi="Calibri"/>
                <w:sz w:val="22"/>
                <w:szCs w:val="22"/>
              </w:rPr>
              <w:t>5</w:t>
            </w:r>
          </w:p>
        </w:tc>
      </w:tr>
      <w:tr w:rsidR="008551D4" w:rsidRPr="00BF10D1" w14:paraId="153E2FD4" w14:textId="77777777" w:rsidTr="00CB6588">
        <w:trPr>
          <w:trHeight w:hRule="exact" w:val="312"/>
        </w:trPr>
        <w:tc>
          <w:tcPr>
            <w:tcW w:w="1842" w:type="pct"/>
            <w:vAlign w:val="bottom"/>
          </w:tcPr>
          <w:p w14:paraId="1A9303EC" w14:textId="77777777" w:rsidR="008551D4" w:rsidRPr="00FD2750" w:rsidRDefault="008551D4" w:rsidP="00E55CF0">
            <w:pPr>
              <w:spacing w:after="0"/>
              <w:rPr>
                <w:rFonts w:ascii="Calibri" w:hAnsi="Calibri"/>
                <w:szCs w:val="22"/>
              </w:rPr>
            </w:pPr>
            <w:r w:rsidRPr="00FD2750">
              <w:rPr>
                <w:rFonts w:ascii="Calibri" w:hAnsi="Calibri"/>
                <w:sz w:val="22"/>
                <w:szCs w:val="22"/>
              </w:rPr>
              <w:t>Faglig, teknisk og vitenskapelig tjenesteyting</w:t>
            </w:r>
          </w:p>
        </w:tc>
        <w:tc>
          <w:tcPr>
            <w:tcW w:w="1038" w:type="pct"/>
            <w:noWrap/>
            <w:vAlign w:val="bottom"/>
          </w:tcPr>
          <w:p w14:paraId="150A3241"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4,4</w:t>
            </w:r>
          </w:p>
        </w:tc>
        <w:tc>
          <w:tcPr>
            <w:tcW w:w="909" w:type="pct"/>
            <w:vAlign w:val="bottom"/>
          </w:tcPr>
          <w:p w14:paraId="43369FF6" w14:textId="77777777" w:rsidR="008551D4" w:rsidRPr="00FD2750" w:rsidRDefault="008551D4" w:rsidP="00E55CF0">
            <w:pPr>
              <w:spacing w:after="0"/>
              <w:rPr>
                <w:rFonts w:ascii="Calibri" w:hAnsi="Calibri"/>
                <w:szCs w:val="22"/>
              </w:rPr>
            </w:pPr>
            <w:r w:rsidRPr="00FD2750">
              <w:rPr>
                <w:rFonts w:ascii="Calibri" w:hAnsi="Calibri"/>
                <w:sz w:val="22"/>
                <w:szCs w:val="22"/>
              </w:rPr>
              <w:t xml:space="preserve">         510 000 </w:t>
            </w:r>
          </w:p>
        </w:tc>
        <w:tc>
          <w:tcPr>
            <w:tcW w:w="1211" w:type="pct"/>
            <w:vAlign w:val="bottom"/>
          </w:tcPr>
          <w:p w14:paraId="21A36AA0"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77,8</w:t>
            </w:r>
          </w:p>
        </w:tc>
      </w:tr>
      <w:tr w:rsidR="008551D4" w:rsidRPr="00BF10D1" w14:paraId="00C1E74C" w14:textId="77777777" w:rsidTr="00CB6588">
        <w:trPr>
          <w:trHeight w:hRule="exact" w:val="312"/>
        </w:trPr>
        <w:tc>
          <w:tcPr>
            <w:tcW w:w="1842" w:type="pct"/>
            <w:vAlign w:val="bottom"/>
          </w:tcPr>
          <w:p w14:paraId="0DBD983C" w14:textId="77777777" w:rsidR="008551D4" w:rsidRPr="00FD2750" w:rsidRDefault="008551D4" w:rsidP="00E55CF0">
            <w:pPr>
              <w:spacing w:after="0"/>
              <w:rPr>
                <w:rFonts w:ascii="Calibri" w:hAnsi="Calibri"/>
                <w:szCs w:val="22"/>
              </w:rPr>
            </w:pPr>
            <w:r w:rsidRPr="00FD2750">
              <w:rPr>
                <w:rFonts w:ascii="Calibri" w:hAnsi="Calibri"/>
                <w:sz w:val="22"/>
                <w:szCs w:val="22"/>
              </w:rPr>
              <w:t>Forretningsmessig tjenesteyting</w:t>
            </w:r>
          </w:p>
        </w:tc>
        <w:tc>
          <w:tcPr>
            <w:tcW w:w="1038" w:type="pct"/>
            <w:noWrap/>
            <w:vAlign w:val="bottom"/>
          </w:tcPr>
          <w:p w14:paraId="3D85DC76"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3,1</w:t>
            </w:r>
          </w:p>
        </w:tc>
        <w:tc>
          <w:tcPr>
            <w:tcW w:w="909" w:type="pct"/>
            <w:vAlign w:val="bottom"/>
          </w:tcPr>
          <w:p w14:paraId="53676A37" w14:textId="77777777" w:rsidR="008551D4" w:rsidRPr="00FD2750" w:rsidRDefault="008551D4" w:rsidP="00E55CF0">
            <w:pPr>
              <w:spacing w:after="0"/>
              <w:rPr>
                <w:rFonts w:ascii="Calibri" w:hAnsi="Calibri"/>
                <w:szCs w:val="22"/>
              </w:rPr>
            </w:pPr>
            <w:r w:rsidRPr="00FD2750">
              <w:rPr>
                <w:rFonts w:ascii="Calibri" w:hAnsi="Calibri"/>
                <w:sz w:val="22"/>
                <w:szCs w:val="22"/>
              </w:rPr>
              <w:t xml:space="preserve">         358 800 </w:t>
            </w:r>
          </w:p>
        </w:tc>
        <w:tc>
          <w:tcPr>
            <w:tcW w:w="1211" w:type="pct"/>
            <w:vAlign w:val="bottom"/>
          </w:tcPr>
          <w:p w14:paraId="4162A788"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81,3</w:t>
            </w:r>
          </w:p>
        </w:tc>
      </w:tr>
      <w:tr w:rsidR="008551D4" w:rsidRPr="00BF10D1" w14:paraId="08968847" w14:textId="77777777" w:rsidTr="00CB6588">
        <w:trPr>
          <w:trHeight w:hRule="exact" w:val="312"/>
        </w:trPr>
        <w:tc>
          <w:tcPr>
            <w:tcW w:w="1842" w:type="pct"/>
            <w:vAlign w:val="bottom"/>
          </w:tcPr>
          <w:p w14:paraId="29D30EC0" w14:textId="77777777" w:rsidR="008551D4" w:rsidRPr="00FD2750" w:rsidRDefault="008551D4" w:rsidP="00E55CF0">
            <w:pPr>
              <w:spacing w:after="0"/>
              <w:rPr>
                <w:rFonts w:ascii="Calibri" w:hAnsi="Calibri"/>
                <w:szCs w:val="22"/>
              </w:rPr>
            </w:pPr>
            <w:r w:rsidRPr="00FD2750">
              <w:rPr>
                <w:rFonts w:ascii="Calibri" w:hAnsi="Calibri"/>
                <w:sz w:val="22"/>
                <w:szCs w:val="22"/>
              </w:rPr>
              <w:t>Kommuner og fylkeskommuner (inkludert undervisning)</w:t>
            </w:r>
          </w:p>
        </w:tc>
        <w:tc>
          <w:tcPr>
            <w:tcW w:w="1038" w:type="pct"/>
            <w:noWrap/>
            <w:vAlign w:val="bottom"/>
          </w:tcPr>
          <w:p w14:paraId="20E9A1D0"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4,5</w:t>
            </w:r>
          </w:p>
        </w:tc>
        <w:tc>
          <w:tcPr>
            <w:tcW w:w="909" w:type="pct"/>
            <w:vAlign w:val="bottom"/>
          </w:tcPr>
          <w:p w14:paraId="3DF1612C" w14:textId="77777777" w:rsidR="008551D4" w:rsidRPr="00FD2750" w:rsidRDefault="008551D4" w:rsidP="00E55CF0">
            <w:pPr>
              <w:spacing w:after="0"/>
              <w:rPr>
                <w:rFonts w:ascii="Calibri" w:hAnsi="Calibri"/>
                <w:szCs w:val="22"/>
              </w:rPr>
            </w:pPr>
            <w:r w:rsidRPr="00FD2750">
              <w:rPr>
                <w:rFonts w:ascii="Calibri" w:hAnsi="Calibri"/>
                <w:sz w:val="22"/>
                <w:szCs w:val="22"/>
              </w:rPr>
              <w:t xml:space="preserve">         450 000 </w:t>
            </w:r>
          </w:p>
        </w:tc>
        <w:tc>
          <w:tcPr>
            <w:tcW w:w="1211" w:type="pct"/>
            <w:vAlign w:val="bottom"/>
          </w:tcPr>
          <w:p w14:paraId="7029A471"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91,5</w:t>
            </w:r>
          </w:p>
        </w:tc>
      </w:tr>
      <w:tr w:rsidR="008551D4" w:rsidRPr="00BF10D1" w14:paraId="104A65A7" w14:textId="77777777" w:rsidTr="00CB6588">
        <w:trPr>
          <w:trHeight w:hRule="exact" w:val="312"/>
        </w:trPr>
        <w:tc>
          <w:tcPr>
            <w:tcW w:w="1842" w:type="pct"/>
            <w:vAlign w:val="bottom"/>
          </w:tcPr>
          <w:p w14:paraId="11F6BDC6" w14:textId="77777777" w:rsidR="008551D4" w:rsidRPr="00317248" w:rsidRDefault="008551D4" w:rsidP="006E305B">
            <w:pPr>
              <w:pStyle w:val="Listeavsnitt"/>
              <w:numPr>
                <w:ilvl w:val="0"/>
                <w:numId w:val="39"/>
              </w:numPr>
              <w:rPr>
                <w:rFonts w:ascii="Calibri" w:hAnsi="Calibri"/>
              </w:rPr>
            </w:pPr>
            <w:r w:rsidRPr="00317248">
              <w:rPr>
                <w:rFonts w:ascii="Calibri" w:hAnsi="Calibri"/>
                <w:sz w:val="22"/>
              </w:rPr>
              <w:t xml:space="preserve">herav undervisning </w:t>
            </w:r>
          </w:p>
        </w:tc>
        <w:tc>
          <w:tcPr>
            <w:tcW w:w="1038" w:type="pct"/>
            <w:noWrap/>
            <w:vAlign w:val="bottom"/>
          </w:tcPr>
          <w:p w14:paraId="41DB0E53"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4,1</w:t>
            </w:r>
          </w:p>
        </w:tc>
        <w:tc>
          <w:tcPr>
            <w:tcW w:w="909" w:type="pct"/>
            <w:vAlign w:val="bottom"/>
          </w:tcPr>
          <w:p w14:paraId="0BC1653D" w14:textId="77777777" w:rsidR="008551D4" w:rsidRPr="00FD2750" w:rsidRDefault="008551D4" w:rsidP="00E55CF0">
            <w:pPr>
              <w:spacing w:after="0"/>
              <w:rPr>
                <w:rFonts w:ascii="Calibri" w:hAnsi="Calibri"/>
                <w:szCs w:val="22"/>
              </w:rPr>
            </w:pPr>
            <w:r w:rsidRPr="00FD2750">
              <w:rPr>
                <w:rFonts w:ascii="Calibri" w:hAnsi="Calibri"/>
                <w:sz w:val="22"/>
                <w:szCs w:val="22"/>
              </w:rPr>
              <w:t xml:space="preserve">         454 800 </w:t>
            </w:r>
          </w:p>
        </w:tc>
        <w:tc>
          <w:tcPr>
            <w:tcW w:w="1211" w:type="pct"/>
            <w:vAlign w:val="bottom"/>
          </w:tcPr>
          <w:p w14:paraId="15559BE5"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87,5</w:t>
            </w:r>
          </w:p>
        </w:tc>
      </w:tr>
      <w:tr w:rsidR="008551D4" w:rsidRPr="00BF10D1" w14:paraId="30B5B7DC" w14:textId="77777777" w:rsidTr="00CB6588">
        <w:trPr>
          <w:trHeight w:hRule="exact" w:val="312"/>
        </w:trPr>
        <w:tc>
          <w:tcPr>
            <w:tcW w:w="1842" w:type="pct"/>
            <w:vAlign w:val="bottom"/>
          </w:tcPr>
          <w:p w14:paraId="112A79C2" w14:textId="77777777" w:rsidR="008551D4" w:rsidRPr="00FD2750" w:rsidRDefault="008551D4" w:rsidP="00E55CF0">
            <w:pPr>
              <w:spacing w:after="0"/>
              <w:rPr>
                <w:rFonts w:ascii="Calibri" w:hAnsi="Calibri"/>
                <w:szCs w:val="22"/>
              </w:rPr>
            </w:pPr>
            <w:r w:rsidRPr="00FD2750">
              <w:rPr>
                <w:rFonts w:ascii="Calibri" w:hAnsi="Calibri"/>
                <w:sz w:val="22"/>
                <w:szCs w:val="22"/>
              </w:rPr>
              <w:t>Helseforetak</w:t>
            </w:r>
          </w:p>
        </w:tc>
        <w:tc>
          <w:tcPr>
            <w:tcW w:w="1038" w:type="pct"/>
            <w:noWrap/>
            <w:vAlign w:val="bottom"/>
          </w:tcPr>
          <w:p w14:paraId="258DC2E6"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4,1</w:t>
            </w:r>
          </w:p>
        </w:tc>
        <w:tc>
          <w:tcPr>
            <w:tcW w:w="909" w:type="pct"/>
            <w:vAlign w:val="bottom"/>
          </w:tcPr>
          <w:p w14:paraId="4A7AA69B" w14:textId="77777777" w:rsidR="008551D4" w:rsidRPr="00FD2750" w:rsidRDefault="008551D4" w:rsidP="00E55CF0">
            <w:pPr>
              <w:spacing w:after="0"/>
              <w:rPr>
                <w:rFonts w:ascii="Calibri" w:hAnsi="Calibri"/>
                <w:szCs w:val="22"/>
              </w:rPr>
            </w:pPr>
            <w:r w:rsidRPr="00FD2750">
              <w:rPr>
                <w:rFonts w:ascii="Calibri" w:hAnsi="Calibri"/>
                <w:sz w:val="22"/>
                <w:szCs w:val="22"/>
              </w:rPr>
              <w:t xml:space="preserve">         492 000 </w:t>
            </w:r>
          </w:p>
        </w:tc>
        <w:tc>
          <w:tcPr>
            <w:tcW w:w="1211" w:type="pct"/>
            <w:vAlign w:val="bottom"/>
          </w:tcPr>
          <w:p w14:paraId="5E5652DC"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91,1</w:t>
            </w:r>
          </w:p>
        </w:tc>
      </w:tr>
      <w:tr w:rsidR="008551D4" w:rsidRPr="00BF10D1" w14:paraId="43365E73" w14:textId="77777777" w:rsidTr="00CB6588">
        <w:trPr>
          <w:trHeight w:hRule="exact" w:val="312"/>
        </w:trPr>
        <w:tc>
          <w:tcPr>
            <w:tcW w:w="1842" w:type="pct"/>
            <w:vAlign w:val="bottom"/>
          </w:tcPr>
          <w:p w14:paraId="465B4904" w14:textId="77777777" w:rsidR="008551D4" w:rsidRPr="00FD2750" w:rsidRDefault="008551D4" w:rsidP="00E55CF0">
            <w:pPr>
              <w:spacing w:after="0"/>
              <w:rPr>
                <w:rFonts w:ascii="Calibri" w:hAnsi="Calibri"/>
                <w:szCs w:val="22"/>
              </w:rPr>
            </w:pPr>
            <w:r w:rsidRPr="00FD2750">
              <w:rPr>
                <w:rFonts w:ascii="Calibri" w:hAnsi="Calibri"/>
                <w:sz w:val="22"/>
                <w:szCs w:val="22"/>
              </w:rPr>
              <w:t>Staten</w:t>
            </w:r>
          </w:p>
        </w:tc>
        <w:tc>
          <w:tcPr>
            <w:tcW w:w="1038" w:type="pct"/>
            <w:noWrap/>
            <w:vAlign w:val="bottom"/>
          </w:tcPr>
          <w:p w14:paraId="370CECFB"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2,0</w:t>
            </w:r>
          </w:p>
        </w:tc>
        <w:tc>
          <w:tcPr>
            <w:tcW w:w="909" w:type="pct"/>
            <w:vAlign w:val="bottom"/>
          </w:tcPr>
          <w:p w14:paraId="05EC1A73" w14:textId="77777777" w:rsidR="008551D4" w:rsidRPr="00FD2750" w:rsidRDefault="008551D4" w:rsidP="00E55CF0">
            <w:pPr>
              <w:spacing w:after="0"/>
              <w:rPr>
                <w:rFonts w:ascii="Calibri" w:hAnsi="Calibri"/>
                <w:szCs w:val="22"/>
              </w:rPr>
            </w:pPr>
            <w:r w:rsidRPr="00FD2750">
              <w:rPr>
                <w:rFonts w:ascii="Calibri" w:hAnsi="Calibri"/>
                <w:sz w:val="22"/>
                <w:szCs w:val="22"/>
              </w:rPr>
              <w:t xml:space="preserve">         481 200 </w:t>
            </w:r>
          </w:p>
        </w:tc>
        <w:tc>
          <w:tcPr>
            <w:tcW w:w="1211" w:type="pct"/>
            <w:vAlign w:val="bottom"/>
          </w:tcPr>
          <w:p w14:paraId="4DBF6945" w14:textId="77777777" w:rsidR="008551D4" w:rsidRPr="00FD2750" w:rsidRDefault="008551D4" w:rsidP="00E55CF0">
            <w:pPr>
              <w:spacing w:after="0"/>
              <w:jc w:val="right"/>
              <w:rPr>
                <w:rFonts w:ascii="Calibri" w:hAnsi="Calibri"/>
                <w:szCs w:val="22"/>
              </w:rPr>
            </w:pPr>
            <w:r w:rsidRPr="00FD2750">
              <w:rPr>
                <w:rFonts w:ascii="Calibri" w:hAnsi="Calibri"/>
                <w:sz w:val="22"/>
                <w:szCs w:val="22"/>
              </w:rPr>
              <w:t>89,3</w:t>
            </w:r>
          </w:p>
        </w:tc>
      </w:tr>
    </w:tbl>
    <w:p w14:paraId="17D22836" w14:textId="77777777" w:rsidR="00072F19" w:rsidRDefault="00072F19" w:rsidP="006E305B">
      <w:pPr>
        <w:pStyle w:val="tabell-noter"/>
        <w:numPr>
          <w:ilvl w:val="0"/>
          <w:numId w:val="44"/>
        </w:numPr>
        <w:spacing w:after="0"/>
      </w:pPr>
      <w:r w:rsidRPr="00D0232F">
        <w:t xml:space="preserve">Omfatter </w:t>
      </w:r>
      <w:r>
        <w:t xml:space="preserve">heltidsansatte og </w:t>
      </w:r>
      <w:r w:rsidRPr="00D0232F">
        <w:t>deltidsansatte der deltidsansatte er regnet om til heltidsekvivalenter. Månedslønnen per heltidsekvivalent for deltidsansatte er regnet ut på grunnlag av gjennomsnittlig avtalt arbeidstid per uke for de heltidsansatte, dvs. alle med avtalt arbeidstid på 33 timer per uke eller mer. Dersom gjennomsnittlig arbeidstid for heltidsansatte er 37 timer i uka, vil for eksempel en deltidsansatt som arbeider 15 timer i uka ha en vekt på 0,41 (15/37) regnet som heltidsekvivalent. Lønnen for deltidsansatte regnet per heltidsekvivalent framkommer ved å multiplisere lønnen til vedkommende deltidsansatt med 2,47 (37/15).</w:t>
      </w:r>
    </w:p>
    <w:p w14:paraId="745D6F90" w14:textId="77777777" w:rsidR="008551D4" w:rsidRDefault="008551D4" w:rsidP="006E305B">
      <w:pPr>
        <w:pStyle w:val="tabell-noter"/>
        <w:numPr>
          <w:ilvl w:val="0"/>
          <w:numId w:val="44"/>
        </w:numPr>
        <w:spacing w:after="0"/>
      </w:pPr>
      <w:r w:rsidRPr="00D0232F">
        <w:t>Registrert månedslønn i alt per 1</w:t>
      </w:r>
      <w:r w:rsidR="00072F19">
        <w:t>.</w:t>
      </w:r>
      <w:r w:rsidRPr="00D0232F">
        <w:t>9</w:t>
      </w:r>
      <w:r w:rsidR="00072F19">
        <w:t>.</w:t>
      </w:r>
      <w:r>
        <w:t>2014</w:t>
      </w:r>
      <w:r w:rsidRPr="00D0232F">
        <w:t xml:space="preserve">*12. Må ikke forveksles med årslønn for eksempel i tabell 1.1 som viser gjennomsnittlig årslønn for året. Lønnsbegrepet i denne tabellen er det samme som i tabell 1.1, dvs. </w:t>
      </w:r>
      <w:r>
        <w:t xml:space="preserve">fast </w:t>
      </w:r>
      <w:r w:rsidRPr="00D0232F">
        <w:t>avtalt lønn, uregelmessige tillegg og bonus, men eksklusiv overtid.</w:t>
      </w:r>
    </w:p>
    <w:p w14:paraId="3F8DE03F" w14:textId="77777777" w:rsidR="008551D4" w:rsidRDefault="008551D4" w:rsidP="006E305B">
      <w:pPr>
        <w:pStyle w:val="tabell-noter"/>
        <w:numPr>
          <w:ilvl w:val="0"/>
          <w:numId w:val="44"/>
        </w:numPr>
        <w:spacing w:after="0"/>
      </w:pPr>
      <w:r>
        <w:t>NOS Standard for næringsgruppering (SN07)</w:t>
      </w:r>
      <w:r w:rsidRPr="00D0232F">
        <w:t>.</w:t>
      </w:r>
    </w:p>
    <w:p w14:paraId="40E0B152" w14:textId="77777777" w:rsidR="008551D4" w:rsidRDefault="008551D4" w:rsidP="008551D4">
      <w:pPr>
        <w:pStyle w:val="Kilde"/>
      </w:pPr>
      <w:r w:rsidRPr="00CB0E17">
        <w:t>Kilde: Statistisk sentralbyrå, lønnsstatistikken.</w:t>
      </w:r>
    </w:p>
    <w:p w14:paraId="06FF67DE" w14:textId="77777777" w:rsidR="008551D4" w:rsidRPr="0020082A" w:rsidRDefault="008551D4" w:rsidP="00123426">
      <w:pPr>
        <w:pStyle w:val="Overskrift2"/>
      </w:pPr>
      <w:bookmarkStart w:id="171" w:name="_Toc383961346"/>
      <w:bookmarkStart w:id="172" w:name="_Toc422226832"/>
      <w:r w:rsidRPr="0020082A">
        <w:t>Lønnsfordelingen før skatt for lønnstakere 200</w:t>
      </w:r>
      <w:r w:rsidR="00D17E25">
        <w:t>5</w:t>
      </w:r>
      <w:r w:rsidRPr="0020082A">
        <w:t>-201</w:t>
      </w:r>
      <w:bookmarkEnd w:id="171"/>
      <w:r>
        <w:t>4</w:t>
      </w:r>
      <w:bookmarkEnd w:id="172"/>
    </w:p>
    <w:p w14:paraId="0F40514B" w14:textId="77777777" w:rsidR="008551D4" w:rsidRDefault="008551D4" w:rsidP="008551D4">
      <w:r>
        <w:t>Tallene som presenteres i dette avsnittet, omfatter en sammenveiing av lønnen for alle</w:t>
      </w:r>
      <w:r>
        <w:rPr>
          <w:rStyle w:val="Fotnotereferanse"/>
        </w:rPr>
        <w:footnoteReference w:id="7"/>
      </w:r>
      <w:r>
        <w:t xml:space="preserve"> lønnstakere basert på et materiale fra Statistisk sentralbyrå. Lønnsbegrepet er det samme som benyttes i tabell 1.1, dvs. fast avtalt lønn, uregelmessige tillegg og bonus, men eksklusiv overtid. </w:t>
      </w:r>
    </w:p>
    <w:p w14:paraId="317B7314" w14:textId="77777777" w:rsidR="008551D4" w:rsidRDefault="008551D4" w:rsidP="008551D4">
      <w:r>
        <w:t>Tabell 1.2</w:t>
      </w:r>
      <w:r w:rsidR="00186B84">
        <w:t>0</w:t>
      </w:r>
      <w:r>
        <w:t xml:space="preserve"> viser fordelingen av samlet lønn for alle ansatte i 2005, 2013 og 2014. Den viser hvor stor del av samlet lønnssum de ulike lønnsgruppene (desilene) mottar. I 2014 mottok de </w:t>
      </w:r>
      <w:r w:rsidRPr="005047E8">
        <w:t>10 prosentene (desil 1) med lavest lønn 5,4 prosent av samlet lønnssum, mens de 10 prosentene med høyest lønn (desil 10) mottok 19,6 prosent.</w:t>
      </w:r>
      <w:r>
        <w:t xml:space="preserve"> </w:t>
      </w:r>
    </w:p>
    <w:p w14:paraId="67FA8F05" w14:textId="77777777" w:rsidR="008551D4" w:rsidRDefault="008551D4" w:rsidP="008551D4">
      <w:r>
        <w:t xml:space="preserve">Fordelingen av samlet lønnssum blant lønnstakere fra 2005 til 2014 viser en forskyvning i lønnsfordelingen over denne perioden mot høyere andeler av samlet lønn for gruppene (desilene) med de høyeste lønningene. Gini-koeffisienten har økt fra 0,182 til 0,201. </w:t>
      </w:r>
      <w:r w:rsidRPr="00FF4962">
        <w:t>Gini-koeffisienten er et summarisk mål på inntektsulikhet og antar verdier mellom 0 og 1. Verdien 0 tilsier at inntektene er helt likt fordelt, mens en Gini-koeffisient lik 1 tilsier at en person mottar all inntekt</w:t>
      </w:r>
      <w:r>
        <w:t xml:space="preserve">. De 10 prosentene av lønnstakerne med de høyeste lønningene (desil 10), har økt sin andel av samlet lønn med 0,7 prosentpoeng til 19,6 prosent og desil 9 har økt sin andel med 0,4 prosentpoeng til 13,1 prosent. Dette har særlig skjedd på bekostning av desilene 1-4. </w:t>
      </w:r>
    </w:p>
    <w:p w14:paraId="124D9AF8" w14:textId="77777777" w:rsidR="008551D4" w:rsidRDefault="008551D4" w:rsidP="008551D4">
      <w:r>
        <w:t xml:space="preserve">Det siste året har andelen lønn som tilfalt lønnstakere i desil 10 </w:t>
      </w:r>
      <w:r w:rsidR="00655E7D">
        <w:t>falt</w:t>
      </w:r>
      <w:r>
        <w:t xml:space="preserve"> med 0,1 prosentpoeng</w:t>
      </w:r>
      <w:r w:rsidR="00655E7D">
        <w:t xml:space="preserve">. Samtidig falt andelen </w:t>
      </w:r>
      <w:r>
        <w:t>lønn</w:t>
      </w:r>
      <w:r w:rsidR="00655E7D" w:rsidRPr="00655E7D">
        <w:t xml:space="preserve"> </w:t>
      </w:r>
      <w:r w:rsidR="00655E7D">
        <w:t>som tilfalt</w:t>
      </w:r>
      <w:r>
        <w:t xml:space="preserve"> de laveste desilene </w:t>
      </w:r>
      <w:r w:rsidR="00655E7D">
        <w:t>også med 0,1 prosentpoeng</w:t>
      </w:r>
      <w:r>
        <w:t>. Når vi ser på hele gruppen av lønnstakere under ett,</w:t>
      </w:r>
      <w:r w:rsidR="00072F19">
        <w:t xml:space="preserve"> </w:t>
      </w:r>
      <w:r w:rsidR="00534700">
        <w:t>var det ingen endring i</w:t>
      </w:r>
      <w:r>
        <w:t xml:space="preserve"> lønnsforskjellene målt ved Gini-koefisienten. Siden personer vil kunne bevege seg mellom lønnsgrupper i perioden, kan ikke fordelingen si noe direkte om lønnsutviklingen for den enkelte.</w:t>
      </w:r>
    </w:p>
    <w:p w14:paraId="463EE200" w14:textId="77777777" w:rsidR="008551D4" w:rsidRDefault="008551D4" w:rsidP="008551D4">
      <w:r>
        <w:t>Tabell 1.</w:t>
      </w:r>
      <w:r w:rsidR="00573205">
        <w:t xml:space="preserve">20 </w:t>
      </w:r>
      <w:r>
        <w:t>viser også en oppsplitting av desil 10 i persentiler. I perioden 2005 til 2014 økte andelen mottatt lønn for persentilene 91</w:t>
      </w:r>
      <w:r w:rsidR="00534700">
        <w:t>,</w:t>
      </w:r>
      <w:r>
        <w:t xml:space="preserve"> </w:t>
      </w:r>
      <w:r w:rsidR="00072F19">
        <w:t>93,</w:t>
      </w:r>
      <w:r>
        <w:t>98</w:t>
      </w:r>
      <w:r w:rsidR="00534700">
        <w:t xml:space="preserve">, 99 og </w:t>
      </w:r>
      <w:r>
        <w:t xml:space="preserve">100. For andre persentiler i den øverste desilen var andelen mottatt lønn om lag uendret fra 2005 til </w:t>
      </w:r>
      <w:r w:rsidR="00881AA7">
        <w:t>2014</w:t>
      </w:r>
      <w:r>
        <w:t xml:space="preserve">. Persentil 100 (prosenten med høyest lønn) mottok 3,2 prosent av samlet lønn i 2005 og 3,4 prosent i 2014. For denne gruppen, som besto av om </w:t>
      </w:r>
      <w:r w:rsidRPr="00F53FE3">
        <w:t xml:space="preserve">lag </w:t>
      </w:r>
      <w:r>
        <w:t>20</w:t>
      </w:r>
      <w:r w:rsidRPr="00F53FE3">
        <w:t xml:space="preserve"> 000</w:t>
      </w:r>
      <w:r>
        <w:t xml:space="preserve"> lønnstakere i 2014, var gjennomsnittslønnen dette året</w:t>
      </w:r>
      <w:r w:rsidR="00881AA7">
        <w:t xml:space="preserve"> </w:t>
      </w:r>
      <w:r w:rsidR="00186B84">
        <w:br/>
      </w:r>
      <w:r w:rsidRPr="00A21E66">
        <w:t xml:space="preserve">1 729 300 </w:t>
      </w:r>
      <w:r>
        <w:t>kroner.</w:t>
      </w:r>
    </w:p>
    <w:p w14:paraId="757105E5" w14:textId="77777777" w:rsidR="008551D4" w:rsidRDefault="008551D4" w:rsidP="008551D4">
      <w:r w:rsidRPr="00443B43">
        <w:t>Siste kolonne i tabellen viser den prosentvise endringen i gjennomsnittlig lønnsinntekt fra 2005 til 2014</w:t>
      </w:r>
      <w:r w:rsidRPr="00D076C2">
        <w:t xml:space="preserve">. </w:t>
      </w:r>
      <w:r w:rsidRPr="00A61741">
        <w:t>Samlet sett økte gjennomsnittlig lønnsinntekt i perioden med 45,1 prosent. Det var økende lønnsvekst fra desil 1 til 10. I desil 1 var lønnsveksten 30,5 prosent og i desil 10 50,5 prosent.</w:t>
      </w:r>
      <w:r w:rsidRPr="0061413E">
        <w:rPr>
          <w:highlight w:val="yellow"/>
        </w:rPr>
        <w:t xml:space="preserve"> </w:t>
      </w:r>
    </w:p>
    <w:p w14:paraId="0BFC119D" w14:textId="48D29334" w:rsidR="008551D4" w:rsidRDefault="008551D4" w:rsidP="008551D4">
      <w:r>
        <w:t>Tabell 1.</w:t>
      </w:r>
      <w:r w:rsidR="001037E8">
        <w:t xml:space="preserve">20 </w:t>
      </w:r>
      <w:r>
        <w:t xml:space="preserve">viser også fordelingen av lønn blant menn og kvinner. Spredningen i lønn målt ved Gini-koeffisienten er større blant menn enn kvinner; 0,220 for menn og 0,165 for kvinner i 2014. På den annen side har spredningen, målt som prosentvis økning i Gini-koeffisienten, økt mer blant kvinner enn for menn i perioden 1997 til 2014. I perioden 2005 til 2014 er forskjellen i økningen i </w:t>
      </w:r>
      <w:r w:rsidR="00A864A2">
        <w:t>lønnsspredningen</w:t>
      </w:r>
      <w:r>
        <w:t xml:space="preserve"> mindre. Figur 1.3 viser utviklingen i Gini-koefisienten for kvinner og menn.</w:t>
      </w:r>
    </w:p>
    <w:p w14:paraId="603C6B68" w14:textId="77777777" w:rsidR="008C24E1" w:rsidRDefault="008551D4" w:rsidP="008551D4">
      <w:r>
        <w:t>Tabell 1.</w:t>
      </w:r>
      <w:r w:rsidR="001037E8">
        <w:t xml:space="preserve">21 </w:t>
      </w:r>
      <w:r>
        <w:t xml:space="preserve">viser fordelingen av lønn blant ansatte i privat og i offentlig sektor. I offentlig sektor mottok i 2014 de </w:t>
      </w:r>
      <w:r w:rsidRPr="005047E8">
        <w:t xml:space="preserve">10 prosentene (desil 1) med lavest lønn </w:t>
      </w:r>
      <w:r>
        <w:t>sektor 6,</w:t>
      </w:r>
      <w:r w:rsidR="009B4C44">
        <w:t>8</w:t>
      </w:r>
      <w:r w:rsidR="009B4C44" w:rsidRPr="005047E8">
        <w:t xml:space="preserve"> </w:t>
      </w:r>
      <w:r w:rsidRPr="005047E8">
        <w:t>prosent av samlet lønnssum, mens de 10 prosentene med høyest lønn (desil 10) mottok 1</w:t>
      </w:r>
      <w:r>
        <w:t>5</w:t>
      </w:r>
      <w:r w:rsidRPr="005047E8">
        <w:t>,</w:t>
      </w:r>
      <w:r>
        <w:t>8</w:t>
      </w:r>
      <w:r w:rsidRPr="005047E8">
        <w:t xml:space="preserve"> prosent.</w:t>
      </w:r>
      <w:r>
        <w:t xml:space="preserve"> I privat sektor mottok</w:t>
      </w:r>
      <w:r w:rsidR="009D37AB">
        <w:t xml:space="preserve"> </w:t>
      </w:r>
      <w:r>
        <w:t xml:space="preserve">de </w:t>
      </w:r>
      <w:r w:rsidRPr="005047E8">
        <w:t xml:space="preserve">10 prosentene med lavest lønn </w:t>
      </w:r>
      <w:r>
        <w:t>sektor 5,1</w:t>
      </w:r>
      <w:r w:rsidRPr="005047E8">
        <w:t xml:space="preserve"> prosent av samlet lønnssum, mens de 10 prosentene med høyest lønn (desil 10) mottok </w:t>
      </w:r>
      <w:r>
        <w:t>20,7</w:t>
      </w:r>
      <w:r w:rsidRPr="005047E8">
        <w:t xml:space="preserve"> prosent.</w:t>
      </w:r>
    </w:p>
    <w:p w14:paraId="08F1578A" w14:textId="77777777" w:rsidR="008C24E1" w:rsidRDefault="008C24E1">
      <w:pPr>
        <w:spacing w:after="0"/>
      </w:pPr>
      <w:r>
        <w:br w:type="page"/>
      </w:r>
    </w:p>
    <w:p w14:paraId="2DB80C0C" w14:textId="77777777" w:rsidR="008551D4" w:rsidRDefault="008551D4" w:rsidP="008551D4"/>
    <w:p w14:paraId="08B2E3B5" w14:textId="77777777" w:rsidR="008551D4" w:rsidRDefault="008551D4" w:rsidP="006E305B">
      <w:pPr>
        <w:pStyle w:val="tabell-tittel"/>
        <w:numPr>
          <w:ilvl w:val="6"/>
          <w:numId w:val="43"/>
        </w:numPr>
        <w:spacing w:before="120" w:line="240" w:lineRule="auto"/>
      </w:pPr>
      <w:r w:rsidRPr="00D37B55">
        <w:t>Fordelingen av samlet lønn per heltidsekvivalent for alle ansatte. Per september/oktober/desember 200</w:t>
      </w:r>
      <w:r w:rsidR="00D076C2">
        <w:t>5</w:t>
      </w:r>
      <w:r w:rsidRPr="00D37B55">
        <w:t>, 201</w:t>
      </w:r>
      <w:r>
        <w:t>3</w:t>
      </w:r>
      <w:r w:rsidRPr="00D37B55">
        <w:t xml:space="preserve"> og 201</w:t>
      </w:r>
      <w:r>
        <w:t>4</w:t>
      </w:r>
      <w:r w:rsidRPr="00D37B55">
        <w:t xml:space="preserve">. </w:t>
      </w:r>
    </w:p>
    <w:tbl>
      <w:tblPr>
        <w:tblStyle w:val="TrykketTabell"/>
        <w:tblW w:w="5181" w:type="pct"/>
        <w:tblCellMar>
          <w:left w:w="85" w:type="dxa"/>
        </w:tblCellMar>
        <w:tblLook w:val="04A0" w:firstRow="1" w:lastRow="0" w:firstColumn="1" w:lastColumn="0" w:noHBand="0" w:noVBand="1"/>
      </w:tblPr>
      <w:tblGrid>
        <w:gridCol w:w="1405"/>
        <w:gridCol w:w="216"/>
        <w:gridCol w:w="32"/>
        <w:gridCol w:w="1068"/>
        <w:gridCol w:w="801"/>
        <w:gridCol w:w="148"/>
        <w:gridCol w:w="1250"/>
        <w:gridCol w:w="1419"/>
        <w:gridCol w:w="1023"/>
        <w:gridCol w:w="2036"/>
      </w:tblGrid>
      <w:tr w:rsidR="008551D4" w:rsidRPr="00086565" w14:paraId="1199305D" w14:textId="77777777" w:rsidTr="009D37AB">
        <w:trPr>
          <w:cnfStyle w:val="100000000000" w:firstRow="1" w:lastRow="0" w:firstColumn="0" w:lastColumn="0" w:oddVBand="0" w:evenVBand="0" w:oddHBand="0" w:evenHBand="0" w:firstRowFirstColumn="0" w:firstRowLastColumn="0" w:lastRowFirstColumn="0" w:lastRowLastColumn="0"/>
          <w:trHeight w:val="145"/>
        </w:trPr>
        <w:tc>
          <w:tcPr>
            <w:tcW w:w="748" w:type="pct"/>
            <w:tcBorders>
              <w:bottom w:val="nil"/>
            </w:tcBorders>
            <w:vAlign w:val="center"/>
            <w:hideMark/>
          </w:tcPr>
          <w:p w14:paraId="51D644D6" w14:textId="77777777" w:rsidR="008551D4" w:rsidRPr="00086565" w:rsidRDefault="008551D4" w:rsidP="009D37AB">
            <w:pPr>
              <w:spacing w:before="100" w:beforeAutospacing="1" w:after="100" w:afterAutospacing="1"/>
              <w:jc w:val="right"/>
              <w:rPr>
                <w:rFonts w:ascii="Times New Roman" w:hAnsi="Times New Roman"/>
                <w:color w:val="000000"/>
                <w:spacing w:val="6"/>
                <w:sz w:val="20"/>
              </w:rPr>
            </w:pPr>
            <w:r w:rsidRPr="00086565">
              <w:rPr>
                <w:rFonts w:ascii="Times New Roman" w:hAnsi="Times New Roman"/>
                <w:color w:val="000000"/>
                <w:spacing w:val="6"/>
                <w:sz w:val="20"/>
              </w:rPr>
              <w:t> </w:t>
            </w:r>
          </w:p>
        </w:tc>
        <w:tc>
          <w:tcPr>
            <w:tcW w:w="1126" w:type="pct"/>
            <w:gridSpan w:val="4"/>
            <w:tcBorders>
              <w:bottom w:val="nil"/>
            </w:tcBorders>
            <w:vAlign w:val="center"/>
            <w:hideMark/>
          </w:tcPr>
          <w:p w14:paraId="241B946B" w14:textId="77777777" w:rsidR="008551D4" w:rsidRPr="00086565" w:rsidRDefault="008551D4" w:rsidP="009D37AB">
            <w:pPr>
              <w:spacing w:before="100" w:beforeAutospacing="1" w:after="100" w:afterAutospacing="1"/>
              <w:jc w:val="center"/>
              <w:rPr>
                <w:rFonts w:ascii="Times New Roman" w:hAnsi="Times New Roman"/>
                <w:color w:val="000000"/>
                <w:spacing w:val="6"/>
                <w:sz w:val="20"/>
              </w:rPr>
            </w:pPr>
            <w:r w:rsidRPr="00086565">
              <w:rPr>
                <w:rFonts w:ascii="Times New Roman" w:hAnsi="Times New Roman"/>
                <w:color w:val="000000"/>
                <w:spacing w:val="6"/>
                <w:sz w:val="20"/>
              </w:rPr>
              <w:t>200</w:t>
            </w:r>
            <w:r>
              <w:rPr>
                <w:rFonts w:ascii="Times New Roman" w:hAnsi="Times New Roman"/>
                <w:color w:val="000000"/>
                <w:spacing w:val="6"/>
                <w:sz w:val="20"/>
              </w:rPr>
              <w:t>5</w:t>
            </w:r>
          </w:p>
        </w:tc>
        <w:tc>
          <w:tcPr>
            <w:tcW w:w="744" w:type="pct"/>
            <w:gridSpan w:val="2"/>
            <w:tcBorders>
              <w:bottom w:val="nil"/>
            </w:tcBorders>
            <w:vAlign w:val="center"/>
            <w:hideMark/>
          </w:tcPr>
          <w:p w14:paraId="51199C12" w14:textId="77777777" w:rsidR="008551D4" w:rsidRPr="00086565" w:rsidRDefault="008551D4" w:rsidP="009D37AB">
            <w:pPr>
              <w:spacing w:before="100" w:beforeAutospacing="1" w:after="100" w:afterAutospacing="1"/>
              <w:ind w:right="172"/>
              <w:jc w:val="right"/>
              <w:rPr>
                <w:rFonts w:ascii="Times New Roman" w:hAnsi="Times New Roman"/>
                <w:color w:val="000000"/>
                <w:spacing w:val="6"/>
                <w:sz w:val="20"/>
              </w:rPr>
            </w:pPr>
            <w:r w:rsidRPr="00086565">
              <w:rPr>
                <w:rFonts w:ascii="Times New Roman" w:hAnsi="Times New Roman"/>
                <w:color w:val="000000"/>
                <w:spacing w:val="6"/>
                <w:sz w:val="20"/>
              </w:rPr>
              <w:t>201</w:t>
            </w:r>
            <w:r>
              <w:rPr>
                <w:rFonts w:ascii="Times New Roman" w:hAnsi="Times New Roman"/>
                <w:color w:val="000000"/>
                <w:spacing w:val="6"/>
                <w:sz w:val="20"/>
              </w:rPr>
              <w:t>3</w:t>
            </w:r>
          </w:p>
        </w:tc>
        <w:tc>
          <w:tcPr>
            <w:tcW w:w="1299" w:type="pct"/>
            <w:gridSpan w:val="2"/>
            <w:tcBorders>
              <w:bottom w:val="nil"/>
            </w:tcBorders>
            <w:vAlign w:val="center"/>
            <w:hideMark/>
          </w:tcPr>
          <w:p w14:paraId="5E853827" w14:textId="77777777" w:rsidR="008551D4" w:rsidRPr="00086565" w:rsidRDefault="008551D4" w:rsidP="009D37AB">
            <w:pPr>
              <w:tabs>
                <w:tab w:val="left" w:pos="2163"/>
              </w:tabs>
              <w:spacing w:before="100" w:beforeAutospacing="1" w:after="100" w:afterAutospacing="1"/>
              <w:ind w:right="459"/>
              <w:jc w:val="center"/>
              <w:rPr>
                <w:rFonts w:ascii="Times New Roman" w:hAnsi="Times New Roman"/>
                <w:color w:val="000000"/>
                <w:spacing w:val="6"/>
                <w:sz w:val="20"/>
              </w:rPr>
            </w:pPr>
            <w:r>
              <w:rPr>
                <w:rFonts w:ascii="Times New Roman" w:hAnsi="Times New Roman"/>
                <w:color w:val="000000"/>
                <w:spacing w:val="6"/>
                <w:sz w:val="20"/>
              </w:rPr>
              <w:t xml:space="preserve">                </w:t>
            </w:r>
            <w:r w:rsidRPr="00086565">
              <w:rPr>
                <w:rFonts w:ascii="Times New Roman" w:hAnsi="Times New Roman"/>
                <w:color w:val="000000"/>
                <w:spacing w:val="6"/>
                <w:sz w:val="20"/>
              </w:rPr>
              <w:t>201</w:t>
            </w:r>
            <w:r>
              <w:rPr>
                <w:rFonts w:ascii="Times New Roman" w:hAnsi="Times New Roman"/>
                <w:color w:val="000000"/>
                <w:spacing w:val="6"/>
                <w:sz w:val="20"/>
              </w:rPr>
              <w:t>4</w:t>
            </w:r>
          </w:p>
        </w:tc>
        <w:tc>
          <w:tcPr>
            <w:tcW w:w="1083" w:type="pct"/>
            <w:vMerge w:val="restart"/>
            <w:tcBorders>
              <w:bottom w:val="nil"/>
            </w:tcBorders>
            <w:vAlign w:val="center"/>
            <w:hideMark/>
          </w:tcPr>
          <w:p w14:paraId="37C8134D" w14:textId="77777777" w:rsidR="008551D4" w:rsidRPr="00086565" w:rsidRDefault="008551D4" w:rsidP="009D37AB">
            <w:pPr>
              <w:tabs>
                <w:tab w:val="left" w:pos="674"/>
              </w:tabs>
              <w:spacing w:before="100" w:beforeAutospacing="1" w:after="100" w:afterAutospacing="1"/>
              <w:ind w:left="176" w:right="-60"/>
              <w:jc w:val="right"/>
              <w:rPr>
                <w:rFonts w:ascii="Times New Roman" w:hAnsi="Times New Roman"/>
                <w:color w:val="000000"/>
                <w:spacing w:val="6"/>
                <w:sz w:val="20"/>
              </w:rPr>
            </w:pPr>
            <w:r w:rsidRPr="00086565">
              <w:rPr>
                <w:rFonts w:ascii="Times New Roman" w:hAnsi="Times New Roman"/>
                <w:color w:val="000000"/>
                <w:spacing w:val="6"/>
                <w:sz w:val="20"/>
              </w:rPr>
              <w:t xml:space="preserve">Vekst i årslønn i prosent </w:t>
            </w:r>
            <w:r w:rsidR="002F6426" w:rsidRPr="00086565">
              <w:rPr>
                <w:rFonts w:ascii="Times New Roman" w:hAnsi="Times New Roman"/>
                <w:color w:val="000000"/>
                <w:spacing w:val="6"/>
                <w:sz w:val="20"/>
              </w:rPr>
              <w:t>200</w:t>
            </w:r>
            <w:r w:rsidR="002F6426">
              <w:rPr>
                <w:rFonts w:ascii="Times New Roman" w:hAnsi="Times New Roman"/>
                <w:color w:val="000000"/>
                <w:spacing w:val="6"/>
                <w:sz w:val="20"/>
              </w:rPr>
              <w:t>5</w:t>
            </w:r>
            <w:r w:rsidRPr="00086565">
              <w:rPr>
                <w:rFonts w:ascii="Times New Roman" w:hAnsi="Times New Roman"/>
                <w:color w:val="000000"/>
                <w:spacing w:val="6"/>
                <w:sz w:val="20"/>
              </w:rPr>
              <w:noBreakHyphen/>
            </w:r>
            <w:r w:rsidR="002F6426" w:rsidRPr="00086565">
              <w:rPr>
                <w:rFonts w:ascii="Times New Roman" w:hAnsi="Times New Roman"/>
                <w:color w:val="000000"/>
                <w:spacing w:val="6"/>
                <w:sz w:val="20"/>
              </w:rPr>
              <w:t>201</w:t>
            </w:r>
            <w:r w:rsidR="002F6426">
              <w:rPr>
                <w:rFonts w:ascii="Times New Roman" w:hAnsi="Times New Roman"/>
                <w:color w:val="000000"/>
                <w:spacing w:val="6"/>
                <w:sz w:val="20"/>
              </w:rPr>
              <w:t>4</w:t>
            </w:r>
          </w:p>
        </w:tc>
      </w:tr>
      <w:tr w:rsidR="008551D4" w:rsidRPr="00086565" w14:paraId="70C9729A" w14:textId="77777777" w:rsidTr="009D37AB">
        <w:trPr>
          <w:trHeight w:val="133"/>
        </w:trPr>
        <w:tc>
          <w:tcPr>
            <w:tcW w:w="748" w:type="pct"/>
            <w:tcBorders>
              <w:bottom w:val="single" w:sz="4" w:space="0" w:color="auto"/>
            </w:tcBorders>
            <w:vAlign w:val="center"/>
            <w:hideMark/>
          </w:tcPr>
          <w:p w14:paraId="3CE12CE3" w14:textId="77777777" w:rsidR="008551D4" w:rsidRPr="00086565" w:rsidRDefault="008551D4" w:rsidP="009D37AB">
            <w:pPr>
              <w:spacing w:before="100" w:beforeAutospacing="1" w:after="100" w:afterAutospacing="1"/>
              <w:jc w:val="right"/>
              <w:rPr>
                <w:rFonts w:ascii="Times New Roman" w:hAnsi="Times New Roman"/>
                <w:color w:val="000000"/>
                <w:spacing w:val="6"/>
                <w:sz w:val="20"/>
              </w:rPr>
            </w:pPr>
          </w:p>
        </w:tc>
        <w:tc>
          <w:tcPr>
            <w:tcW w:w="700" w:type="pct"/>
            <w:gridSpan w:val="3"/>
            <w:tcBorders>
              <w:bottom w:val="single" w:sz="4" w:space="0" w:color="auto"/>
            </w:tcBorders>
            <w:vAlign w:val="center"/>
            <w:hideMark/>
          </w:tcPr>
          <w:p w14:paraId="2583D6C9" w14:textId="77777777" w:rsidR="008551D4" w:rsidRPr="00086565" w:rsidRDefault="008551D4" w:rsidP="009D37AB">
            <w:pPr>
              <w:spacing w:before="100" w:beforeAutospacing="1" w:after="100" w:afterAutospacing="1"/>
              <w:jc w:val="right"/>
              <w:rPr>
                <w:rFonts w:ascii="Times New Roman" w:hAnsi="Times New Roman"/>
                <w:color w:val="000000"/>
                <w:spacing w:val="6"/>
                <w:sz w:val="20"/>
              </w:rPr>
            </w:pPr>
            <w:r w:rsidRPr="00086565">
              <w:rPr>
                <w:rFonts w:ascii="Times New Roman" w:hAnsi="Times New Roman"/>
                <w:color w:val="000000"/>
                <w:spacing w:val="6"/>
                <w:sz w:val="20"/>
              </w:rPr>
              <w:t>Årslønn</w:t>
            </w:r>
            <w:r w:rsidRPr="00086565">
              <w:rPr>
                <w:rFonts w:ascii="Times New Roman" w:hAnsi="Times New Roman"/>
                <w:color w:val="000000"/>
                <w:spacing w:val="6"/>
                <w:sz w:val="20"/>
                <w:vertAlign w:val="superscript"/>
              </w:rPr>
              <w:t>1</w:t>
            </w:r>
          </w:p>
        </w:tc>
        <w:tc>
          <w:tcPr>
            <w:tcW w:w="426" w:type="pct"/>
            <w:tcBorders>
              <w:bottom w:val="single" w:sz="4" w:space="0" w:color="auto"/>
            </w:tcBorders>
            <w:vAlign w:val="center"/>
            <w:hideMark/>
          </w:tcPr>
          <w:p w14:paraId="4DD39A16" w14:textId="77777777" w:rsidR="008551D4" w:rsidRPr="00086565" w:rsidRDefault="008551D4" w:rsidP="009D37AB">
            <w:pPr>
              <w:spacing w:before="100" w:beforeAutospacing="1" w:after="100" w:afterAutospacing="1"/>
              <w:ind w:right="-108"/>
              <w:jc w:val="right"/>
              <w:rPr>
                <w:rFonts w:ascii="Times New Roman" w:hAnsi="Times New Roman"/>
                <w:color w:val="000000"/>
                <w:spacing w:val="6"/>
                <w:sz w:val="20"/>
              </w:rPr>
            </w:pPr>
            <w:r w:rsidRPr="00086565">
              <w:rPr>
                <w:rFonts w:ascii="Times New Roman" w:hAnsi="Times New Roman"/>
                <w:color w:val="000000"/>
                <w:spacing w:val="6"/>
                <w:sz w:val="20"/>
              </w:rPr>
              <w:t>Andel</w:t>
            </w:r>
            <w:r w:rsidRPr="00086565">
              <w:rPr>
                <w:rFonts w:ascii="Times New Roman" w:hAnsi="Times New Roman"/>
                <w:color w:val="000000"/>
                <w:spacing w:val="6"/>
                <w:sz w:val="20"/>
                <w:vertAlign w:val="superscript"/>
              </w:rPr>
              <w:t>2</w:t>
            </w:r>
          </w:p>
        </w:tc>
        <w:tc>
          <w:tcPr>
            <w:tcW w:w="744" w:type="pct"/>
            <w:gridSpan w:val="2"/>
            <w:tcBorders>
              <w:bottom w:val="single" w:sz="4" w:space="0" w:color="auto"/>
            </w:tcBorders>
            <w:vAlign w:val="center"/>
            <w:hideMark/>
          </w:tcPr>
          <w:p w14:paraId="49CB1941" w14:textId="77777777" w:rsidR="008551D4" w:rsidRPr="00086565" w:rsidRDefault="008551D4" w:rsidP="009D37AB">
            <w:pPr>
              <w:spacing w:before="100" w:beforeAutospacing="1" w:after="100" w:afterAutospacing="1"/>
              <w:jc w:val="right"/>
              <w:rPr>
                <w:rFonts w:ascii="Times New Roman" w:hAnsi="Times New Roman"/>
                <w:color w:val="000000"/>
                <w:spacing w:val="6"/>
                <w:sz w:val="20"/>
              </w:rPr>
            </w:pPr>
            <w:r w:rsidRPr="00086565">
              <w:rPr>
                <w:rFonts w:ascii="Times New Roman" w:hAnsi="Times New Roman"/>
                <w:color w:val="000000"/>
                <w:spacing w:val="6"/>
                <w:sz w:val="20"/>
              </w:rPr>
              <w:t>Andel</w:t>
            </w:r>
            <w:r w:rsidRPr="00086565">
              <w:rPr>
                <w:rFonts w:ascii="Times New Roman" w:hAnsi="Times New Roman"/>
                <w:color w:val="000000"/>
                <w:spacing w:val="6"/>
                <w:sz w:val="20"/>
                <w:vertAlign w:val="superscript"/>
              </w:rPr>
              <w:t>2</w:t>
            </w:r>
          </w:p>
        </w:tc>
        <w:tc>
          <w:tcPr>
            <w:tcW w:w="755" w:type="pct"/>
            <w:tcBorders>
              <w:bottom w:val="single" w:sz="4" w:space="0" w:color="auto"/>
            </w:tcBorders>
            <w:vAlign w:val="center"/>
            <w:hideMark/>
          </w:tcPr>
          <w:p w14:paraId="0F94B599" w14:textId="77777777" w:rsidR="008551D4" w:rsidRPr="00086565" w:rsidRDefault="008551D4" w:rsidP="009D37AB">
            <w:pPr>
              <w:spacing w:before="100" w:beforeAutospacing="1" w:after="100" w:afterAutospacing="1"/>
              <w:jc w:val="right"/>
              <w:rPr>
                <w:rFonts w:ascii="Times New Roman" w:hAnsi="Times New Roman"/>
                <w:color w:val="000000"/>
                <w:spacing w:val="6"/>
                <w:sz w:val="20"/>
              </w:rPr>
            </w:pPr>
            <w:r w:rsidRPr="00086565">
              <w:rPr>
                <w:rFonts w:ascii="Times New Roman" w:hAnsi="Times New Roman"/>
                <w:color w:val="000000"/>
                <w:spacing w:val="6"/>
                <w:sz w:val="20"/>
              </w:rPr>
              <w:t>Årslønn</w:t>
            </w:r>
            <w:r w:rsidRPr="00086565">
              <w:rPr>
                <w:rFonts w:ascii="Times New Roman" w:hAnsi="Times New Roman"/>
                <w:color w:val="000000"/>
                <w:spacing w:val="6"/>
                <w:sz w:val="20"/>
                <w:vertAlign w:val="superscript"/>
              </w:rPr>
              <w:t>1</w:t>
            </w:r>
          </w:p>
        </w:tc>
        <w:tc>
          <w:tcPr>
            <w:tcW w:w="544" w:type="pct"/>
            <w:tcBorders>
              <w:bottom w:val="single" w:sz="4" w:space="0" w:color="auto"/>
            </w:tcBorders>
            <w:vAlign w:val="center"/>
            <w:hideMark/>
          </w:tcPr>
          <w:p w14:paraId="57076009" w14:textId="77777777" w:rsidR="008551D4" w:rsidRPr="00086565" w:rsidRDefault="008551D4" w:rsidP="009D37AB">
            <w:pPr>
              <w:spacing w:before="100" w:beforeAutospacing="1" w:after="100" w:afterAutospacing="1"/>
              <w:ind w:right="-108"/>
              <w:jc w:val="right"/>
              <w:rPr>
                <w:rFonts w:ascii="Times New Roman" w:hAnsi="Times New Roman"/>
                <w:color w:val="000000"/>
                <w:spacing w:val="6"/>
                <w:sz w:val="20"/>
              </w:rPr>
            </w:pPr>
            <w:r w:rsidRPr="00086565">
              <w:rPr>
                <w:rFonts w:ascii="Times New Roman" w:hAnsi="Times New Roman"/>
                <w:color w:val="000000"/>
                <w:spacing w:val="6"/>
                <w:sz w:val="20"/>
              </w:rPr>
              <w:t>Andel</w:t>
            </w:r>
            <w:r w:rsidRPr="00086565">
              <w:rPr>
                <w:rFonts w:ascii="Times New Roman" w:hAnsi="Times New Roman"/>
                <w:color w:val="000000"/>
                <w:spacing w:val="6"/>
                <w:sz w:val="20"/>
                <w:vertAlign w:val="superscript"/>
              </w:rPr>
              <w:t>2</w:t>
            </w:r>
          </w:p>
        </w:tc>
        <w:tc>
          <w:tcPr>
            <w:tcW w:w="1083" w:type="pct"/>
            <w:vMerge/>
            <w:tcBorders>
              <w:bottom w:val="single" w:sz="4" w:space="0" w:color="auto"/>
            </w:tcBorders>
            <w:vAlign w:val="center"/>
            <w:hideMark/>
          </w:tcPr>
          <w:p w14:paraId="50FC0E9D" w14:textId="77777777" w:rsidR="008551D4" w:rsidRPr="00086565" w:rsidRDefault="008551D4" w:rsidP="009D37AB">
            <w:pPr>
              <w:spacing w:before="100" w:beforeAutospacing="1" w:after="100" w:afterAutospacing="1"/>
              <w:jc w:val="right"/>
              <w:rPr>
                <w:rFonts w:ascii="Times New Roman" w:hAnsi="Times New Roman"/>
                <w:color w:val="000000"/>
                <w:spacing w:val="6"/>
                <w:sz w:val="20"/>
              </w:rPr>
            </w:pPr>
          </w:p>
        </w:tc>
      </w:tr>
      <w:tr w:rsidR="008551D4" w:rsidRPr="00086565" w14:paraId="23B75FE3" w14:textId="77777777" w:rsidTr="009D37AB">
        <w:trPr>
          <w:trHeight w:val="112"/>
        </w:trPr>
        <w:tc>
          <w:tcPr>
            <w:tcW w:w="748" w:type="pct"/>
            <w:tcBorders>
              <w:top w:val="single" w:sz="4" w:space="0" w:color="auto"/>
            </w:tcBorders>
            <w:vAlign w:val="center"/>
            <w:hideMark/>
          </w:tcPr>
          <w:p w14:paraId="7B3E686A" w14:textId="77777777" w:rsidR="008551D4" w:rsidRPr="00AF3797" w:rsidRDefault="008551D4" w:rsidP="009D37AB">
            <w:pPr>
              <w:spacing w:before="100" w:beforeAutospacing="1" w:after="100" w:afterAutospacing="1"/>
              <w:rPr>
                <w:rFonts w:ascii="Times New Roman" w:hAnsi="Times New Roman"/>
                <w:b/>
                <w:bCs/>
                <w:color w:val="000000"/>
                <w:spacing w:val="6"/>
                <w:sz w:val="20"/>
              </w:rPr>
            </w:pPr>
            <w:r w:rsidRPr="00AF3797">
              <w:rPr>
                <w:rFonts w:ascii="Times New Roman" w:hAnsi="Times New Roman"/>
                <w:b/>
                <w:bCs/>
                <w:color w:val="000000"/>
                <w:spacing w:val="6"/>
                <w:sz w:val="20"/>
              </w:rPr>
              <w:t>Alle </w:t>
            </w:r>
          </w:p>
        </w:tc>
        <w:tc>
          <w:tcPr>
            <w:tcW w:w="700" w:type="pct"/>
            <w:gridSpan w:val="3"/>
            <w:tcBorders>
              <w:top w:val="single" w:sz="4" w:space="0" w:color="auto"/>
            </w:tcBorders>
            <w:vAlign w:val="bottom"/>
            <w:hideMark/>
          </w:tcPr>
          <w:p w14:paraId="2438AF0F" w14:textId="77777777" w:rsidR="008551D4" w:rsidRPr="00AF3797" w:rsidRDefault="008551D4" w:rsidP="009D37AB">
            <w:pPr>
              <w:spacing w:before="100" w:beforeAutospacing="1" w:after="100" w:afterAutospacing="1"/>
              <w:jc w:val="right"/>
              <w:rPr>
                <w:rFonts w:ascii="Times New Roman" w:hAnsi="Times New Roman"/>
                <w:b/>
                <w:sz w:val="20"/>
              </w:rPr>
            </w:pPr>
            <w:r w:rsidRPr="00AF3797">
              <w:rPr>
                <w:rFonts w:ascii="Times New Roman" w:hAnsi="Times New Roman"/>
                <w:b/>
                <w:sz w:val="20"/>
              </w:rPr>
              <w:t xml:space="preserve">       349 900 </w:t>
            </w:r>
          </w:p>
        </w:tc>
        <w:tc>
          <w:tcPr>
            <w:tcW w:w="426" w:type="pct"/>
            <w:tcBorders>
              <w:top w:val="single" w:sz="4" w:space="0" w:color="auto"/>
            </w:tcBorders>
            <w:vAlign w:val="bottom"/>
            <w:hideMark/>
          </w:tcPr>
          <w:p w14:paraId="2DA0925D" w14:textId="77777777" w:rsidR="008551D4" w:rsidRPr="00AF3797" w:rsidRDefault="008551D4" w:rsidP="009D37AB">
            <w:pPr>
              <w:spacing w:before="100" w:beforeAutospacing="1" w:after="100" w:afterAutospacing="1"/>
              <w:jc w:val="right"/>
              <w:rPr>
                <w:rFonts w:ascii="Times New Roman" w:hAnsi="Times New Roman"/>
                <w:b/>
                <w:sz w:val="20"/>
              </w:rPr>
            </w:pPr>
            <w:r w:rsidRPr="00AF3797">
              <w:rPr>
                <w:rFonts w:ascii="Times New Roman" w:hAnsi="Times New Roman"/>
                <w:b/>
                <w:sz w:val="20"/>
              </w:rPr>
              <w:t>100,0</w:t>
            </w:r>
          </w:p>
        </w:tc>
        <w:tc>
          <w:tcPr>
            <w:tcW w:w="744" w:type="pct"/>
            <w:gridSpan w:val="2"/>
            <w:tcBorders>
              <w:top w:val="single" w:sz="4" w:space="0" w:color="auto"/>
            </w:tcBorders>
            <w:vAlign w:val="bottom"/>
            <w:hideMark/>
          </w:tcPr>
          <w:p w14:paraId="041BD14E" w14:textId="77777777" w:rsidR="008551D4" w:rsidRPr="00AF3797" w:rsidRDefault="008551D4" w:rsidP="009D37AB">
            <w:pPr>
              <w:spacing w:before="100" w:beforeAutospacing="1" w:after="100" w:afterAutospacing="1"/>
              <w:jc w:val="right"/>
              <w:rPr>
                <w:rFonts w:ascii="Times New Roman" w:hAnsi="Times New Roman"/>
                <w:b/>
                <w:sz w:val="20"/>
              </w:rPr>
            </w:pPr>
            <w:r w:rsidRPr="00AF3797">
              <w:rPr>
                <w:rFonts w:ascii="Times New Roman" w:hAnsi="Times New Roman"/>
                <w:b/>
                <w:sz w:val="20"/>
              </w:rPr>
              <w:t>100,0</w:t>
            </w:r>
          </w:p>
        </w:tc>
        <w:tc>
          <w:tcPr>
            <w:tcW w:w="755" w:type="pct"/>
            <w:tcBorders>
              <w:top w:val="single" w:sz="4" w:space="0" w:color="auto"/>
            </w:tcBorders>
            <w:vAlign w:val="bottom"/>
            <w:hideMark/>
          </w:tcPr>
          <w:p w14:paraId="3A3956CE" w14:textId="77777777" w:rsidR="008551D4" w:rsidRPr="00AF3797" w:rsidRDefault="008551D4" w:rsidP="009D37AB">
            <w:pPr>
              <w:spacing w:before="100" w:beforeAutospacing="1" w:after="100" w:afterAutospacing="1"/>
              <w:rPr>
                <w:rFonts w:ascii="Times New Roman" w:hAnsi="Times New Roman"/>
                <w:b/>
                <w:sz w:val="20"/>
              </w:rPr>
            </w:pPr>
            <w:r w:rsidRPr="00AF3797">
              <w:rPr>
                <w:rFonts w:ascii="Times New Roman" w:hAnsi="Times New Roman"/>
                <w:b/>
                <w:sz w:val="20"/>
              </w:rPr>
              <w:t xml:space="preserve">         507 600 </w:t>
            </w:r>
          </w:p>
        </w:tc>
        <w:tc>
          <w:tcPr>
            <w:tcW w:w="544" w:type="pct"/>
            <w:tcBorders>
              <w:top w:val="single" w:sz="4" w:space="0" w:color="auto"/>
            </w:tcBorders>
            <w:vAlign w:val="bottom"/>
            <w:hideMark/>
          </w:tcPr>
          <w:p w14:paraId="44C402E3" w14:textId="77777777" w:rsidR="008551D4" w:rsidRPr="00AF3797" w:rsidRDefault="008551D4" w:rsidP="009D37AB">
            <w:pPr>
              <w:spacing w:before="100" w:beforeAutospacing="1" w:after="100" w:afterAutospacing="1"/>
              <w:jc w:val="right"/>
              <w:rPr>
                <w:rFonts w:ascii="Times New Roman" w:hAnsi="Times New Roman"/>
                <w:b/>
                <w:sz w:val="20"/>
              </w:rPr>
            </w:pPr>
            <w:r w:rsidRPr="00AF3797">
              <w:rPr>
                <w:rFonts w:ascii="Times New Roman" w:hAnsi="Times New Roman"/>
                <w:b/>
                <w:sz w:val="20"/>
              </w:rPr>
              <w:t>100,0</w:t>
            </w:r>
          </w:p>
        </w:tc>
        <w:tc>
          <w:tcPr>
            <w:tcW w:w="1083" w:type="pct"/>
            <w:tcBorders>
              <w:top w:val="single" w:sz="4" w:space="0" w:color="auto"/>
            </w:tcBorders>
            <w:vAlign w:val="bottom"/>
            <w:hideMark/>
          </w:tcPr>
          <w:p w14:paraId="2EAFA771" w14:textId="77777777" w:rsidR="008551D4" w:rsidRPr="00AF3797" w:rsidRDefault="008551D4" w:rsidP="009D37AB">
            <w:pPr>
              <w:spacing w:before="100" w:beforeAutospacing="1" w:after="100" w:afterAutospacing="1"/>
              <w:jc w:val="right"/>
              <w:rPr>
                <w:rFonts w:ascii="Arial" w:hAnsi="Arial" w:cs="Arial"/>
                <w:b/>
                <w:bCs/>
                <w:sz w:val="20"/>
              </w:rPr>
            </w:pPr>
            <w:r w:rsidRPr="00AF3797">
              <w:rPr>
                <w:rFonts w:ascii="Arial" w:hAnsi="Arial" w:cs="Arial"/>
                <w:b/>
                <w:bCs/>
                <w:sz w:val="20"/>
              </w:rPr>
              <w:t xml:space="preserve">           </w:t>
            </w:r>
            <w:r w:rsidRPr="00CE5A89">
              <w:rPr>
                <w:rFonts w:ascii="Times New Roman" w:hAnsi="Times New Roman"/>
                <w:b/>
                <w:sz w:val="20"/>
              </w:rPr>
              <w:t>45</w:t>
            </w:r>
            <w:r w:rsidRPr="00AF3797">
              <w:rPr>
                <w:rFonts w:ascii="Arial" w:hAnsi="Arial" w:cs="Arial"/>
                <w:b/>
                <w:bCs/>
                <w:sz w:val="20"/>
              </w:rPr>
              <w:t xml:space="preserve">,1 </w:t>
            </w:r>
          </w:p>
        </w:tc>
      </w:tr>
      <w:tr w:rsidR="008551D4" w:rsidRPr="00086565" w14:paraId="19D9C4B0" w14:textId="77777777" w:rsidTr="009D37AB">
        <w:trPr>
          <w:trHeight w:val="119"/>
        </w:trPr>
        <w:tc>
          <w:tcPr>
            <w:tcW w:w="748" w:type="pct"/>
            <w:vAlign w:val="center"/>
            <w:hideMark/>
          </w:tcPr>
          <w:p w14:paraId="4CE64608"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1</w:t>
            </w:r>
          </w:p>
        </w:tc>
        <w:tc>
          <w:tcPr>
            <w:tcW w:w="700" w:type="pct"/>
            <w:gridSpan w:val="3"/>
            <w:vAlign w:val="bottom"/>
            <w:hideMark/>
          </w:tcPr>
          <w:p w14:paraId="39196E15"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210 600 </w:t>
            </w:r>
          </w:p>
        </w:tc>
        <w:tc>
          <w:tcPr>
            <w:tcW w:w="426" w:type="pct"/>
            <w:vAlign w:val="bottom"/>
            <w:hideMark/>
          </w:tcPr>
          <w:p w14:paraId="1FA0F8EB"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6,0 </w:t>
            </w:r>
          </w:p>
        </w:tc>
        <w:tc>
          <w:tcPr>
            <w:tcW w:w="744" w:type="pct"/>
            <w:gridSpan w:val="2"/>
            <w:vAlign w:val="bottom"/>
            <w:hideMark/>
          </w:tcPr>
          <w:p w14:paraId="7D7A0850"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5,5</w:t>
            </w:r>
          </w:p>
        </w:tc>
        <w:tc>
          <w:tcPr>
            <w:tcW w:w="755" w:type="pct"/>
            <w:vAlign w:val="bottom"/>
            <w:hideMark/>
          </w:tcPr>
          <w:p w14:paraId="4D9DE710" w14:textId="77777777" w:rsidR="008551D4" w:rsidRPr="007A4BA8" w:rsidRDefault="008551D4" w:rsidP="009D37AB">
            <w:pPr>
              <w:spacing w:before="100" w:beforeAutospacing="1" w:after="100" w:afterAutospacing="1"/>
              <w:rPr>
                <w:rFonts w:ascii="Times New Roman" w:hAnsi="Times New Roman"/>
                <w:sz w:val="20"/>
              </w:rPr>
            </w:pPr>
            <w:r w:rsidRPr="007A4BA8">
              <w:rPr>
                <w:rFonts w:ascii="Times New Roman" w:hAnsi="Times New Roman"/>
                <w:sz w:val="20"/>
              </w:rPr>
              <w:t xml:space="preserve">         274 800 </w:t>
            </w:r>
          </w:p>
        </w:tc>
        <w:tc>
          <w:tcPr>
            <w:tcW w:w="544" w:type="pct"/>
            <w:vAlign w:val="bottom"/>
            <w:hideMark/>
          </w:tcPr>
          <w:p w14:paraId="3DB63059"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5,4</w:t>
            </w:r>
          </w:p>
        </w:tc>
        <w:tc>
          <w:tcPr>
            <w:tcW w:w="1083" w:type="pct"/>
            <w:vAlign w:val="bottom"/>
            <w:hideMark/>
          </w:tcPr>
          <w:p w14:paraId="11699084"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30,5 </w:t>
            </w:r>
          </w:p>
        </w:tc>
      </w:tr>
      <w:tr w:rsidR="008551D4" w:rsidRPr="00086565" w14:paraId="6E409AAB" w14:textId="77777777" w:rsidTr="009D37AB">
        <w:trPr>
          <w:trHeight w:val="119"/>
        </w:trPr>
        <w:tc>
          <w:tcPr>
            <w:tcW w:w="748" w:type="pct"/>
            <w:vAlign w:val="center"/>
            <w:hideMark/>
          </w:tcPr>
          <w:p w14:paraId="525B5845"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2</w:t>
            </w:r>
          </w:p>
        </w:tc>
        <w:tc>
          <w:tcPr>
            <w:tcW w:w="700" w:type="pct"/>
            <w:gridSpan w:val="3"/>
            <w:vAlign w:val="bottom"/>
            <w:hideMark/>
          </w:tcPr>
          <w:p w14:paraId="15564216"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249 600 </w:t>
            </w:r>
          </w:p>
        </w:tc>
        <w:tc>
          <w:tcPr>
            <w:tcW w:w="426" w:type="pct"/>
            <w:vAlign w:val="bottom"/>
            <w:hideMark/>
          </w:tcPr>
          <w:p w14:paraId="2931F280"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7,1 </w:t>
            </w:r>
          </w:p>
        </w:tc>
        <w:tc>
          <w:tcPr>
            <w:tcW w:w="744" w:type="pct"/>
            <w:gridSpan w:val="2"/>
            <w:vAlign w:val="bottom"/>
            <w:hideMark/>
          </w:tcPr>
          <w:p w14:paraId="7C30EE4A"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6,9</w:t>
            </w:r>
          </w:p>
        </w:tc>
        <w:tc>
          <w:tcPr>
            <w:tcW w:w="755" w:type="pct"/>
            <w:vAlign w:val="bottom"/>
            <w:hideMark/>
          </w:tcPr>
          <w:p w14:paraId="7C328C42" w14:textId="77777777" w:rsidR="008551D4" w:rsidRPr="007A4BA8" w:rsidRDefault="008551D4" w:rsidP="009D37AB">
            <w:pPr>
              <w:spacing w:before="100" w:beforeAutospacing="1" w:after="100" w:afterAutospacing="1"/>
              <w:rPr>
                <w:rFonts w:ascii="Times New Roman" w:hAnsi="Times New Roman"/>
                <w:sz w:val="20"/>
              </w:rPr>
            </w:pPr>
            <w:r w:rsidRPr="007A4BA8">
              <w:rPr>
                <w:rFonts w:ascii="Times New Roman" w:hAnsi="Times New Roman"/>
                <w:sz w:val="20"/>
              </w:rPr>
              <w:t xml:space="preserve">         345 600 </w:t>
            </w:r>
          </w:p>
        </w:tc>
        <w:tc>
          <w:tcPr>
            <w:tcW w:w="544" w:type="pct"/>
            <w:vAlign w:val="bottom"/>
            <w:hideMark/>
          </w:tcPr>
          <w:p w14:paraId="3A3BB816"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6,8</w:t>
            </w:r>
          </w:p>
        </w:tc>
        <w:tc>
          <w:tcPr>
            <w:tcW w:w="1083" w:type="pct"/>
            <w:vAlign w:val="bottom"/>
            <w:hideMark/>
          </w:tcPr>
          <w:p w14:paraId="2012046D"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38,5 </w:t>
            </w:r>
          </w:p>
        </w:tc>
      </w:tr>
      <w:tr w:rsidR="008551D4" w:rsidRPr="00086565" w14:paraId="0C7417E0" w14:textId="77777777" w:rsidTr="009D37AB">
        <w:trPr>
          <w:trHeight w:val="119"/>
        </w:trPr>
        <w:tc>
          <w:tcPr>
            <w:tcW w:w="748" w:type="pct"/>
            <w:vAlign w:val="center"/>
            <w:hideMark/>
          </w:tcPr>
          <w:p w14:paraId="3F7A807E"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3</w:t>
            </w:r>
          </w:p>
        </w:tc>
        <w:tc>
          <w:tcPr>
            <w:tcW w:w="700" w:type="pct"/>
            <w:gridSpan w:val="3"/>
            <w:vAlign w:val="bottom"/>
            <w:hideMark/>
          </w:tcPr>
          <w:p w14:paraId="59A02AAD"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269 100 </w:t>
            </w:r>
          </w:p>
        </w:tc>
        <w:tc>
          <w:tcPr>
            <w:tcW w:w="426" w:type="pct"/>
            <w:vAlign w:val="bottom"/>
            <w:hideMark/>
          </w:tcPr>
          <w:p w14:paraId="709224EF"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7,7 </w:t>
            </w:r>
          </w:p>
        </w:tc>
        <w:tc>
          <w:tcPr>
            <w:tcW w:w="744" w:type="pct"/>
            <w:gridSpan w:val="2"/>
            <w:vAlign w:val="bottom"/>
            <w:hideMark/>
          </w:tcPr>
          <w:p w14:paraId="319FC8DB"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7,5</w:t>
            </w:r>
          </w:p>
        </w:tc>
        <w:tc>
          <w:tcPr>
            <w:tcW w:w="755" w:type="pct"/>
            <w:vAlign w:val="bottom"/>
            <w:hideMark/>
          </w:tcPr>
          <w:p w14:paraId="59E93FEA" w14:textId="77777777" w:rsidR="008551D4" w:rsidRPr="007A4BA8" w:rsidRDefault="008551D4" w:rsidP="009D37AB">
            <w:pPr>
              <w:spacing w:before="100" w:beforeAutospacing="1" w:after="100" w:afterAutospacing="1"/>
              <w:rPr>
                <w:rFonts w:ascii="Times New Roman" w:hAnsi="Times New Roman"/>
                <w:sz w:val="20"/>
              </w:rPr>
            </w:pPr>
            <w:r w:rsidRPr="007A4BA8">
              <w:rPr>
                <w:rFonts w:ascii="Times New Roman" w:hAnsi="Times New Roman"/>
                <w:sz w:val="20"/>
              </w:rPr>
              <w:t xml:space="preserve">         380 400 </w:t>
            </w:r>
          </w:p>
        </w:tc>
        <w:tc>
          <w:tcPr>
            <w:tcW w:w="544" w:type="pct"/>
            <w:vAlign w:val="bottom"/>
            <w:hideMark/>
          </w:tcPr>
          <w:p w14:paraId="6445E359"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7,5</w:t>
            </w:r>
          </w:p>
        </w:tc>
        <w:tc>
          <w:tcPr>
            <w:tcW w:w="1083" w:type="pct"/>
            <w:vAlign w:val="bottom"/>
            <w:hideMark/>
          </w:tcPr>
          <w:p w14:paraId="682FCA63"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41,4 </w:t>
            </w:r>
          </w:p>
        </w:tc>
      </w:tr>
      <w:tr w:rsidR="008551D4" w:rsidRPr="00086565" w14:paraId="445603AA" w14:textId="77777777" w:rsidTr="009D37AB">
        <w:trPr>
          <w:trHeight w:val="119"/>
        </w:trPr>
        <w:tc>
          <w:tcPr>
            <w:tcW w:w="748" w:type="pct"/>
            <w:vAlign w:val="center"/>
            <w:hideMark/>
          </w:tcPr>
          <w:p w14:paraId="5CC4B308"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4</w:t>
            </w:r>
          </w:p>
        </w:tc>
        <w:tc>
          <w:tcPr>
            <w:tcW w:w="700" w:type="pct"/>
            <w:gridSpan w:val="3"/>
            <w:vAlign w:val="bottom"/>
            <w:hideMark/>
          </w:tcPr>
          <w:p w14:paraId="01151EC4"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288 500 </w:t>
            </w:r>
          </w:p>
        </w:tc>
        <w:tc>
          <w:tcPr>
            <w:tcW w:w="426" w:type="pct"/>
            <w:vAlign w:val="bottom"/>
            <w:hideMark/>
          </w:tcPr>
          <w:p w14:paraId="2249E50D"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8,3 </w:t>
            </w:r>
          </w:p>
        </w:tc>
        <w:tc>
          <w:tcPr>
            <w:tcW w:w="744" w:type="pct"/>
            <w:gridSpan w:val="2"/>
            <w:vAlign w:val="bottom"/>
            <w:hideMark/>
          </w:tcPr>
          <w:p w14:paraId="07E4DEC5"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8,1</w:t>
            </w:r>
          </w:p>
        </w:tc>
        <w:tc>
          <w:tcPr>
            <w:tcW w:w="755" w:type="pct"/>
            <w:vAlign w:val="bottom"/>
            <w:hideMark/>
          </w:tcPr>
          <w:p w14:paraId="7242EFA3" w14:textId="77777777" w:rsidR="008551D4" w:rsidRPr="007A4BA8" w:rsidRDefault="008551D4" w:rsidP="009D37AB">
            <w:pPr>
              <w:spacing w:before="100" w:beforeAutospacing="1" w:after="100" w:afterAutospacing="1"/>
              <w:rPr>
                <w:rFonts w:ascii="Times New Roman" w:hAnsi="Times New Roman"/>
                <w:sz w:val="20"/>
              </w:rPr>
            </w:pPr>
            <w:r w:rsidRPr="007A4BA8">
              <w:rPr>
                <w:rFonts w:ascii="Times New Roman" w:hAnsi="Times New Roman"/>
                <w:sz w:val="20"/>
              </w:rPr>
              <w:t xml:space="preserve">         412 800 </w:t>
            </w:r>
          </w:p>
        </w:tc>
        <w:tc>
          <w:tcPr>
            <w:tcW w:w="544" w:type="pct"/>
            <w:vAlign w:val="bottom"/>
            <w:hideMark/>
          </w:tcPr>
          <w:p w14:paraId="0CF02E07"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8,1</w:t>
            </w:r>
          </w:p>
        </w:tc>
        <w:tc>
          <w:tcPr>
            <w:tcW w:w="1083" w:type="pct"/>
            <w:vAlign w:val="bottom"/>
            <w:hideMark/>
          </w:tcPr>
          <w:p w14:paraId="75226A54"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43,1 </w:t>
            </w:r>
          </w:p>
        </w:tc>
      </w:tr>
      <w:tr w:rsidR="008551D4" w:rsidRPr="00086565" w14:paraId="46E558E2" w14:textId="77777777" w:rsidTr="009D37AB">
        <w:trPr>
          <w:trHeight w:val="119"/>
        </w:trPr>
        <w:tc>
          <w:tcPr>
            <w:tcW w:w="748" w:type="pct"/>
            <w:vAlign w:val="center"/>
            <w:hideMark/>
          </w:tcPr>
          <w:p w14:paraId="32D76102"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5</w:t>
            </w:r>
          </w:p>
        </w:tc>
        <w:tc>
          <w:tcPr>
            <w:tcW w:w="700" w:type="pct"/>
            <w:gridSpan w:val="3"/>
            <w:vAlign w:val="bottom"/>
            <w:hideMark/>
          </w:tcPr>
          <w:p w14:paraId="0BB151D0"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306 900 </w:t>
            </w:r>
          </w:p>
        </w:tc>
        <w:tc>
          <w:tcPr>
            <w:tcW w:w="426" w:type="pct"/>
            <w:vAlign w:val="bottom"/>
            <w:hideMark/>
          </w:tcPr>
          <w:p w14:paraId="2C9C4200"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8,8 </w:t>
            </w:r>
          </w:p>
        </w:tc>
        <w:tc>
          <w:tcPr>
            <w:tcW w:w="744" w:type="pct"/>
            <w:gridSpan w:val="2"/>
            <w:vAlign w:val="bottom"/>
            <w:hideMark/>
          </w:tcPr>
          <w:p w14:paraId="019CBEA3"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8,7</w:t>
            </w:r>
          </w:p>
        </w:tc>
        <w:tc>
          <w:tcPr>
            <w:tcW w:w="755" w:type="pct"/>
            <w:vAlign w:val="bottom"/>
            <w:hideMark/>
          </w:tcPr>
          <w:p w14:paraId="754A3560" w14:textId="77777777" w:rsidR="008551D4" w:rsidRPr="007A4BA8" w:rsidRDefault="008551D4" w:rsidP="009D37AB">
            <w:pPr>
              <w:spacing w:before="100" w:beforeAutospacing="1" w:after="100" w:afterAutospacing="1"/>
              <w:rPr>
                <w:rFonts w:ascii="Times New Roman" w:hAnsi="Times New Roman"/>
                <w:sz w:val="20"/>
              </w:rPr>
            </w:pPr>
            <w:r w:rsidRPr="007A4BA8">
              <w:rPr>
                <w:rFonts w:ascii="Times New Roman" w:hAnsi="Times New Roman"/>
                <w:sz w:val="20"/>
              </w:rPr>
              <w:t xml:space="preserve">         444 000 </w:t>
            </w:r>
          </w:p>
        </w:tc>
        <w:tc>
          <w:tcPr>
            <w:tcW w:w="544" w:type="pct"/>
            <w:vAlign w:val="bottom"/>
            <w:hideMark/>
          </w:tcPr>
          <w:p w14:paraId="3AEE8CA0"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8,7</w:t>
            </w:r>
          </w:p>
        </w:tc>
        <w:tc>
          <w:tcPr>
            <w:tcW w:w="1083" w:type="pct"/>
            <w:vAlign w:val="bottom"/>
            <w:hideMark/>
          </w:tcPr>
          <w:p w14:paraId="6C95B8F4"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44,7 </w:t>
            </w:r>
          </w:p>
        </w:tc>
      </w:tr>
      <w:tr w:rsidR="008551D4" w:rsidRPr="00086565" w14:paraId="00B41B2E" w14:textId="77777777" w:rsidTr="009D37AB">
        <w:trPr>
          <w:trHeight w:val="119"/>
        </w:trPr>
        <w:tc>
          <w:tcPr>
            <w:tcW w:w="748" w:type="pct"/>
            <w:vAlign w:val="center"/>
            <w:hideMark/>
          </w:tcPr>
          <w:p w14:paraId="678FB3D6"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6</w:t>
            </w:r>
          </w:p>
        </w:tc>
        <w:tc>
          <w:tcPr>
            <w:tcW w:w="700" w:type="pct"/>
            <w:gridSpan w:val="3"/>
            <w:vAlign w:val="bottom"/>
            <w:hideMark/>
          </w:tcPr>
          <w:p w14:paraId="0EF2FB80"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328 000 </w:t>
            </w:r>
          </w:p>
        </w:tc>
        <w:tc>
          <w:tcPr>
            <w:tcW w:w="426" w:type="pct"/>
            <w:vAlign w:val="bottom"/>
            <w:hideMark/>
          </w:tcPr>
          <w:p w14:paraId="1AA7206A"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9,4 </w:t>
            </w:r>
          </w:p>
        </w:tc>
        <w:tc>
          <w:tcPr>
            <w:tcW w:w="744" w:type="pct"/>
            <w:gridSpan w:val="2"/>
            <w:vAlign w:val="bottom"/>
            <w:hideMark/>
          </w:tcPr>
          <w:p w14:paraId="18933DDB"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9,4</w:t>
            </w:r>
          </w:p>
        </w:tc>
        <w:tc>
          <w:tcPr>
            <w:tcW w:w="755" w:type="pct"/>
            <w:vAlign w:val="bottom"/>
            <w:hideMark/>
          </w:tcPr>
          <w:p w14:paraId="63B8A8A3" w14:textId="77777777" w:rsidR="008551D4" w:rsidRPr="007A4BA8" w:rsidRDefault="008551D4" w:rsidP="009D37AB">
            <w:pPr>
              <w:spacing w:before="100" w:beforeAutospacing="1" w:after="100" w:afterAutospacing="1"/>
              <w:rPr>
                <w:rFonts w:ascii="Times New Roman" w:hAnsi="Times New Roman"/>
                <w:sz w:val="20"/>
              </w:rPr>
            </w:pPr>
            <w:r w:rsidRPr="007A4BA8">
              <w:rPr>
                <w:rFonts w:ascii="Times New Roman" w:hAnsi="Times New Roman"/>
                <w:sz w:val="20"/>
              </w:rPr>
              <w:t xml:space="preserve">         476 400 </w:t>
            </w:r>
          </w:p>
        </w:tc>
        <w:tc>
          <w:tcPr>
            <w:tcW w:w="544" w:type="pct"/>
            <w:vAlign w:val="bottom"/>
            <w:hideMark/>
          </w:tcPr>
          <w:p w14:paraId="3E2A6A41"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9,4</w:t>
            </w:r>
          </w:p>
        </w:tc>
        <w:tc>
          <w:tcPr>
            <w:tcW w:w="1083" w:type="pct"/>
            <w:vAlign w:val="bottom"/>
            <w:hideMark/>
          </w:tcPr>
          <w:p w14:paraId="7C3B0ECF"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45,2 </w:t>
            </w:r>
          </w:p>
        </w:tc>
      </w:tr>
      <w:tr w:rsidR="008551D4" w:rsidRPr="00086565" w14:paraId="381E7D0D" w14:textId="77777777" w:rsidTr="009D37AB">
        <w:trPr>
          <w:trHeight w:val="119"/>
        </w:trPr>
        <w:tc>
          <w:tcPr>
            <w:tcW w:w="748" w:type="pct"/>
            <w:vAlign w:val="center"/>
            <w:hideMark/>
          </w:tcPr>
          <w:p w14:paraId="1883707B"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7</w:t>
            </w:r>
          </w:p>
        </w:tc>
        <w:tc>
          <w:tcPr>
            <w:tcW w:w="700" w:type="pct"/>
            <w:gridSpan w:val="3"/>
            <w:vAlign w:val="bottom"/>
            <w:hideMark/>
          </w:tcPr>
          <w:p w14:paraId="057EDE14"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353 500 </w:t>
            </w:r>
          </w:p>
        </w:tc>
        <w:tc>
          <w:tcPr>
            <w:tcW w:w="426" w:type="pct"/>
            <w:vAlign w:val="bottom"/>
            <w:hideMark/>
          </w:tcPr>
          <w:p w14:paraId="6F1A5781"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10,1 </w:t>
            </w:r>
          </w:p>
        </w:tc>
        <w:tc>
          <w:tcPr>
            <w:tcW w:w="744" w:type="pct"/>
            <w:gridSpan w:val="2"/>
            <w:vAlign w:val="bottom"/>
            <w:hideMark/>
          </w:tcPr>
          <w:p w14:paraId="609BD4D4"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10,1</w:t>
            </w:r>
          </w:p>
        </w:tc>
        <w:tc>
          <w:tcPr>
            <w:tcW w:w="755" w:type="pct"/>
            <w:vAlign w:val="bottom"/>
            <w:hideMark/>
          </w:tcPr>
          <w:p w14:paraId="5540ACE5" w14:textId="77777777" w:rsidR="008551D4" w:rsidRPr="007A4BA8" w:rsidRDefault="008551D4" w:rsidP="009D37AB">
            <w:pPr>
              <w:spacing w:before="100" w:beforeAutospacing="1" w:after="100" w:afterAutospacing="1"/>
              <w:rPr>
                <w:rFonts w:ascii="Times New Roman" w:hAnsi="Times New Roman"/>
                <w:sz w:val="20"/>
              </w:rPr>
            </w:pPr>
            <w:r w:rsidRPr="007A4BA8">
              <w:rPr>
                <w:rFonts w:ascii="Times New Roman" w:hAnsi="Times New Roman"/>
                <w:sz w:val="20"/>
              </w:rPr>
              <w:t xml:space="preserve">         514 800 </w:t>
            </w:r>
          </w:p>
        </w:tc>
        <w:tc>
          <w:tcPr>
            <w:tcW w:w="544" w:type="pct"/>
            <w:vAlign w:val="bottom"/>
            <w:hideMark/>
          </w:tcPr>
          <w:p w14:paraId="2D35ABE7"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10,1</w:t>
            </w:r>
          </w:p>
        </w:tc>
        <w:tc>
          <w:tcPr>
            <w:tcW w:w="1083" w:type="pct"/>
            <w:vAlign w:val="bottom"/>
            <w:hideMark/>
          </w:tcPr>
          <w:p w14:paraId="7F10872B"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45,6 </w:t>
            </w:r>
          </w:p>
        </w:tc>
      </w:tr>
      <w:tr w:rsidR="008551D4" w:rsidRPr="00086565" w14:paraId="4E077FEF" w14:textId="77777777" w:rsidTr="009D37AB">
        <w:trPr>
          <w:trHeight w:val="119"/>
        </w:trPr>
        <w:tc>
          <w:tcPr>
            <w:tcW w:w="748" w:type="pct"/>
            <w:vAlign w:val="center"/>
            <w:hideMark/>
          </w:tcPr>
          <w:p w14:paraId="04B01C17"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8</w:t>
            </w:r>
          </w:p>
        </w:tc>
        <w:tc>
          <w:tcPr>
            <w:tcW w:w="700" w:type="pct"/>
            <w:gridSpan w:val="3"/>
            <w:vAlign w:val="bottom"/>
            <w:hideMark/>
          </w:tcPr>
          <w:p w14:paraId="733252F4"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386 500 </w:t>
            </w:r>
          </w:p>
        </w:tc>
        <w:tc>
          <w:tcPr>
            <w:tcW w:w="426" w:type="pct"/>
            <w:vAlign w:val="bottom"/>
            <w:hideMark/>
          </w:tcPr>
          <w:p w14:paraId="6CA5481C"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11,1 </w:t>
            </w:r>
          </w:p>
        </w:tc>
        <w:tc>
          <w:tcPr>
            <w:tcW w:w="744" w:type="pct"/>
            <w:gridSpan w:val="2"/>
            <w:vAlign w:val="bottom"/>
            <w:hideMark/>
          </w:tcPr>
          <w:p w14:paraId="1BCC428D"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11,1</w:t>
            </w:r>
          </w:p>
        </w:tc>
        <w:tc>
          <w:tcPr>
            <w:tcW w:w="755" w:type="pct"/>
            <w:vAlign w:val="bottom"/>
            <w:hideMark/>
          </w:tcPr>
          <w:p w14:paraId="0621CFC0" w14:textId="77777777" w:rsidR="008551D4" w:rsidRPr="007A4BA8" w:rsidRDefault="008551D4" w:rsidP="009D37AB">
            <w:pPr>
              <w:spacing w:before="100" w:beforeAutospacing="1" w:after="100" w:afterAutospacing="1"/>
              <w:rPr>
                <w:rFonts w:ascii="Times New Roman" w:hAnsi="Times New Roman"/>
                <w:sz w:val="20"/>
              </w:rPr>
            </w:pPr>
            <w:r w:rsidRPr="007A4BA8">
              <w:rPr>
                <w:rFonts w:ascii="Times New Roman" w:hAnsi="Times New Roman"/>
                <w:sz w:val="20"/>
              </w:rPr>
              <w:t xml:space="preserve">         567 600 </w:t>
            </w:r>
          </w:p>
        </w:tc>
        <w:tc>
          <w:tcPr>
            <w:tcW w:w="544" w:type="pct"/>
            <w:vAlign w:val="bottom"/>
            <w:hideMark/>
          </w:tcPr>
          <w:p w14:paraId="5A2BB8E3"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11,2</w:t>
            </w:r>
          </w:p>
        </w:tc>
        <w:tc>
          <w:tcPr>
            <w:tcW w:w="1083" w:type="pct"/>
            <w:vAlign w:val="bottom"/>
            <w:hideMark/>
          </w:tcPr>
          <w:p w14:paraId="5A60C8E3"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46,9 </w:t>
            </w:r>
          </w:p>
        </w:tc>
      </w:tr>
      <w:tr w:rsidR="008551D4" w:rsidRPr="00086565" w14:paraId="6CF65F24" w14:textId="77777777" w:rsidTr="009D37AB">
        <w:trPr>
          <w:trHeight w:val="119"/>
        </w:trPr>
        <w:tc>
          <w:tcPr>
            <w:tcW w:w="748" w:type="pct"/>
            <w:vAlign w:val="center"/>
            <w:hideMark/>
          </w:tcPr>
          <w:p w14:paraId="10C3DB01"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9</w:t>
            </w:r>
          </w:p>
        </w:tc>
        <w:tc>
          <w:tcPr>
            <w:tcW w:w="700" w:type="pct"/>
            <w:gridSpan w:val="3"/>
            <w:vAlign w:val="bottom"/>
            <w:hideMark/>
          </w:tcPr>
          <w:p w14:paraId="44B56D69"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445 600 </w:t>
            </w:r>
          </w:p>
        </w:tc>
        <w:tc>
          <w:tcPr>
            <w:tcW w:w="426" w:type="pct"/>
            <w:vAlign w:val="bottom"/>
            <w:hideMark/>
          </w:tcPr>
          <w:p w14:paraId="7F3329E3"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12,7 </w:t>
            </w:r>
          </w:p>
        </w:tc>
        <w:tc>
          <w:tcPr>
            <w:tcW w:w="744" w:type="pct"/>
            <w:gridSpan w:val="2"/>
            <w:vAlign w:val="bottom"/>
            <w:hideMark/>
          </w:tcPr>
          <w:p w14:paraId="68DAD403"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13,1</w:t>
            </w:r>
          </w:p>
        </w:tc>
        <w:tc>
          <w:tcPr>
            <w:tcW w:w="755" w:type="pct"/>
            <w:vAlign w:val="bottom"/>
            <w:hideMark/>
          </w:tcPr>
          <w:p w14:paraId="2E045C52" w14:textId="77777777" w:rsidR="008551D4" w:rsidRPr="007A4BA8" w:rsidRDefault="008551D4" w:rsidP="009D37AB">
            <w:pPr>
              <w:spacing w:before="100" w:beforeAutospacing="1" w:after="100" w:afterAutospacing="1"/>
              <w:rPr>
                <w:rFonts w:ascii="Times New Roman" w:hAnsi="Times New Roman"/>
                <w:sz w:val="20"/>
              </w:rPr>
            </w:pPr>
            <w:r w:rsidRPr="007A4BA8">
              <w:rPr>
                <w:rFonts w:ascii="Times New Roman" w:hAnsi="Times New Roman"/>
                <w:sz w:val="20"/>
              </w:rPr>
              <w:t xml:space="preserve">         664 800 </w:t>
            </w:r>
          </w:p>
        </w:tc>
        <w:tc>
          <w:tcPr>
            <w:tcW w:w="544" w:type="pct"/>
            <w:vAlign w:val="bottom"/>
            <w:hideMark/>
          </w:tcPr>
          <w:p w14:paraId="78567879"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13,1</w:t>
            </w:r>
          </w:p>
        </w:tc>
        <w:tc>
          <w:tcPr>
            <w:tcW w:w="1083" w:type="pct"/>
            <w:vAlign w:val="bottom"/>
            <w:hideMark/>
          </w:tcPr>
          <w:p w14:paraId="2858AD20"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49,2 </w:t>
            </w:r>
          </w:p>
        </w:tc>
      </w:tr>
      <w:tr w:rsidR="008551D4" w:rsidRPr="00086565" w14:paraId="19027CB8" w14:textId="77777777" w:rsidTr="009D37AB">
        <w:trPr>
          <w:trHeight w:val="119"/>
        </w:trPr>
        <w:tc>
          <w:tcPr>
            <w:tcW w:w="748" w:type="pct"/>
            <w:tcBorders>
              <w:bottom w:val="single" w:sz="4" w:space="0" w:color="auto"/>
            </w:tcBorders>
            <w:vAlign w:val="center"/>
            <w:hideMark/>
          </w:tcPr>
          <w:p w14:paraId="42ACE2F6"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10</w:t>
            </w:r>
          </w:p>
        </w:tc>
        <w:tc>
          <w:tcPr>
            <w:tcW w:w="700" w:type="pct"/>
            <w:gridSpan w:val="3"/>
            <w:tcBorders>
              <w:bottom w:val="single" w:sz="4" w:space="0" w:color="auto"/>
            </w:tcBorders>
            <w:vAlign w:val="bottom"/>
            <w:hideMark/>
          </w:tcPr>
          <w:p w14:paraId="7D8BCD02"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660 800 </w:t>
            </w:r>
          </w:p>
        </w:tc>
        <w:tc>
          <w:tcPr>
            <w:tcW w:w="426" w:type="pct"/>
            <w:tcBorders>
              <w:bottom w:val="single" w:sz="4" w:space="0" w:color="auto"/>
            </w:tcBorders>
            <w:vAlign w:val="bottom"/>
            <w:hideMark/>
          </w:tcPr>
          <w:p w14:paraId="7744B72A"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18,9 </w:t>
            </w:r>
          </w:p>
        </w:tc>
        <w:tc>
          <w:tcPr>
            <w:tcW w:w="744" w:type="pct"/>
            <w:gridSpan w:val="2"/>
            <w:tcBorders>
              <w:bottom w:val="single" w:sz="4" w:space="0" w:color="auto"/>
            </w:tcBorders>
            <w:vAlign w:val="bottom"/>
            <w:hideMark/>
          </w:tcPr>
          <w:p w14:paraId="2233C6C3"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19,7</w:t>
            </w:r>
          </w:p>
        </w:tc>
        <w:tc>
          <w:tcPr>
            <w:tcW w:w="755" w:type="pct"/>
            <w:tcBorders>
              <w:bottom w:val="single" w:sz="4" w:space="0" w:color="auto"/>
            </w:tcBorders>
            <w:vAlign w:val="bottom"/>
            <w:hideMark/>
          </w:tcPr>
          <w:p w14:paraId="375CEE19" w14:textId="77777777" w:rsidR="008551D4" w:rsidRPr="007A4BA8" w:rsidRDefault="008551D4" w:rsidP="009D37AB">
            <w:pPr>
              <w:spacing w:before="100" w:beforeAutospacing="1" w:after="100" w:afterAutospacing="1"/>
              <w:rPr>
                <w:rFonts w:ascii="Times New Roman" w:hAnsi="Times New Roman"/>
                <w:sz w:val="20"/>
              </w:rPr>
            </w:pPr>
            <w:r w:rsidRPr="007A4BA8">
              <w:rPr>
                <w:rFonts w:ascii="Times New Roman" w:hAnsi="Times New Roman"/>
                <w:sz w:val="20"/>
              </w:rPr>
              <w:t xml:space="preserve">         994 800 </w:t>
            </w:r>
          </w:p>
        </w:tc>
        <w:tc>
          <w:tcPr>
            <w:tcW w:w="544" w:type="pct"/>
            <w:tcBorders>
              <w:bottom w:val="single" w:sz="4" w:space="0" w:color="auto"/>
            </w:tcBorders>
            <w:vAlign w:val="bottom"/>
            <w:hideMark/>
          </w:tcPr>
          <w:p w14:paraId="032704F6" w14:textId="77777777" w:rsidR="008551D4" w:rsidRPr="007A4BA8" w:rsidRDefault="008551D4" w:rsidP="009D37AB">
            <w:pPr>
              <w:spacing w:before="100" w:beforeAutospacing="1" w:after="100" w:afterAutospacing="1"/>
              <w:jc w:val="right"/>
              <w:rPr>
                <w:rFonts w:ascii="Times New Roman" w:hAnsi="Times New Roman"/>
                <w:sz w:val="20"/>
              </w:rPr>
            </w:pPr>
            <w:r w:rsidRPr="007A4BA8">
              <w:rPr>
                <w:rFonts w:ascii="Times New Roman" w:hAnsi="Times New Roman"/>
                <w:sz w:val="20"/>
              </w:rPr>
              <w:t>19,6</w:t>
            </w:r>
          </w:p>
        </w:tc>
        <w:tc>
          <w:tcPr>
            <w:tcW w:w="1083" w:type="pct"/>
            <w:tcBorders>
              <w:bottom w:val="single" w:sz="4" w:space="0" w:color="auto"/>
            </w:tcBorders>
            <w:vAlign w:val="bottom"/>
            <w:hideMark/>
          </w:tcPr>
          <w:p w14:paraId="0AF5F69C" w14:textId="77777777" w:rsidR="008551D4" w:rsidRPr="00AF3797" w:rsidRDefault="008551D4" w:rsidP="009D37AB">
            <w:pPr>
              <w:spacing w:before="100" w:beforeAutospacing="1" w:after="100" w:afterAutospacing="1"/>
              <w:jc w:val="right"/>
              <w:rPr>
                <w:rFonts w:ascii="Times New Roman" w:hAnsi="Times New Roman"/>
                <w:sz w:val="20"/>
              </w:rPr>
            </w:pPr>
            <w:r w:rsidRPr="00AF3797">
              <w:rPr>
                <w:rFonts w:ascii="Times New Roman" w:hAnsi="Times New Roman"/>
                <w:sz w:val="20"/>
              </w:rPr>
              <w:t xml:space="preserve">           50,5 </w:t>
            </w:r>
          </w:p>
        </w:tc>
      </w:tr>
      <w:tr w:rsidR="008551D4" w:rsidRPr="00086565" w14:paraId="510374AA" w14:textId="77777777" w:rsidTr="005F1413">
        <w:trPr>
          <w:trHeight w:val="215"/>
        </w:trPr>
        <w:tc>
          <w:tcPr>
            <w:tcW w:w="880" w:type="pct"/>
            <w:gridSpan w:val="3"/>
            <w:tcBorders>
              <w:top w:val="single" w:sz="4" w:space="0" w:color="auto"/>
              <w:bottom w:val="single" w:sz="4" w:space="0" w:color="auto"/>
            </w:tcBorders>
            <w:vAlign w:val="center"/>
            <w:hideMark/>
          </w:tcPr>
          <w:p w14:paraId="0F77523D"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Gini-koeffisient</w:t>
            </w:r>
          </w:p>
        </w:tc>
        <w:tc>
          <w:tcPr>
            <w:tcW w:w="568" w:type="pct"/>
            <w:tcBorders>
              <w:top w:val="single" w:sz="4" w:space="0" w:color="auto"/>
              <w:bottom w:val="single" w:sz="4" w:space="0" w:color="auto"/>
            </w:tcBorders>
            <w:vAlign w:val="center"/>
            <w:hideMark/>
          </w:tcPr>
          <w:p w14:paraId="6F9AA99D"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p>
        </w:tc>
        <w:tc>
          <w:tcPr>
            <w:tcW w:w="426" w:type="pct"/>
            <w:tcBorders>
              <w:top w:val="single" w:sz="4" w:space="0" w:color="auto"/>
              <w:bottom w:val="single" w:sz="4" w:space="0" w:color="auto"/>
            </w:tcBorders>
            <w:vAlign w:val="center"/>
            <w:hideMark/>
          </w:tcPr>
          <w:p w14:paraId="1B69DE1E"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0,182</w:t>
            </w:r>
          </w:p>
        </w:tc>
        <w:tc>
          <w:tcPr>
            <w:tcW w:w="744" w:type="pct"/>
            <w:gridSpan w:val="2"/>
            <w:tcBorders>
              <w:top w:val="single" w:sz="4" w:space="0" w:color="auto"/>
              <w:bottom w:val="single" w:sz="4" w:space="0" w:color="auto"/>
            </w:tcBorders>
            <w:vAlign w:val="bottom"/>
            <w:hideMark/>
          </w:tcPr>
          <w:p w14:paraId="477ADA52" w14:textId="77777777" w:rsidR="008551D4" w:rsidRPr="00062251" w:rsidRDefault="008551D4" w:rsidP="009D37AB">
            <w:pPr>
              <w:spacing w:after="0"/>
              <w:jc w:val="right"/>
              <w:rPr>
                <w:rFonts w:ascii="Times New Roman" w:hAnsi="Times New Roman"/>
                <w:color w:val="000000"/>
                <w:spacing w:val="6"/>
                <w:sz w:val="20"/>
              </w:rPr>
            </w:pPr>
            <w:r w:rsidRPr="00062251">
              <w:rPr>
                <w:rFonts w:ascii="Times New Roman" w:hAnsi="Times New Roman"/>
                <w:color w:val="000000"/>
                <w:spacing w:val="6"/>
                <w:sz w:val="20"/>
              </w:rPr>
              <w:t>0,201</w:t>
            </w:r>
          </w:p>
        </w:tc>
        <w:tc>
          <w:tcPr>
            <w:tcW w:w="755" w:type="pct"/>
            <w:tcBorders>
              <w:top w:val="single" w:sz="4" w:space="0" w:color="auto"/>
              <w:bottom w:val="single" w:sz="4" w:space="0" w:color="auto"/>
            </w:tcBorders>
            <w:vAlign w:val="bottom"/>
            <w:hideMark/>
          </w:tcPr>
          <w:p w14:paraId="4F16692F" w14:textId="77777777" w:rsidR="008551D4" w:rsidRPr="00062251" w:rsidRDefault="008551D4" w:rsidP="009D37AB">
            <w:pPr>
              <w:spacing w:after="0"/>
              <w:rPr>
                <w:rFonts w:ascii="Times New Roman" w:hAnsi="Times New Roman"/>
                <w:color w:val="000000"/>
                <w:spacing w:val="6"/>
                <w:sz w:val="20"/>
              </w:rPr>
            </w:pPr>
          </w:p>
        </w:tc>
        <w:tc>
          <w:tcPr>
            <w:tcW w:w="544" w:type="pct"/>
            <w:tcBorders>
              <w:top w:val="single" w:sz="4" w:space="0" w:color="auto"/>
              <w:bottom w:val="single" w:sz="4" w:space="0" w:color="auto"/>
            </w:tcBorders>
            <w:vAlign w:val="bottom"/>
            <w:hideMark/>
          </w:tcPr>
          <w:p w14:paraId="29CE1168" w14:textId="77777777" w:rsidR="008551D4" w:rsidRPr="00062251" w:rsidRDefault="008551D4" w:rsidP="009D37AB">
            <w:pPr>
              <w:spacing w:after="0"/>
              <w:jc w:val="right"/>
              <w:rPr>
                <w:rFonts w:ascii="Times New Roman" w:hAnsi="Times New Roman"/>
                <w:color w:val="000000"/>
                <w:spacing w:val="6"/>
                <w:sz w:val="20"/>
              </w:rPr>
            </w:pPr>
            <w:r w:rsidRPr="00062251">
              <w:rPr>
                <w:rFonts w:ascii="Times New Roman" w:hAnsi="Times New Roman"/>
                <w:color w:val="000000"/>
                <w:spacing w:val="6"/>
                <w:sz w:val="20"/>
              </w:rPr>
              <w:t>0,201</w:t>
            </w:r>
          </w:p>
        </w:tc>
        <w:tc>
          <w:tcPr>
            <w:tcW w:w="1083" w:type="pct"/>
            <w:tcBorders>
              <w:top w:val="single" w:sz="4" w:space="0" w:color="auto"/>
              <w:bottom w:val="single" w:sz="4" w:space="0" w:color="auto"/>
            </w:tcBorders>
            <w:vAlign w:val="center"/>
            <w:hideMark/>
          </w:tcPr>
          <w:p w14:paraId="617E9ABF" w14:textId="77777777" w:rsidR="008551D4" w:rsidRPr="00086565" w:rsidRDefault="008551D4" w:rsidP="009D37AB">
            <w:pPr>
              <w:spacing w:after="0"/>
              <w:jc w:val="right"/>
              <w:rPr>
                <w:rFonts w:ascii="Times New Roman" w:hAnsi="Times New Roman"/>
                <w:color w:val="000000"/>
                <w:spacing w:val="6"/>
                <w:sz w:val="20"/>
              </w:rPr>
            </w:pPr>
            <w:r w:rsidRPr="00086565">
              <w:rPr>
                <w:rFonts w:ascii="Times New Roman" w:hAnsi="Times New Roman"/>
                <w:color w:val="000000"/>
                <w:spacing w:val="6"/>
                <w:sz w:val="20"/>
              </w:rPr>
              <w:t> </w:t>
            </w:r>
          </w:p>
        </w:tc>
      </w:tr>
      <w:tr w:rsidR="008551D4" w:rsidRPr="00086565" w14:paraId="609BADA3" w14:textId="77777777" w:rsidTr="009D37AB">
        <w:trPr>
          <w:trHeight w:val="215"/>
        </w:trPr>
        <w:tc>
          <w:tcPr>
            <w:tcW w:w="5000" w:type="pct"/>
            <w:gridSpan w:val="10"/>
            <w:tcBorders>
              <w:top w:val="single" w:sz="4" w:space="0" w:color="auto"/>
              <w:bottom w:val="nil"/>
            </w:tcBorders>
            <w:vAlign w:val="center"/>
            <w:hideMark/>
          </w:tcPr>
          <w:p w14:paraId="0C9F9173" w14:textId="77777777" w:rsidR="008551D4" w:rsidRPr="00AF3797" w:rsidRDefault="008551D4" w:rsidP="009D37AB">
            <w:pPr>
              <w:spacing w:before="100" w:beforeAutospacing="1" w:after="100" w:afterAutospacing="1"/>
              <w:rPr>
                <w:rFonts w:ascii="Times New Roman" w:hAnsi="Times New Roman"/>
                <w:b/>
                <w:color w:val="000000"/>
                <w:spacing w:val="6"/>
                <w:sz w:val="20"/>
              </w:rPr>
            </w:pPr>
            <w:r w:rsidRPr="00AF3797">
              <w:rPr>
                <w:rFonts w:ascii="Times New Roman" w:hAnsi="Times New Roman"/>
                <w:b/>
                <w:color w:val="000000"/>
                <w:spacing w:val="6"/>
                <w:sz w:val="20"/>
              </w:rPr>
              <w:t>Desil 10 oppdelt i persentilene:</w:t>
            </w:r>
          </w:p>
        </w:tc>
      </w:tr>
      <w:tr w:rsidR="008551D4" w:rsidRPr="00086565" w14:paraId="41882266" w14:textId="77777777" w:rsidTr="009D37AB">
        <w:trPr>
          <w:trHeight w:val="119"/>
        </w:trPr>
        <w:tc>
          <w:tcPr>
            <w:tcW w:w="748" w:type="pct"/>
            <w:tcBorders>
              <w:top w:val="nil"/>
            </w:tcBorders>
            <w:vAlign w:val="center"/>
            <w:hideMark/>
          </w:tcPr>
          <w:p w14:paraId="4F611D48"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Persentil 91</w:t>
            </w:r>
          </w:p>
        </w:tc>
        <w:tc>
          <w:tcPr>
            <w:tcW w:w="700" w:type="pct"/>
            <w:gridSpan w:val="3"/>
            <w:tcBorders>
              <w:top w:val="nil"/>
            </w:tcBorders>
            <w:vAlign w:val="bottom"/>
            <w:hideMark/>
          </w:tcPr>
          <w:p w14:paraId="5BAD2F8B"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502 800</w:t>
            </w:r>
          </w:p>
        </w:tc>
        <w:tc>
          <w:tcPr>
            <w:tcW w:w="505" w:type="pct"/>
            <w:gridSpan w:val="2"/>
            <w:tcBorders>
              <w:top w:val="nil"/>
            </w:tcBorders>
            <w:vAlign w:val="bottom"/>
            <w:hideMark/>
          </w:tcPr>
          <w:p w14:paraId="1E05BFEA"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1,4</w:t>
            </w:r>
          </w:p>
        </w:tc>
        <w:tc>
          <w:tcPr>
            <w:tcW w:w="665" w:type="pct"/>
            <w:tcBorders>
              <w:top w:val="nil"/>
            </w:tcBorders>
            <w:vAlign w:val="bottom"/>
            <w:hideMark/>
          </w:tcPr>
          <w:p w14:paraId="5DA0345F"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1,5</w:t>
            </w:r>
          </w:p>
        </w:tc>
        <w:tc>
          <w:tcPr>
            <w:tcW w:w="755" w:type="pct"/>
            <w:tcBorders>
              <w:top w:val="nil"/>
            </w:tcBorders>
            <w:vAlign w:val="bottom"/>
            <w:hideMark/>
          </w:tcPr>
          <w:p w14:paraId="6605FB79"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 xml:space="preserve">754 600 </w:t>
            </w:r>
          </w:p>
        </w:tc>
        <w:tc>
          <w:tcPr>
            <w:tcW w:w="544" w:type="pct"/>
            <w:tcBorders>
              <w:top w:val="nil"/>
            </w:tcBorders>
            <w:vAlign w:val="bottom"/>
            <w:hideMark/>
          </w:tcPr>
          <w:p w14:paraId="0E8D3E6E"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1,5</w:t>
            </w:r>
          </w:p>
        </w:tc>
        <w:tc>
          <w:tcPr>
            <w:tcW w:w="1083" w:type="pct"/>
            <w:tcBorders>
              <w:top w:val="nil"/>
            </w:tcBorders>
            <w:vAlign w:val="bottom"/>
            <w:hideMark/>
          </w:tcPr>
          <w:p w14:paraId="5BA0C3E5"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 xml:space="preserve">           50,1 </w:t>
            </w:r>
          </w:p>
        </w:tc>
      </w:tr>
      <w:tr w:rsidR="008551D4" w:rsidRPr="00086565" w14:paraId="3328A410" w14:textId="77777777" w:rsidTr="009D37AB">
        <w:trPr>
          <w:trHeight w:val="119"/>
        </w:trPr>
        <w:tc>
          <w:tcPr>
            <w:tcW w:w="748" w:type="pct"/>
            <w:vAlign w:val="center"/>
            <w:hideMark/>
          </w:tcPr>
          <w:p w14:paraId="1E9C86B6"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Persentil 92</w:t>
            </w:r>
          </w:p>
        </w:tc>
        <w:tc>
          <w:tcPr>
            <w:tcW w:w="700" w:type="pct"/>
            <w:gridSpan w:val="3"/>
            <w:vAlign w:val="bottom"/>
            <w:hideMark/>
          </w:tcPr>
          <w:p w14:paraId="75E8BDEB"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517 200</w:t>
            </w:r>
          </w:p>
        </w:tc>
        <w:tc>
          <w:tcPr>
            <w:tcW w:w="505" w:type="pct"/>
            <w:gridSpan w:val="2"/>
            <w:vAlign w:val="bottom"/>
            <w:hideMark/>
          </w:tcPr>
          <w:p w14:paraId="7CCADD59"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1,5</w:t>
            </w:r>
          </w:p>
        </w:tc>
        <w:tc>
          <w:tcPr>
            <w:tcW w:w="665" w:type="pct"/>
            <w:vAlign w:val="bottom"/>
            <w:hideMark/>
          </w:tcPr>
          <w:p w14:paraId="0D9A9EA3"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1,5</w:t>
            </w:r>
          </w:p>
        </w:tc>
        <w:tc>
          <w:tcPr>
            <w:tcW w:w="755" w:type="pct"/>
            <w:vAlign w:val="bottom"/>
            <w:hideMark/>
          </w:tcPr>
          <w:p w14:paraId="7FC49E11"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 xml:space="preserve">778 600 </w:t>
            </w:r>
          </w:p>
        </w:tc>
        <w:tc>
          <w:tcPr>
            <w:tcW w:w="544" w:type="pct"/>
            <w:vAlign w:val="bottom"/>
            <w:hideMark/>
          </w:tcPr>
          <w:p w14:paraId="34F0DDA0"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1,5</w:t>
            </w:r>
          </w:p>
        </w:tc>
        <w:tc>
          <w:tcPr>
            <w:tcW w:w="1083" w:type="pct"/>
            <w:vAlign w:val="bottom"/>
            <w:hideMark/>
          </w:tcPr>
          <w:p w14:paraId="177308E3"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 xml:space="preserve">           50,5 </w:t>
            </w:r>
          </w:p>
        </w:tc>
      </w:tr>
      <w:tr w:rsidR="008551D4" w:rsidRPr="00086565" w14:paraId="674911DF" w14:textId="77777777" w:rsidTr="009D37AB">
        <w:trPr>
          <w:trHeight w:val="119"/>
        </w:trPr>
        <w:tc>
          <w:tcPr>
            <w:tcW w:w="748" w:type="pct"/>
            <w:vAlign w:val="center"/>
            <w:hideMark/>
          </w:tcPr>
          <w:p w14:paraId="392ACB1C"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Persentil 93</w:t>
            </w:r>
          </w:p>
        </w:tc>
        <w:tc>
          <w:tcPr>
            <w:tcW w:w="700" w:type="pct"/>
            <w:gridSpan w:val="3"/>
            <w:vAlign w:val="bottom"/>
            <w:hideMark/>
          </w:tcPr>
          <w:p w14:paraId="39BECE15"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536 400</w:t>
            </w:r>
          </w:p>
        </w:tc>
        <w:tc>
          <w:tcPr>
            <w:tcW w:w="505" w:type="pct"/>
            <w:gridSpan w:val="2"/>
            <w:vAlign w:val="bottom"/>
            <w:hideMark/>
          </w:tcPr>
          <w:p w14:paraId="67F4DE75"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1,5</w:t>
            </w:r>
          </w:p>
        </w:tc>
        <w:tc>
          <w:tcPr>
            <w:tcW w:w="665" w:type="pct"/>
            <w:vAlign w:val="bottom"/>
            <w:hideMark/>
          </w:tcPr>
          <w:p w14:paraId="38071EBF"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1,6</w:t>
            </w:r>
          </w:p>
        </w:tc>
        <w:tc>
          <w:tcPr>
            <w:tcW w:w="755" w:type="pct"/>
            <w:vAlign w:val="bottom"/>
            <w:hideMark/>
          </w:tcPr>
          <w:p w14:paraId="043362FA"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 xml:space="preserve">805 000 </w:t>
            </w:r>
          </w:p>
        </w:tc>
        <w:tc>
          <w:tcPr>
            <w:tcW w:w="544" w:type="pct"/>
            <w:vAlign w:val="bottom"/>
            <w:hideMark/>
          </w:tcPr>
          <w:p w14:paraId="4268BF47"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1,6</w:t>
            </w:r>
          </w:p>
        </w:tc>
        <w:tc>
          <w:tcPr>
            <w:tcW w:w="1083" w:type="pct"/>
            <w:vAlign w:val="bottom"/>
            <w:hideMark/>
          </w:tcPr>
          <w:p w14:paraId="477ED1F2"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 xml:space="preserve">           50,1 </w:t>
            </w:r>
          </w:p>
        </w:tc>
      </w:tr>
      <w:tr w:rsidR="008551D4" w:rsidRPr="00086565" w14:paraId="2A9FA699" w14:textId="77777777" w:rsidTr="009D37AB">
        <w:trPr>
          <w:trHeight w:val="119"/>
        </w:trPr>
        <w:tc>
          <w:tcPr>
            <w:tcW w:w="748" w:type="pct"/>
            <w:vAlign w:val="center"/>
            <w:hideMark/>
          </w:tcPr>
          <w:p w14:paraId="793F737F"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Persentil 94</w:t>
            </w:r>
          </w:p>
        </w:tc>
        <w:tc>
          <w:tcPr>
            <w:tcW w:w="700" w:type="pct"/>
            <w:gridSpan w:val="3"/>
            <w:vAlign w:val="bottom"/>
            <w:hideMark/>
          </w:tcPr>
          <w:p w14:paraId="123EC706"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558 000</w:t>
            </w:r>
          </w:p>
        </w:tc>
        <w:tc>
          <w:tcPr>
            <w:tcW w:w="505" w:type="pct"/>
            <w:gridSpan w:val="2"/>
            <w:vAlign w:val="bottom"/>
            <w:hideMark/>
          </w:tcPr>
          <w:p w14:paraId="0D65FCA3"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1,6</w:t>
            </w:r>
          </w:p>
        </w:tc>
        <w:tc>
          <w:tcPr>
            <w:tcW w:w="665" w:type="pct"/>
            <w:vAlign w:val="bottom"/>
            <w:hideMark/>
          </w:tcPr>
          <w:p w14:paraId="1C99A952"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1,7</w:t>
            </w:r>
          </w:p>
        </w:tc>
        <w:tc>
          <w:tcPr>
            <w:tcW w:w="755" w:type="pct"/>
            <w:vAlign w:val="bottom"/>
            <w:hideMark/>
          </w:tcPr>
          <w:p w14:paraId="4E0179CB"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 xml:space="preserve">836 500 </w:t>
            </w:r>
          </w:p>
        </w:tc>
        <w:tc>
          <w:tcPr>
            <w:tcW w:w="544" w:type="pct"/>
            <w:vAlign w:val="bottom"/>
            <w:hideMark/>
          </w:tcPr>
          <w:p w14:paraId="29AA33C5"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1,6</w:t>
            </w:r>
          </w:p>
        </w:tc>
        <w:tc>
          <w:tcPr>
            <w:tcW w:w="1083" w:type="pct"/>
            <w:vAlign w:val="bottom"/>
            <w:hideMark/>
          </w:tcPr>
          <w:p w14:paraId="0190C9F0"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 xml:space="preserve">           49,9 </w:t>
            </w:r>
          </w:p>
        </w:tc>
      </w:tr>
      <w:tr w:rsidR="008551D4" w:rsidRPr="00086565" w14:paraId="52E3B5AA" w14:textId="77777777" w:rsidTr="009D37AB">
        <w:trPr>
          <w:trHeight w:val="119"/>
        </w:trPr>
        <w:tc>
          <w:tcPr>
            <w:tcW w:w="748" w:type="pct"/>
            <w:vAlign w:val="center"/>
            <w:hideMark/>
          </w:tcPr>
          <w:p w14:paraId="49C70E14"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Persentil 95</w:t>
            </w:r>
          </w:p>
        </w:tc>
        <w:tc>
          <w:tcPr>
            <w:tcW w:w="700" w:type="pct"/>
            <w:gridSpan w:val="3"/>
            <w:vAlign w:val="bottom"/>
            <w:hideMark/>
          </w:tcPr>
          <w:p w14:paraId="7473FA14"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584 400</w:t>
            </w:r>
          </w:p>
        </w:tc>
        <w:tc>
          <w:tcPr>
            <w:tcW w:w="505" w:type="pct"/>
            <w:gridSpan w:val="2"/>
            <w:vAlign w:val="bottom"/>
            <w:hideMark/>
          </w:tcPr>
          <w:p w14:paraId="204DCD80"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1,7</w:t>
            </w:r>
          </w:p>
        </w:tc>
        <w:tc>
          <w:tcPr>
            <w:tcW w:w="665" w:type="pct"/>
            <w:vAlign w:val="bottom"/>
            <w:hideMark/>
          </w:tcPr>
          <w:p w14:paraId="63D16145"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1,7</w:t>
            </w:r>
          </w:p>
        </w:tc>
        <w:tc>
          <w:tcPr>
            <w:tcW w:w="755" w:type="pct"/>
            <w:vAlign w:val="bottom"/>
            <w:hideMark/>
          </w:tcPr>
          <w:p w14:paraId="728D6FA0"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 xml:space="preserve">873 700 </w:t>
            </w:r>
          </w:p>
        </w:tc>
        <w:tc>
          <w:tcPr>
            <w:tcW w:w="544" w:type="pct"/>
            <w:vAlign w:val="bottom"/>
            <w:hideMark/>
          </w:tcPr>
          <w:p w14:paraId="37004BFB"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1,7</w:t>
            </w:r>
          </w:p>
        </w:tc>
        <w:tc>
          <w:tcPr>
            <w:tcW w:w="1083" w:type="pct"/>
            <w:vAlign w:val="bottom"/>
            <w:hideMark/>
          </w:tcPr>
          <w:p w14:paraId="216FA398"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 xml:space="preserve">           49,5 </w:t>
            </w:r>
          </w:p>
        </w:tc>
      </w:tr>
      <w:tr w:rsidR="008551D4" w:rsidRPr="00086565" w14:paraId="0D4948A8" w14:textId="77777777" w:rsidTr="009D37AB">
        <w:trPr>
          <w:trHeight w:val="119"/>
        </w:trPr>
        <w:tc>
          <w:tcPr>
            <w:tcW w:w="748" w:type="pct"/>
            <w:vAlign w:val="center"/>
            <w:hideMark/>
          </w:tcPr>
          <w:p w14:paraId="04BD247C"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Persentil 96</w:t>
            </w:r>
          </w:p>
        </w:tc>
        <w:tc>
          <w:tcPr>
            <w:tcW w:w="700" w:type="pct"/>
            <w:gridSpan w:val="3"/>
            <w:vAlign w:val="bottom"/>
            <w:hideMark/>
          </w:tcPr>
          <w:p w14:paraId="672D67D6"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615 600</w:t>
            </w:r>
          </w:p>
        </w:tc>
        <w:tc>
          <w:tcPr>
            <w:tcW w:w="505" w:type="pct"/>
            <w:gridSpan w:val="2"/>
            <w:vAlign w:val="bottom"/>
            <w:hideMark/>
          </w:tcPr>
          <w:p w14:paraId="53F55ED3"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1,8</w:t>
            </w:r>
          </w:p>
        </w:tc>
        <w:tc>
          <w:tcPr>
            <w:tcW w:w="665" w:type="pct"/>
            <w:vAlign w:val="bottom"/>
            <w:hideMark/>
          </w:tcPr>
          <w:p w14:paraId="07439594"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1,8</w:t>
            </w:r>
          </w:p>
        </w:tc>
        <w:tc>
          <w:tcPr>
            <w:tcW w:w="755" w:type="pct"/>
            <w:vAlign w:val="bottom"/>
            <w:hideMark/>
          </w:tcPr>
          <w:p w14:paraId="46CE08D6"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 xml:space="preserve">919 000 </w:t>
            </w:r>
          </w:p>
        </w:tc>
        <w:tc>
          <w:tcPr>
            <w:tcW w:w="544" w:type="pct"/>
            <w:vAlign w:val="bottom"/>
            <w:hideMark/>
          </w:tcPr>
          <w:p w14:paraId="6935CAD0"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1,8</w:t>
            </w:r>
          </w:p>
        </w:tc>
        <w:tc>
          <w:tcPr>
            <w:tcW w:w="1083" w:type="pct"/>
            <w:vAlign w:val="bottom"/>
            <w:hideMark/>
          </w:tcPr>
          <w:p w14:paraId="4FB27BEE"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 xml:space="preserve">           49,3 </w:t>
            </w:r>
          </w:p>
        </w:tc>
      </w:tr>
      <w:tr w:rsidR="008551D4" w:rsidRPr="00086565" w14:paraId="5493940C" w14:textId="77777777" w:rsidTr="009D37AB">
        <w:trPr>
          <w:trHeight w:val="119"/>
        </w:trPr>
        <w:tc>
          <w:tcPr>
            <w:tcW w:w="748" w:type="pct"/>
            <w:vAlign w:val="center"/>
            <w:hideMark/>
          </w:tcPr>
          <w:p w14:paraId="4F751DC9"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Persentil 97</w:t>
            </w:r>
          </w:p>
        </w:tc>
        <w:tc>
          <w:tcPr>
            <w:tcW w:w="700" w:type="pct"/>
            <w:gridSpan w:val="3"/>
            <w:vAlign w:val="bottom"/>
            <w:hideMark/>
          </w:tcPr>
          <w:p w14:paraId="5B04902B"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657 600</w:t>
            </w:r>
          </w:p>
        </w:tc>
        <w:tc>
          <w:tcPr>
            <w:tcW w:w="505" w:type="pct"/>
            <w:gridSpan w:val="2"/>
            <w:vAlign w:val="bottom"/>
            <w:hideMark/>
          </w:tcPr>
          <w:p w14:paraId="591BADE4"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1,9</w:t>
            </w:r>
          </w:p>
        </w:tc>
        <w:tc>
          <w:tcPr>
            <w:tcW w:w="665" w:type="pct"/>
            <w:vAlign w:val="bottom"/>
            <w:hideMark/>
          </w:tcPr>
          <w:p w14:paraId="15EAEFBA"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1,9</w:t>
            </w:r>
          </w:p>
        </w:tc>
        <w:tc>
          <w:tcPr>
            <w:tcW w:w="755" w:type="pct"/>
            <w:vAlign w:val="bottom"/>
            <w:hideMark/>
          </w:tcPr>
          <w:p w14:paraId="70FB7B9F"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 xml:space="preserve">978 000 </w:t>
            </w:r>
          </w:p>
        </w:tc>
        <w:tc>
          <w:tcPr>
            <w:tcW w:w="544" w:type="pct"/>
            <w:vAlign w:val="bottom"/>
            <w:hideMark/>
          </w:tcPr>
          <w:p w14:paraId="7AC286C8"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1,9</w:t>
            </w:r>
          </w:p>
        </w:tc>
        <w:tc>
          <w:tcPr>
            <w:tcW w:w="1083" w:type="pct"/>
            <w:vAlign w:val="bottom"/>
            <w:hideMark/>
          </w:tcPr>
          <w:p w14:paraId="13B9A8F6"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 xml:space="preserve">           48,7 </w:t>
            </w:r>
          </w:p>
        </w:tc>
      </w:tr>
      <w:tr w:rsidR="008551D4" w:rsidRPr="00086565" w14:paraId="5BB2B135" w14:textId="77777777" w:rsidTr="009D37AB">
        <w:trPr>
          <w:trHeight w:val="119"/>
        </w:trPr>
        <w:tc>
          <w:tcPr>
            <w:tcW w:w="748" w:type="pct"/>
            <w:vAlign w:val="center"/>
            <w:hideMark/>
          </w:tcPr>
          <w:p w14:paraId="3CA3706B"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Persentil 98</w:t>
            </w:r>
          </w:p>
        </w:tc>
        <w:tc>
          <w:tcPr>
            <w:tcW w:w="700" w:type="pct"/>
            <w:gridSpan w:val="3"/>
            <w:vAlign w:val="bottom"/>
            <w:hideMark/>
          </w:tcPr>
          <w:p w14:paraId="651C8D77"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714 000</w:t>
            </w:r>
          </w:p>
        </w:tc>
        <w:tc>
          <w:tcPr>
            <w:tcW w:w="505" w:type="pct"/>
            <w:gridSpan w:val="2"/>
            <w:vAlign w:val="bottom"/>
            <w:hideMark/>
          </w:tcPr>
          <w:p w14:paraId="136BEAD8"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2,0</w:t>
            </w:r>
          </w:p>
        </w:tc>
        <w:tc>
          <w:tcPr>
            <w:tcW w:w="665" w:type="pct"/>
            <w:vAlign w:val="bottom"/>
            <w:hideMark/>
          </w:tcPr>
          <w:p w14:paraId="2E1D276D"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2,1</w:t>
            </w:r>
          </w:p>
        </w:tc>
        <w:tc>
          <w:tcPr>
            <w:tcW w:w="755" w:type="pct"/>
            <w:vAlign w:val="bottom"/>
            <w:hideMark/>
          </w:tcPr>
          <w:p w14:paraId="2F7E5AF6"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Pr>
                <w:rFonts w:ascii="Times New Roman" w:hAnsi="Times New Roman"/>
                <w:color w:val="000000"/>
                <w:spacing w:val="6"/>
                <w:sz w:val="20"/>
              </w:rPr>
              <w:t xml:space="preserve"> </w:t>
            </w:r>
            <w:r w:rsidRPr="005047E8">
              <w:rPr>
                <w:rFonts w:ascii="Times New Roman" w:hAnsi="Times New Roman"/>
                <w:color w:val="000000"/>
                <w:spacing w:val="6"/>
                <w:sz w:val="20"/>
              </w:rPr>
              <w:t xml:space="preserve">1 061 000 </w:t>
            </w:r>
          </w:p>
        </w:tc>
        <w:tc>
          <w:tcPr>
            <w:tcW w:w="544" w:type="pct"/>
            <w:vAlign w:val="bottom"/>
            <w:hideMark/>
          </w:tcPr>
          <w:p w14:paraId="1D746B75"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2,1</w:t>
            </w:r>
          </w:p>
        </w:tc>
        <w:tc>
          <w:tcPr>
            <w:tcW w:w="1083" w:type="pct"/>
            <w:vAlign w:val="bottom"/>
            <w:hideMark/>
          </w:tcPr>
          <w:p w14:paraId="164B240D"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 xml:space="preserve">           48,6 </w:t>
            </w:r>
          </w:p>
        </w:tc>
      </w:tr>
      <w:tr w:rsidR="008551D4" w:rsidRPr="00086565" w14:paraId="7D338AB0" w14:textId="77777777" w:rsidTr="009D37AB">
        <w:trPr>
          <w:trHeight w:val="119"/>
        </w:trPr>
        <w:tc>
          <w:tcPr>
            <w:tcW w:w="748" w:type="pct"/>
            <w:vAlign w:val="center"/>
            <w:hideMark/>
          </w:tcPr>
          <w:p w14:paraId="714517B7"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Persentil 99</w:t>
            </w:r>
          </w:p>
        </w:tc>
        <w:tc>
          <w:tcPr>
            <w:tcW w:w="700" w:type="pct"/>
            <w:gridSpan w:val="3"/>
            <w:vAlign w:val="bottom"/>
            <w:hideMark/>
          </w:tcPr>
          <w:p w14:paraId="02ABC30B"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802 800</w:t>
            </w:r>
          </w:p>
        </w:tc>
        <w:tc>
          <w:tcPr>
            <w:tcW w:w="505" w:type="pct"/>
            <w:gridSpan w:val="2"/>
            <w:vAlign w:val="bottom"/>
            <w:hideMark/>
          </w:tcPr>
          <w:p w14:paraId="12661E58"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2,3</w:t>
            </w:r>
          </w:p>
        </w:tc>
        <w:tc>
          <w:tcPr>
            <w:tcW w:w="665" w:type="pct"/>
            <w:vAlign w:val="bottom"/>
            <w:hideMark/>
          </w:tcPr>
          <w:p w14:paraId="72A6C2ED"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2,4</w:t>
            </w:r>
          </w:p>
        </w:tc>
        <w:tc>
          <w:tcPr>
            <w:tcW w:w="755" w:type="pct"/>
            <w:vAlign w:val="bottom"/>
            <w:hideMark/>
          </w:tcPr>
          <w:p w14:paraId="0290EE58"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 xml:space="preserve"> 1 206 400 </w:t>
            </w:r>
          </w:p>
        </w:tc>
        <w:tc>
          <w:tcPr>
            <w:tcW w:w="544" w:type="pct"/>
            <w:vAlign w:val="bottom"/>
            <w:hideMark/>
          </w:tcPr>
          <w:p w14:paraId="0D145D58"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2,4</w:t>
            </w:r>
          </w:p>
        </w:tc>
        <w:tc>
          <w:tcPr>
            <w:tcW w:w="1083" w:type="pct"/>
            <w:vAlign w:val="bottom"/>
            <w:hideMark/>
          </w:tcPr>
          <w:p w14:paraId="614DB55D"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 xml:space="preserve">           50,3 </w:t>
            </w:r>
          </w:p>
        </w:tc>
      </w:tr>
      <w:tr w:rsidR="008551D4" w:rsidRPr="00086565" w14:paraId="3E4EFB4E" w14:textId="77777777" w:rsidTr="009D37AB">
        <w:trPr>
          <w:trHeight w:val="119"/>
        </w:trPr>
        <w:tc>
          <w:tcPr>
            <w:tcW w:w="748" w:type="pct"/>
            <w:tcBorders>
              <w:bottom w:val="single" w:sz="4" w:space="0" w:color="auto"/>
            </w:tcBorders>
            <w:vAlign w:val="center"/>
            <w:hideMark/>
          </w:tcPr>
          <w:p w14:paraId="3D5C71A8" w14:textId="77777777" w:rsidR="008551D4" w:rsidRPr="00086565" w:rsidRDefault="008551D4" w:rsidP="009D37AB">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Persentil 100</w:t>
            </w:r>
          </w:p>
        </w:tc>
        <w:tc>
          <w:tcPr>
            <w:tcW w:w="700" w:type="pct"/>
            <w:gridSpan w:val="3"/>
            <w:tcBorders>
              <w:bottom w:val="single" w:sz="4" w:space="0" w:color="auto"/>
            </w:tcBorders>
            <w:vAlign w:val="bottom"/>
            <w:hideMark/>
          </w:tcPr>
          <w:p w14:paraId="1E810D47"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1 120 800</w:t>
            </w:r>
          </w:p>
        </w:tc>
        <w:tc>
          <w:tcPr>
            <w:tcW w:w="505" w:type="pct"/>
            <w:gridSpan w:val="2"/>
            <w:tcBorders>
              <w:bottom w:val="single" w:sz="4" w:space="0" w:color="auto"/>
            </w:tcBorders>
            <w:vAlign w:val="bottom"/>
            <w:hideMark/>
          </w:tcPr>
          <w:p w14:paraId="57E72F10"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3,2</w:t>
            </w:r>
          </w:p>
        </w:tc>
        <w:tc>
          <w:tcPr>
            <w:tcW w:w="665" w:type="pct"/>
            <w:tcBorders>
              <w:bottom w:val="single" w:sz="4" w:space="0" w:color="auto"/>
            </w:tcBorders>
            <w:vAlign w:val="bottom"/>
            <w:hideMark/>
          </w:tcPr>
          <w:p w14:paraId="5B056396"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3,4</w:t>
            </w:r>
          </w:p>
        </w:tc>
        <w:tc>
          <w:tcPr>
            <w:tcW w:w="755" w:type="pct"/>
            <w:tcBorders>
              <w:bottom w:val="single" w:sz="4" w:space="0" w:color="auto"/>
            </w:tcBorders>
            <w:vAlign w:val="bottom"/>
            <w:hideMark/>
          </w:tcPr>
          <w:p w14:paraId="78CA451C"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 xml:space="preserve"> 1 729 300 </w:t>
            </w:r>
          </w:p>
        </w:tc>
        <w:tc>
          <w:tcPr>
            <w:tcW w:w="544" w:type="pct"/>
            <w:tcBorders>
              <w:bottom w:val="single" w:sz="4" w:space="0" w:color="auto"/>
            </w:tcBorders>
            <w:vAlign w:val="bottom"/>
            <w:hideMark/>
          </w:tcPr>
          <w:p w14:paraId="02CA384A" w14:textId="77777777" w:rsidR="008551D4" w:rsidRPr="005047E8" w:rsidRDefault="008551D4" w:rsidP="009D37AB">
            <w:pPr>
              <w:spacing w:before="100" w:beforeAutospacing="1" w:after="100" w:afterAutospacing="1"/>
              <w:jc w:val="right"/>
              <w:rPr>
                <w:rFonts w:ascii="Times New Roman" w:hAnsi="Times New Roman"/>
                <w:color w:val="000000"/>
                <w:spacing w:val="6"/>
                <w:sz w:val="20"/>
              </w:rPr>
            </w:pPr>
            <w:r w:rsidRPr="005047E8">
              <w:rPr>
                <w:rFonts w:ascii="Times New Roman" w:hAnsi="Times New Roman"/>
                <w:color w:val="000000"/>
                <w:spacing w:val="6"/>
                <w:sz w:val="20"/>
              </w:rPr>
              <w:t>3,4</w:t>
            </w:r>
          </w:p>
        </w:tc>
        <w:tc>
          <w:tcPr>
            <w:tcW w:w="1083" w:type="pct"/>
            <w:tcBorders>
              <w:bottom w:val="single" w:sz="4" w:space="0" w:color="auto"/>
            </w:tcBorders>
            <w:vAlign w:val="bottom"/>
            <w:hideMark/>
          </w:tcPr>
          <w:p w14:paraId="22DE1EC4" w14:textId="77777777" w:rsidR="008551D4" w:rsidRPr="00AF3797" w:rsidRDefault="008551D4" w:rsidP="009D37AB">
            <w:pPr>
              <w:spacing w:before="100" w:beforeAutospacing="1" w:after="100" w:afterAutospacing="1"/>
              <w:jc w:val="right"/>
              <w:rPr>
                <w:rFonts w:ascii="Times New Roman" w:hAnsi="Times New Roman"/>
                <w:color w:val="000000"/>
                <w:spacing w:val="6"/>
                <w:sz w:val="20"/>
              </w:rPr>
            </w:pPr>
            <w:r w:rsidRPr="00AF3797">
              <w:rPr>
                <w:rFonts w:ascii="Times New Roman" w:hAnsi="Times New Roman"/>
                <w:color w:val="000000"/>
                <w:spacing w:val="6"/>
                <w:sz w:val="20"/>
              </w:rPr>
              <w:t xml:space="preserve">           54,3 </w:t>
            </w:r>
          </w:p>
        </w:tc>
      </w:tr>
      <w:tr w:rsidR="002A56E8" w:rsidRPr="00086565" w14:paraId="66EC0726" w14:textId="77777777" w:rsidTr="00782AB0">
        <w:trPr>
          <w:trHeight w:val="217"/>
        </w:trPr>
        <w:tc>
          <w:tcPr>
            <w:tcW w:w="748" w:type="pct"/>
            <w:tcBorders>
              <w:top w:val="single" w:sz="4" w:space="0" w:color="auto"/>
              <w:bottom w:val="single" w:sz="4" w:space="0" w:color="auto"/>
            </w:tcBorders>
            <w:hideMark/>
          </w:tcPr>
          <w:p w14:paraId="770BAF5B" w14:textId="77777777" w:rsidR="002A56E8" w:rsidRPr="00086565" w:rsidRDefault="002A56E8" w:rsidP="00E808A6">
            <w:pPr>
              <w:spacing w:before="100" w:beforeAutospacing="1" w:after="0"/>
              <w:rPr>
                <w:rFonts w:ascii="Times New Roman" w:hAnsi="Times New Roman"/>
                <w:b/>
                <w:bCs/>
                <w:color w:val="000000"/>
                <w:spacing w:val="6"/>
                <w:sz w:val="20"/>
              </w:rPr>
            </w:pPr>
            <w:r w:rsidRPr="00086565">
              <w:rPr>
                <w:rFonts w:ascii="Times New Roman" w:hAnsi="Times New Roman"/>
                <w:b/>
                <w:bCs/>
                <w:color w:val="000000"/>
                <w:spacing w:val="6"/>
                <w:sz w:val="20"/>
              </w:rPr>
              <w:t>Menn</w:t>
            </w:r>
          </w:p>
        </w:tc>
        <w:tc>
          <w:tcPr>
            <w:tcW w:w="700" w:type="pct"/>
            <w:gridSpan w:val="3"/>
            <w:tcBorders>
              <w:top w:val="single" w:sz="4" w:space="0" w:color="auto"/>
              <w:bottom w:val="single" w:sz="4" w:space="0" w:color="auto"/>
            </w:tcBorders>
            <w:hideMark/>
          </w:tcPr>
          <w:p w14:paraId="165335F7" w14:textId="77777777" w:rsidR="002A56E8" w:rsidRPr="00E808A6" w:rsidRDefault="002A56E8" w:rsidP="00E808A6">
            <w:pPr>
              <w:spacing w:before="100" w:beforeAutospacing="1" w:after="0"/>
              <w:jc w:val="right"/>
              <w:rPr>
                <w:rFonts w:ascii="Times New Roman" w:hAnsi="Times New Roman"/>
                <w:b/>
                <w:sz w:val="20"/>
              </w:rPr>
            </w:pPr>
            <w:r w:rsidRPr="00E808A6">
              <w:rPr>
                <w:rFonts w:ascii="Times New Roman" w:hAnsi="Times New Roman"/>
                <w:b/>
                <w:sz w:val="20"/>
              </w:rPr>
              <w:t xml:space="preserve">       374 400 </w:t>
            </w:r>
          </w:p>
        </w:tc>
        <w:tc>
          <w:tcPr>
            <w:tcW w:w="505" w:type="pct"/>
            <w:gridSpan w:val="2"/>
            <w:tcBorders>
              <w:top w:val="single" w:sz="4" w:space="0" w:color="auto"/>
              <w:bottom w:val="single" w:sz="4" w:space="0" w:color="auto"/>
            </w:tcBorders>
            <w:hideMark/>
          </w:tcPr>
          <w:p w14:paraId="1149FA9B" w14:textId="77777777" w:rsidR="002A56E8" w:rsidRPr="00E808A6" w:rsidRDefault="002A56E8" w:rsidP="00E808A6">
            <w:pPr>
              <w:spacing w:before="100" w:beforeAutospacing="1" w:after="0"/>
              <w:jc w:val="right"/>
              <w:rPr>
                <w:rFonts w:ascii="Times New Roman" w:hAnsi="Times New Roman"/>
                <w:b/>
                <w:sz w:val="20"/>
              </w:rPr>
            </w:pPr>
            <w:r w:rsidRPr="00E808A6">
              <w:rPr>
                <w:rFonts w:ascii="Times New Roman" w:hAnsi="Times New Roman"/>
                <w:b/>
                <w:sz w:val="20"/>
              </w:rPr>
              <w:t>100</w:t>
            </w:r>
          </w:p>
        </w:tc>
        <w:tc>
          <w:tcPr>
            <w:tcW w:w="665" w:type="pct"/>
            <w:tcBorders>
              <w:top w:val="single" w:sz="4" w:space="0" w:color="auto"/>
              <w:bottom w:val="single" w:sz="4" w:space="0" w:color="auto"/>
            </w:tcBorders>
            <w:hideMark/>
          </w:tcPr>
          <w:p w14:paraId="5E1FD6C9" w14:textId="77777777" w:rsidR="002A56E8" w:rsidRPr="00E808A6" w:rsidRDefault="002A56E8" w:rsidP="00E808A6">
            <w:pPr>
              <w:spacing w:before="100" w:beforeAutospacing="1" w:after="0"/>
              <w:jc w:val="right"/>
              <w:rPr>
                <w:rFonts w:ascii="Times New Roman" w:hAnsi="Times New Roman"/>
                <w:b/>
                <w:sz w:val="20"/>
              </w:rPr>
            </w:pPr>
            <w:r w:rsidRPr="00E808A6">
              <w:rPr>
                <w:rFonts w:ascii="Times New Roman" w:hAnsi="Times New Roman"/>
                <w:b/>
                <w:sz w:val="20"/>
              </w:rPr>
              <w:t>100</w:t>
            </w:r>
          </w:p>
        </w:tc>
        <w:tc>
          <w:tcPr>
            <w:tcW w:w="650" w:type="pct"/>
            <w:tcBorders>
              <w:top w:val="single" w:sz="4" w:space="0" w:color="auto"/>
              <w:bottom w:val="single" w:sz="4" w:space="0" w:color="auto"/>
            </w:tcBorders>
            <w:hideMark/>
          </w:tcPr>
          <w:p w14:paraId="067FCBFE" w14:textId="77777777" w:rsidR="002A56E8" w:rsidRPr="00782AB0" w:rsidRDefault="008E5AE1" w:rsidP="008E5AE1">
            <w:pPr>
              <w:jc w:val="right"/>
              <w:rPr>
                <w:b/>
                <w:sz w:val="20"/>
                <w:szCs w:val="20"/>
              </w:rPr>
            </w:pPr>
            <w:r w:rsidRPr="00782AB0">
              <w:rPr>
                <w:b/>
                <w:sz w:val="20"/>
                <w:szCs w:val="20"/>
              </w:rPr>
              <w:t xml:space="preserve">538 </w:t>
            </w:r>
            <w:r w:rsidRPr="00782AB0">
              <w:rPr>
                <w:rFonts w:ascii="Times New Roman" w:hAnsi="Times New Roman"/>
                <w:b/>
                <w:sz w:val="20"/>
                <w:szCs w:val="20"/>
              </w:rPr>
              <w:t>800</w:t>
            </w:r>
          </w:p>
        </w:tc>
        <w:tc>
          <w:tcPr>
            <w:tcW w:w="544" w:type="pct"/>
            <w:tcBorders>
              <w:top w:val="single" w:sz="4" w:space="0" w:color="auto"/>
              <w:bottom w:val="single" w:sz="4" w:space="0" w:color="auto"/>
            </w:tcBorders>
            <w:hideMark/>
          </w:tcPr>
          <w:p w14:paraId="6FC1831F" w14:textId="77777777" w:rsidR="002A56E8" w:rsidRPr="00E808A6" w:rsidRDefault="002A56E8" w:rsidP="00E808A6">
            <w:pPr>
              <w:spacing w:after="0"/>
              <w:jc w:val="right"/>
              <w:rPr>
                <w:rFonts w:ascii="Times New Roman" w:hAnsi="Times New Roman"/>
                <w:b/>
                <w:sz w:val="20"/>
              </w:rPr>
            </w:pPr>
            <w:r w:rsidRPr="00E808A6">
              <w:rPr>
                <w:rFonts w:ascii="Times New Roman" w:hAnsi="Times New Roman"/>
                <w:b/>
                <w:sz w:val="20"/>
              </w:rPr>
              <w:t>100</w:t>
            </w:r>
          </w:p>
        </w:tc>
        <w:tc>
          <w:tcPr>
            <w:tcW w:w="1083" w:type="pct"/>
            <w:tcBorders>
              <w:top w:val="single" w:sz="4" w:space="0" w:color="auto"/>
              <w:bottom w:val="single" w:sz="4" w:space="0" w:color="auto"/>
            </w:tcBorders>
            <w:hideMark/>
          </w:tcPr>
          <w:p w14:paraId="6DD030C6" w14:textId="77777777" w:rsidR="002A56E8" w:rsidRPr="00E808A6" w:rsidRDefault="002A56E8" w:rsidP="00E808A6">
            <w:pPr>
              <w:spacing w:before="100" w:beforeAutospacing="1" w:after="0"/>
              <w:jc w:val="right"/>
              <w:rPr>
                <w:rFonts w:ascii="Times New Roman" w:hAnsi="Times New Roman"/>
                <w:b/>
                <w:sz w:val="20"/>
              </w:rPr>
            </w:pPr>
            <w:r w:rsidRPr="00E808A6">
              <w:rPr>
                <w:rFonts w:ascii="Times New Roman" w:hAnsi="Times New Roman"/>
                <w:b/>
                <w:sz w:val="20"/>
              </w:rPr>
              <w:t xml:space="preserve">           43,9 </w:t>
            </w:r>
          </w:p>
        </w:tc>
      </w:tr>
      <w:tr w:rsidR="002A56E8" w:rsidRPr="00086565" w14:paraId="64C7A258" w14:textId="77777777" w:rsidTr="009D37AB">
        <w:trPr>
          <w:trHeight w:val="119"/>
        </w:trPr>
        <w:tc>
          <w:tcPr>
            <w:tcW w:w="748" w:type="pct"/>
            <w:tcBorders>
              <w:top w:val="single" w:sz="4" w:space="0" w:color="auto"/>
            </w:tcBorders>
            <w:vAlign w:val="center"/>
            <w:hideMark/>
          </w:tcPr>
          <w:p w14:paraId="07DB3A50" w14:textId="77777777" w:rsidR="002A56E8" w:rsidRPr="00086565" w:rsidRDefault="002A56E8"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1</w:t>
            </w:r>
          </w:p>
        </w:tc>
        <w:tc>
          <w:tcPr>
            <w:tcW w:w="700" w:type="pct"/>
            <w:gridSpan w:val="3"/>
            <w:tcBorders>
              <w:top w:val="single" w:sz="4" w:space="0" w:color="auto"/>
            </w:tcBorders>
            <w:vAlign w:val="bottom"/>
            <w:hideMark/>
          </w:tcPr>
          <w:p w14:paraId="0058CC0F"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 xml:space="preserve">       213 900 </w:t>
            </w:r>
          </w:p>
        </w:tc>
        <w:tc>
          <w:tcPr>
            <w:tcW w:w="505" w:type="pct"/>
            <w:gridSpan w:val="2"/>
            <w:tcBorders>
              <w:top w:val="single" w:sz="4" w:space="0" w:color="auto"/>
            </w:tcBorders>
            <w:vAlign w:val="bottom"/>
            <w:hideMark/>
          </w:tcPr>
          <w:p w14:paraId="69990961"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5,7</w:t>
            </w:r>
          </w:p>
        </w:tc>
        <w:tc>
          <w:tcPr>
            <w:tcW w:w="665" w:type="pct"/>
            <w:tcBorders>
              <w:top w:val="single" w:sz="4" w:space="0" w:color="auto"/>
            </w:tcBorders>
            <w:vAlign w:val="bottom"/>
            <w:hideMark/>
          </w:tcPr>
          <w:p w14:paraId="2F09B558"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5,1</w:t>
            </w:r>
          </w:p>
        </w:tc>
        <w:tc>
          <w:tcPr>
            <w:tcW w:w="755" w:type="pct"/>
            <w:tcBorders>
              <w:top w:val="single" w:sz="4" w:space="0" w:color="auto"/>
            </w:tcBorders>
            <w:vAlign w:val="bottom"/>
            <w:hideMark/>
          </w:tcPr>
          <w:p w14:paraId="227EB06F" w14:textId="77777777" w:rsidR="002A56E8" w:rsidRPr="002A56E8" w:rsidRDefault="002A56E8" w:rsidP="002A56E8">
            <w:pPr>
              <w:spacing w:before="100" w:beforeAutospacing="1" w:after="100" w:afterAutospacing="1"/>
              <w:jc w:val="right"/>
              <w:rPr>
                <w:rFonts w:ascii="Times New Roman" w:hAnsi="Times New Roman"/>
                <w:color w:val="000000"/>
                <w:spacing w:val="6"/>
                <w:sz w:val="20"/>
              </w:rPr>
            </w:pPr>
            <w:r w:rsidRPr="002A56E8">
              <w:rPr>
                <w:rFonts w:ascii="Times New Roman" w:hAnsi="Times New Roman"/>
                <w:color w:val="000000"/>
                <w:spacing w:val="6"/>
                <w:sz w:val="20"/>
              </w:rPr>
              <w:t xml:space="preserve">         276 000 </w:t>
            </w:r>
          </w:p>
        </w:tc>
        <w:tc>
          <w:tcPr>
            <w:tcW w:w="544" w:type="pct"/>
            <w:tcBorders>
              <w:top w:val="single" w:sz="4" w:space="0" w:color="auto"/>
            </w:tcBorders>
            <w:vAlign w:val="bottom"/>
            <w:hideMark/>
          </w:tcPr>
          <w:p w14:paraId="71436664"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5,1</w:t>
            </w:r>
          </w:p>
        </w:tc>
        <w:tc>
          <w:tcPr>
            <w:tcW w:w="1083" w:type="pct"/>
            <w:tcBorders>
              <w:top w:val="single" w:sz="4" w:space="0" w:color="auto"/>
            </w:tcBorders>
            <w:vAlign w:val="bottom"/>
            <w:hideMark/>
          </w:tcPr>
          <w:p w14:paraId="41BC02E3" w14:textId="77777777" w:rsidR="002A56E8" w:rsidRPr="00CE5A89" w:rsidRDefault="002A56E8"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29,0 </w:t>
            </w:r>
          </w:p>
        </w:tc>
      </w:tr>
      <w:tr w:rsidR="002A56E8" w:rsidRPr="00086565" w14:paraId="5DD48642" w14:textId="77777777" w:rsidTr="009D37AB">
        <w:trPr>
          <w:trHeight w:val="119"/>
        </w:trPr>
        <w:tc>
          <w:tcPr>
            <w:tcW w:w="748" w:type="pct"/>
            <w:vAlign w:val="center"/>
            <w:hideMark/>
          </w:tcPr>
          <w:p w14:paraId="59ABE8AD" w14:textId="77777777" w:rsidR="002A56E8" w:rsidRPr="00086565" w:rsidRDefault="002A56E8"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2</w:t>
            </w:r>
          </w:p>
        </w:tc>
        <w:tc>
          <w:tcPr>
            <w:tcW w:w="700" w:type="pct"/>
            <w:gridSpan w:val="3"/>
            <w:vAlign w:val="bottom"/>
            <w:hideMark/>
          </w:tcPr>
          <w:p w14:paraId="330A2577"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 xml:space="preserve">       258 100 </w:t>
            </w:r>
          </w:p>
        </w:tc>
        <w:tc>
          <w:tcPr>
            <w:tcW w:w="505" w:type="pct"/>
            <w:gridSpan w:val="2"/>
            <w:vAlign w:val="bottom"/>
            <w:hideMark/>
          </w:tcPr>
          <w:p w14:paraId="274C204C"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6,9</w:t>
            </w:r>
          </w:p>
        </w:tc>
        <w:tc>
          <w:tcPr>
            <w:tcW w:w="665" w:type="pct"/>
            <w:vAlign w:val="bottom"/>
            <w:hideMark/>
          </w:tcPr>
          <w:p w14:paraId="2E7FC3D3"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6,6</w:t>
            </w:r>
          </w:p>
        </w:tc>
        <w:tc>
          <w:tcPr>
            <w:tcW w:w="755" w:type="pct"/>
            <w:vAlign w:val="bottom"/>
            <w:hideMark/>
          </w:tcPr>
          <w:p w14:paraId="768842AD" w14:textId="77777777" w:rsidR="002A56E8" w:rsidRPr="002A56E8" w:rsidRDefault="002A56E8" w:rsidP="002A56E8">
            <w:pPr>
              <w:spacing w:before="100" w:beforeAutospacing="1" w:after="100" w:afterAutospacing="1"/>
              <w:jc w:val="right"/>
              <w:rPr>
                <w:rFonts w:ascii="Times New Roman" w:hAnsi="Times New Roman"/>
                <w:color w:val="000000"/>
                <w:spacing w:val="6"/>
                <w:sz w:val="20"/>
              </w:rPr>
            </w:pPr>
            <w:r w:rsidRPr="002A56E8">
              <w:rPr>
                <w:rFonts w:ascii="Times New Roman" w:hAnsi="Times New Roman"/>
                <w:color w:val="000000"/>
                <w:spacing w:val="6"/>
                <w:sz w:val="20"/>
              </w:rPr>
              <w:t xml:space="preserve">         352 800 </w:t>
            </w:r>
          </w:p>
        </w:tc>
        <w:tc>
          <w:tcPr>
            <w:tcW w:w="544" w:type="pct"/>
            <w:vAlign w:val="bottom"/>
            <w:hideMark/>
          </w:tcPr>
          <w:p w14:paraId="6472DC8F"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6,5</w:t>
            </w:r>
          </w:p>
        </w:tc>
        <w:tc>
          <w:tcPr>
            <w:tcW w:w="1083" w:type="pct"/>
            <w:vAlign w:val="bottom"/>
            <w:hideMark/>
          </w:tcPr>
          <w:p w14:paraId="25844194" w14:textId="77777777" w:rsidR="002A56E8" w:rsidRPr="00CE5A89" w:rsidRDefault="002A56E8"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36,7 </w:t>
            </w:r>
          </w:p>
        </w:tc>
      </w:tr>
      <w:tr w:rsidR="002A56E8" w:rsidRPr="00086565" w14:paraId="4F9485DC" w14:textId="77777777" w:rsidTr="009D37AB">
        <w:trPr>
          <w:trHeight w:val="119"/>
        </w:trPr>
        <w:tc>
          <w:tcPr>
            <w:tcW w:w="748" w:type="pct"/>
            <w:vAlign w:val="center"/>
            <w:hideMark/>
          </w:tcPr>
          <w:p w14:paraId="3D2F745C" w14:textId="77777777" w:rsidR="002A56E8" w:rsidRPr="00086565" w:rsidRDefault="002A56E8"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3</w:t>
            </w:r>
          </w:p>
        </w:tc>
        <w:tc>
          <w:tcPr>
            <w:tcW w:w="700" w:type="pct"/>
            <w:gridSpan w:val="3"/>
            <w:vAlign w:val="bottom"/>
            <w:hideMark/>
          </w:tcPr>
          <w:p w14:paraId="608FB3DA"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 xml:space="preserve">       280 500 </w:t>
            </w:r>
          </w:p>
        </w:tc>
        <w:tc>
          <w:tcPr>
            <w:tcW w:w="505" w:type="pct"/>
            <w:gridSpan w:val="2"/>
            <w:vAlign w:val="bottom"/>
            <w:hideMark/>
          </w:tcPr>
          <w:p w14:paraId="03F3A883"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7,5</w:t>
            </w:r>
          </w:p>
        </w:tc>
        <w:tc>
          <w:tcPr>
            <w:tcW w:w="665" w:type="pct"/>
            <w:vAlign w:val="bottom"/>
            <w:hideMark/>
          </w:tcPr>
          <w:p w14:paraId="359455CC"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7,2</w:t>
            </w:r>
          </w:p>
        </w:tc>
        <w:tc>
          <w:tcPr>
            <w:tcW w:w="755" w:type="pct"/>
            <w:vAlign w:val="bottom"/>
            <w:hideMark/>
          </w:tcPr>
          <w:p w14:paraId="16AC5365" w14:textId="77777777" w:rsidR="002A56E8" w:rsidRPr="002A56E8" w:rsidRDefault="002A56E8" w:rsidP="002A56E8">
            <w:pPr>
              <w:spacing w:before="100" w:beforeAutospacing="1" w:after="100" w:afterAutospacing="1"/>
              <w:jc w:val="right"/>
              <w:rPr>
                <w:rFonts w:ascii="Times New Roman" w:hAnsi="Times New Roman"/>
                <w:color w:val="000000"/>
                <w:spacing w:val="6"/>
                <w:sz w:val="20"/>
              </w:rPr>
            </w:pPr>
            <w:r w:rsidRPr="002A56E8">
              <w:rPr>
                <w:rFonts w:ascii="Times New Roman" w:hAnsi="Times New Roman"/>
                <w:color w:val="000000"/>
                <w:spacing w:val="6"/>
                <w:sz w:val="20"/>
              </w:rPr>
              <w:t xml:space="preserve">         390 000 </w:t>
            </w:r>
          </w:p>
        </w:tc>
        <w:tc>
          <w:tcPr>
            <w:tcW w:w="544" w:type="pct"/>
            <w:vAlign w:val="bottom"/>
            <w:hideMark/>
          </w:tcPr>
          <w:p w14:paraId="6C080CD3"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7,2</w:t>
            </w:r>
          </w:p>
        </w:tc>
        <w:tc>
          <w:tcPr>
            <w:tcW w:w="1083" w:type="pct"/>
            <w:vAlign w:val="bottom"/>
            <w:hideMark/>
          </w:tcPr>
          <w:p w14:paraId="0BE0F144" w14:textId="77777777" w:rsidR="002A56E8" w:rsidRPr="00CE5A89" w:rsidRDefault="002A56E8"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39,0 </w:t>
            </w:r>
          </w:p>
        </w:tc>
      </w:tr>
      <w:tr w:rsidR="002A56E8" w:rsidRPr="00086565" w14:paraId="690A828D" w14:textId="77777777" w:rsidTr="009D37AB">
        <w:trPr>
          <w:trHeight w:val="119"/>
        </w:trPr>
        <w:tc>
          <w:tcPr>
            <w:tcW w:w="748" w:type="pct"/>
            <w:vAlign w:val="center"/>
            <w:hideMark/>
          </w:tcPr>
          <w:p w14:paraId="0FE01FB1" w14:textId="77777777" w:rsidR="002A56E8" w:rsidRPr="00086565" w:rsidRDefault="002A56E8"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4</w:t>
            </w:r>
          </w:p>
        </w:tc>
        <w:tc>
          <w:tcPr>
            <w:tcW w:w="700" w:type="pct"/>
            <w:gridSpan w:val="3"/>
            <w:vAlign w:val="bottom"/>
            <w:hideMark/>
          </w:tcPr>
          <w:p w14:paraId="242C89D1"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 xml:space="preserve">       300 700 </w:t>
            </w:r>
          </w:p>
        </w:tc>
        <w:tc>
          <w:tcPr>
            <w:tcW w:w="505" w:type="pct"/>
            <w:gridSpan w:val="2"/>
            <w:vAlign w:val="bottom"/>
            <w:hideMark/>
          </w:tcPr>
          <w:p w14:paraId="5BAFD976"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8,0</w:t>
            </w:r>
          </w:p>
        </w:tc>
        <w:tc>
          <w:tcPr>
            <w:tcW w:w="665" w:type="pct"/>
            <w:vAlign w:val="bottom"/>
            <w:hideMark/>
          </w:tcPr>
          <w:p w14:paraId="04366919"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7,9</w:t>
            </w:r>
          </w:p>
        </w:tc>
        <w:tc>
          <w:tcPr>
            <w:tcW w:w="755" w:type="pct"/>
            <w:vAlign w:val="bottom"/>
            <w:hideMark/>
          </w:tcPr>
          <w:p w14:paraId="366AA6C5" w14:textId="77777777" w:rsidR="002A56E8" w:rsidRPr="002A56E8" w:rsidRDefault="002A56E8" w:rsidP="002A56E8">
            <w:pPr>
              <w:spacing w:before="100" w:beforeAutospacing="1" w:after="100" w:afterAutospacing="1"/>
              <w:jc w:val="right"/>
              <w:rPr>
                <w:rFonts w:ascii="Times New Roman" w:hAnsi="Times New Roman"/>
                <w:color w:val="000000"/>
                <w:spacing w:val="6"/>
                <w:sz w:val="20"/>
              </w:rPr>
            </w:pPr>
            <w:r w:rsidRPr="002A56E8">
              <w:rPr>
                <w:rFonts w:ascii="Times New Roman" w:hAnsi="Times New Roman"/>
                <w:color w:val="000000"/>
                <w:spacing w:val="6"/>
                <w:sz w:val="20"/>
              </w:rPr>
              <w:t xml:space="preserve">         423 600 </w:t>
            </w:r>
          </w:p>
        </w:tc>
        <w:tc>
          <w:tcPr>
            <w:tcW w:w="544" w:type="pct"/>
            <w:vAlign w:val="bottom"/>
            <w:hideMark/>
          </w:tcPr>
          <w:p w14:paraId="348CA05E"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7,9</w:t>
            </w:r>
          </w:p>
        </w:tc>
        <w:tc>
          <w:tcPr>
            <w:tcW w:w="1083" w:type="pct"/>
            <w:vAlign w:val="bottom"/>
            <w:hideMark/>
          </w:tcPr>
          <w:p w14:paraId="11F116F5" w14:textId="77777777" w:rsidR="002A56E8" w:rsidRPr="00CE5A89" w:rsidRDefault="002A56E8"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40,9 </w:t>
            </w:r>
          </w:p>
        </w:tc>
      </w:tr>
      <w:tr w:rsidR="002A56E8" w:rsidRPr="00086565" w14:paraId="1BC9A36D" w14:textId="77777777" w:rsidTr="009D37AB">
        <w:trPr>
          <w:trHeight w:val="119"/>
        </w:trPr>
        <w:tc>
          <w:tcPr>
            <w:tcW w:w="748" w:type="pct"/>
            <w:vAlign w:val="center"/>
            <w:hideMark/>
          </w:tcPr>
          <w:p w14:paraId="533F5B59" w14:textId="77777777" w:rsidR="002A56E8" w:rsidRPr="00086565" w:rsidRDefault="002A56E8"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5</w:t>
            </w:r>
          </w:p>
        </w:tc>
        <w:tc>
          <w:tcPr>
            <w:tcW w:w="700" w:type="pct"/>
            <w:gridSpan w:val="3"/>
            <w:vAlign w:val="bottom"/>
            <w:hideMark/>
          </w:tcPr>
          <w:p w14:paraId="40A05666"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 xml:space="preserve">       321 800 </w:t>
            </w:r>
          </w:p>
        </w:tc>
        <w:tc>
          <w:tcPr>
            <w:tcW w:w="505" w:type="pct"/>
            <w:gridSpan w:val="2"/>
            <w:vAlign w:val="bottom"/>
            <w:hideMark/>
          </w:tcPr>
          <w:p w14:paraId="621F6490"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8,6</w:t>
            </w:r>
          </w:p>
        </w:tc>
        <w:tc>
          <w:tcPr>
            <w:tcW w:w="665" w:type="pct"/>
            <w:vAlign w:val="bottom"/>
            <w:hideMark/>
          </w:tcPr>
          <w:p w14:paraId="6961DC86"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8,5</w:t>
            </w:r>
          </w:p>
        </w:tc>
        <w:tc>
          <w:tcPr>
            <w:tcW w:w="755" w:type="pct"/>
            <w:vAlign w:val="bottom"/>
            <w:hideMark/>
          </w:tcPr>
          <w:p w14:paraId="6A55F651" w14:textId="77777777" w:rsidR="002A56E8" w:rsidRPr="002A56E8" w:rsidRDefault="002A56E8" w:rsidP="002A56E8">
            <w:pPr>
              <w:spacing w:before="100" w:beforeAutospacing="1" w:after="100" w:afterAutospacing="1"/>
              <w:jc w:val="right"/>
              <w:rPr>
                <w:rFonts w:ascii="Times New Roman" w:hAnsi="Times New Roman"/>
                <w:color w:val="000000"/>
                <w:spacing w:val="6"/>
                <w:sz w:val="20"/>
              </w:rPr>
            </w:pPr>
            <w:r w:rsidRPr="002A56E8">
              <w:rPr>
                <w:rFonts w:ascii="Times New Roman" w:hAnsi="Times New Roman"/>
                <w:color w:val="000000"/>
                <w:spacing w:val="6"/>
                <w:sz w:val="20"/>
              </w:rPr>
              <w:t xml:space="preserve">         458 400 </w:t>
            </w:r>
          </w:p>
        </w:tc>
        <w:tc>
          <w:tcPr>
            <w:tcW w:w="544" w:type="pct"/>
            <w:vAlign w:val="bottom"/>
            <w:hideMark/>
          </w:tcPr>
          <w:p w14:paraId="7ED76201"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8,5</w:t>
            </w:r>
          </w:p>
        </w:tc>
        <w:tc>
          <w:tcPr>
            <w:tcW w:w="1083" w:type="pct"/>
            <w:vAlign w:val="bottom"/>
            <w:hideMark/>
          </w:tcPr>
          <w:p w14:paraId="27D7C5BD" w14:textId="77777777" w:rsidR="002A56E8" w:rsidRPr="00CE5A89" w:rsidRDefault="002A56E8"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42,4 </w:t>
            </w:r>
          </w:p>
        </w:tc>
      </w:tr>
      <w:tr w:rsidR="002A56E8" w:rsidRPr="00086565" w14:paraId="63069047" w14:textId="77777777" w:rsidTr="009D37AB">
        <w:trPr>
          <w:trHeight w:val="119"/>
        </w:trPr>
        <w:tc>
          <w:tcPr>
            <w:tcW w:w="748" w:type="pct"/>
            <w:vAlign w:val="center"/>
            <w:hideMark/>
          </w:tcPr>
          <w:p w14:paraId="218F562E" w14:textId="77777777" w:rsidR="002A56E8" w:rsidRPr="00086565" w:rsidRDefault="002A56E8"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6</w:t>
            </w:r>
          </w:p>
        </w:tc>
        <w:tc>
          <w:tcPr>
            <w:tcW w:w="700" w:type="pct"/>
            <w:gridSpan w:val="3"/>
            <w:vAlign w:val="bottom"/>
            <w:hideMark/>
          </w:tcPr>
          <w:p w14:paraId="12E9E46D"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 xml:space="preserve">       347 100 </w:t>
            </w:r>
          </w:p>
        </w:tc>
        <w:tc>
          <w:tcPr>
            <w:tcW w:w="505" w:type="pct"/>
            <w:gridSpan w:val="2"/>
            <w:vAlign w:val="bottom"/>
            <w:hideMark/>
          </w:tcPr>
          <w:p w14:paraId="31ECE88A"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9,3</w:t>
            </w:r>
          </w:p>
        </w:tc>
        <w:tc>
          <w:tcPr>
            <w:tcW w:w="665" w:type="pct"/>
            <w:vAlign w:val="bottom"/>
            <w:hideMark/>
          </w:tcPr>
          <w:p w14:paraId="68A1BFC9"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9,2</w:t>
            </w:r>
          </w:p>
        </w:tc>
        <w:tc>
          <w:tcPr>
            <w:tcW w:w="755" w:type="pct"/>
            <w:vAlign w:val="bottom"/>
            <w:hideMark/>
          </w:tcPr>
          <w:p w14:paraId="20477111" w14:textId="77777777" w:rsidR="002A56E8" w:rsidRPr="002A56E8" w:rsidRDefault="002A56E8" w:rsidP="002A56E8">
            <w:pPr>
              <w:spacing w:before="100" w:beforeAutospacing="1" w:after="100" w:afterAutospacing="1"/>
              <w:jc w:val="right"/>
              <w:rPr>
                <w:rFonts w:ascii="Times New Roman" w:hAnsi="Times New Roman"/>
                <w:color w:val="000000"/>
                <w:spacing w:val="6"/>
                <w:sz w:val="20"/>
              </w:rPr>
            </w:pPr>
            <w:r w:rsidRPr="002A56E8">
              <w:rPr>
                <w:rFonts w:ascii="Times New Roman" w:hAnsi="Times New Roman"/>
                <w:color w:val="000000"/>
                <w:spacing w:val="6"/>
                <w:sz w:val="20"/>
              </w:rPr>
              <w:t xml:space="preserve">         496 800 </w:t>
            </w:r>
          </w:p>
        </w:tc>
        <w:tc>
          <w:tcPr>
            <w:tcW w:w="544" w:type="pct"/>
            <w:vAlign w:val="bottom"/>
            <w:hideMark/>
          </w:tcPr>
          <w:p w14:paraId="6FC953FE"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9,2</w:t>
            </w:r>
          </w:p>
        </w:tc>
        <w:tc>
          <w:tcPr>
            <w:tcW w:w="1083" w:type="pct"/>
            <w:vAlign w:val="bottom"/>
            <w:hideMark/>
          </w:tcPr>
          <w:p w14:paraId="19A827AB" w14:textId="77777777" w:rsidR="002A56E8" w:rsidRPr="00CE5A89" w:rsidRDefault="002A56E8"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43,1 </w:t>
            </w:r>
          </w:p>
        </w:tc>
      </w:tr>
      <w:tr w:rsidR="002A56E8" w:rsidRPr="00086565" w14:paraId="2FC932CE" w14:textId="77777777" w:rsidTr="009D37AB">
        <w:trPr>
          <w:trHeight w:val="119"/>
        </w:trPr>
        <w:tc>
          <w:tcPr>
            <w:tcW w:w="748" w:type="pct"/>
            <w:vAlign w:val="center"/>
            <w:hideMark/>
          </w:tcPr>
          <w:p w14:paraId="0DD9E6BD" w14:textId="77777777" w:rsidR="002A56E8" w:rsidRPr="00086565" w:rsidRDefault="002A56E8"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7</w:t>
            </w:r>
          </w:p>
        </w:tc>
        <w:tc>
          <w:tcPr>
            <w:tcW w:w="700" w:type="pct"/>
            <w:gridSpan w:val="3"/>
            <w:vAlign w:val="bottom"/>
            <w:hideMark/>
          </w:tcPr>
          <w:p w14:paraId="7B758632"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 xml:space="preserve">       376 700 </w:t>
            </w:r>
          </w:p>
        </w:tc>
        <w:tc>
          <w:tcPr>
            <w:tcW w:w="505" w:type="pct"/>
            <w:gridSpan w:val="2"/>
            <w:vAlign w:val="bottom"/>
            <w:hideMark/>
          </w:tcPr>
          <w:p w14:paraId="66AA2C70"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10,1</w:t>
            </w:r>
          </w:p>
        </w:tc>
        <w:tc>
          <w:tcPr>
            <w:tcW w:w="665" w:type="pct"/>
            <w:vAlign w:val="bottom"/>
            <w:hideMark/>
          </w:tcPr>
          <w:p w14:paraId="2977C3B1"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10,1</w:t>
            </w:r>
          </w:p>
        </w:tc>
        <w:tc>
          <w:tcPr>
            <w:tcW w:w="755" w:type="pct"/>
            <w:vAlign w:val="bottom"/>
            <w:hideMark/>
          </w:tcPr>
          <w:p w14:paraId="729B3291" w14:textId="77777777" w:rsidR="002A56E8" w:rsidRPr="002A56E8" w:rsidRDefault="002A56E8" w:rsidP="002A56E8">
            <w:pPr>
              <w:spacing w:before="100" w:beforeAutospacing="1" w:after="100" w:afterAutospacing="1"/>
              <w:jc w:val="right"/>
              <w:rPr>
                <w:rFonts w:ascii="Times New Roman" w:hAnsi="Times New Roman"/>
                <w:color w:val="000000"/>
                <w:spacing w:val="6"/>
                <w:sz w:val="20"/>
              </w:rPr>
            </w:pPr>
            <w:r w:rsidRPr="002A56E8">
              <w:rPr>
                <w:rFonts w:ascii="Times New Roman" w:hAnsi="Times New Roman"/>
                <w:color w:val="000000"/>
                <w:spacing w:val="6"/>
                <w:sz w:val="20"/>
              </w:rPr>
              <w:t xml:space="preserve">         547 200 </w:t>
            </w:r>
          </w:p>
        </w:tc>
        <w:tc>
          <w:tcPr>
            <w:tcW w:w="544" w:type="pct"/>
            <w:vAlign w:val="bottom"/>
            <w:hideMark/>
          </w:tcPr>
          <w:p w14:paraId="46EFD9A4"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10,1</w:t>
            </w:r>
          </w:p>
        </w:tc>
        <w:tc>
          <w:tcPr>
            <w:tcW w:w="1083" w:type="pct"/>
            <w:vAlign w:val="bottom"/>
            <w:hideMark/>
          </w:tcPr>
          <w:p w14:paraId="7A7D30E1" w14:textId="77777777" w:rsidR="002A56E8" w:rsidRPr="00CE5A89" w:rsidRDefault="002A56E8"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45,3 </w:t>
            </w:r>
          </w:p>
        </w:tc>
      </w:tr>
      <w:tr w:rsidR="002A56E8" w:rsidRPr="00086565" w14:paraId="5218601C" w14:textId="77777777" w:rsidTr="009D37AB">
        <w:trPr>
          <w:trHeight w:val="119"/>
        </w:trPr>
        <w:tc>
          <w:tcPr>
            <w:tcW w:w="748" w:type="pct"/>
            <w:vAlign w:val="center"/>
            <w:hideMark/>
          </w:tcPr>
          <w:p w14:paraId="54AEE778" w14:textId="77777777" w:rsidR="002A56E8" w:rsidRPr="00086565" w:rsidRDefault="002A56E8"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8</w:t>
            </w:r>
          </w:p>
        </w:tc>
        <w:tc>
          <w:tcPr>
            <w:tcW w:w="700" w:type="pct"/>
            <w:gridSpan w:val="3"/>
            <w:vAlign w:val="bottom"/>
            <w:hideMark/>
          </w:tcPr>
          <w:p w14:paraId="54F2D03E"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 xml:space="preserve">       419 600 </w:t>
            </w:r>
          </w:p>
        </w:tc>
        <w:tc>
          <w:tcPr>
            <w:tcW w:w="505" w:type="pct"/>
            <w:gridSpan w:val="2"/>
            <w:vAlign w:val="bottom"/>
            <w:hideMark/>
          </w:tcPr>
          <w:p w14:paraId="022BB8B6"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11,2</w:t>
            </w:r>
          </w:p>
        </w:tc>
        <w:tc>
          <w:tcPr>
            <w:tcW w:w="665" w:type="pct"/>
            <w:vAlign w:val="bottom"/>
            <w:hideMark/>
          </w:tcPr>
          <w:p w14:paraId="6259DDF4"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11,4</w:t>
            </w:r>
          </w:p>
        </w:tc>
        <w:tc>
          <w:tcPr>
            <w:tcW w:w="755" w:type="pct"/>
            <w:vAlign w:val="bottom"/>
            <w:hideMark/>
          </w:tcPr>
          <w:p w14:paraId="2CA4D08E" w14:textId="77777777" w:rsidR="002A56E8" w:rsidRPr="002A56E8" w:rsidRDefault="002A56E8" w:rsidP="002A56E8">
            <w:pPr>
              <w:spacing w:before="100" w:beforeAutospacing="1" w:after="100" w:afterAutospacing="1"/>
              <w:jc w:val="right"/>
              <w:rPr>
                <w:rFonts w:ascii="Times New Roman" w:hAnsi="Times New Roman"/>
                <w:color w:val="000000"/>
                <w:spacing w:val="6"/>
                <w:sz w:val="20"/>
              </w:rPr>
            </w:pPr>
            <w:r w:rsidRPr="002A56E8">
              <w:rPr>
                <w:rFonts w:ascii="Times New Roman" w:hAnsi="Times New Roman"/>
                <w:color w:val="000000"/>
                <w:spacing w:val="6"/>
                <w:sz w:val="20"/>
              </w:rPr>
              <w:t xml:space="preserve">         616 800 </w:t>
            </w:r>
          </w:p>
        </w:tc>
        <w:tc>
          <w:tcPr>
            <w:tcW w:w="544" w:type="pct"/>
            <w:vAlign w:val="bottom"/>
            <w:hideMark/>
          </w:tcPr>
          <w:p w14:paraId="49E1AC2E"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11,4</w:t>
            </w:r>
          </w:p>
        </w:tc>
        <w:tc>
          <w:tcPr>
            <w:tcW w:w="1083" w:type="pct"/>
            <w:vAlign w:val="bottom"/>
            <w:hideMark/>
          </w:tcPr>
          <w:p w14:paraId="71973D52" w14:textId="77777777" w:rsidR="002A56E8" w:rsidRPr="00CE5A89" w:rsidRDefault="002A56E8"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47,0 </w:t>
            </w:r>
          </w:p>
        </w:tc>
      </w:tr>
      <w:tr w:rsidR="002A56E8" w:rsidRPr="00086565" w14:paraId="3C5CDE0A" w14:textId="77777777" w:rsidTr="009D37AB">
        <w:trPr>
          <w:trHeight w:val="119"/>
        </w:trPr>
        <w:tc>
          <w:tcPr>
            <w:tcW w:w="748" w:type="pct"/>
            <w:vAlign w:val="center"/>
            <w:hideMark/>
          </w:tcPr>
          <w:p w14:paraId="0C2BEC9D" w14:textId="77777777" w:rsidR="002A56E8" w:rsidRPr="00086565" w:rsidRDefault="002A56E8"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9</w:t>
            </w:r>
          </w:p>
        </w:tc>
        <w:tc>
          <w:tcPr>
            <w:tcW w:w="700" w:type="pct"/>
            <w:gridSpan w:val="3"/>
            <w:vAlign w:val="bottom"/>
            <w:hideMark/>
          </w:tcPr>
          <w:p w14:paraId="0C20FFBB"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 xml:space="preserve">       492 300 </w:t>
            </w:r>
          </w:p>
        </w:tc>
        <w:tc>
          <w:tcPr>
            <w:tcW w:w="505" w:type="pct"/>
            <w:gridSpan w:val="2"/>
            <w:vAlign w:val="bottom"/>
            <w:hideMark/>
          </w:tcPr>
          <w:p w14:paraId="68FF615A"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13,2</w:t>
            </w:r>
          </w:p>
        </w:tc>
        <w:tc>
          <w:tcPr>
            <w:tcW w:w="665" w:type="pct"/>
            <w:vAlign w:val="bottom"/>
            <w:hideMark/>
          </w:tcPr>
          <w:p w14:paraId="2846B148"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13,5</w:t>
            </w:r>
          </w:p>
        </w:tc>
        <w:tc>
          <w:tcPr>
            <w:tcW w:w="755" w:type="pct"/>
            <w:vAlign w:val="bottom"/>
            <w:hideMark/>
          </w:tcPr>
          <w:p w14:paraId="3B0BED1A" w14:textId="77777777" w:rsidR="002A56E8" w:rsidRPr="002A56E8" w:rsidRDefault="002A56E8" w:rsidP="002A56E8">
            <w:pPr>
              <w:spacing w:before="100" w:beforeAutospacing="1" w:after="100" w:afterAutospacing="1"/>
              <w:jc w:val="right"/>
              <w:rPr>
                <w:rFonts w:ascii="Times New Roman" w:hAnsi="Times New Roman"/>
                <w:color w:val="000000"/>
                <w:spacing w:val="6"/>
                <w:sz w:val="20"/>
              </w:rPr>
            </w:pPr>
            <w:r w:rsidRPr="002A56E8">
              <w:rPr>
                <w:rFonts w:ascii="Times New Roman" w:hAnsi="Times New Roman"/>
                <w:color w:val="000000"/>
                <w:spacing w:val="6"/>
                <w:sz w:val="20"/>
              </w:rPr>
              <w:t xml:space="preserve">         730 800 </w:t>
            </w:r>
          </w:p>
        </w:tc>
        <w:tc>
          <w:tcPr>
            <w:tcW w:w="544" w:type="pct"/>
            <w:vAlign w:val="bottom"/>
            <w:hideMark/>
          </w:tcPr>
          <w:p w14:paraId="5393BF08"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13,6</w:t>
            </w:r>
          </w:p>
        </w:tc>
        <w:tc>
          <w:tcPr>
            <w:tcW w:w="1083" w:type="pct"/>
            <w:vAlign w:val="bottom"/>
            <w:hideMark/>
          </w:tcPr>
          <w:p w14:paraId="661485C6" w14:textId="77777777" w:rsidR="002A56E8" w:rsidRPr="00CE5A89" w:rsidRDefault="002A56E8"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48,4 </w:t>
            </w:r>
          </w:p>
        </w:tc>
      </w:tr>
      <w:tr w:rsidR="002A56E8" w:rsidRPr="00086565" w14:paraId="689A8A99" w14:textId="77777777" w:rsidTr="009D37AB">
        <w:trPr>
          <w:trHeight w:val="119"/>
        </w:trPr>
        <w:tc>
          <w:tcPr>
            <w:tcW w:w="748" w:type="pct"/>
            <w:tcBorders>
              <w:bottom w:val="single" w:sz="4" w:space="0" w:color="auto"/>
            </w:tcBorders>
            <w:vAlign w:val="center"/>
            <w:hideMark/>
          </w:tcPr>
          <w:p w14:paraId="51BEE8B1" w14:textId="77777777" w:rsidR="002A56E8" w:rsidRPr="00086565" w:rsidRDefault="002A56E8"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10</w:t>
            </w:r>
          </w:p>
        </w:tc>
        <w:tc>
          <w:tcPr>
            <w:tcW w:w="700" w:type="pct"/>
            <w:gridSpan w:val="3"/>
            <w:tcBorders>
              <w:bottom w:val="single" w:sz="4" w:space="0" w:color="auto"/>
            </w:tcBorders>
            <w:vAlign w:val="bottom"/>
            <w:hideMark/>
          </w:tcPr>
          <w:p w14:paraId="23F1BDF2"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 xml:space="preserve">       733 400 </w:t>
            </w:r>
          </w:p>
        </w:tc>
        <w:tc>
          <w:tcPr>
            <w:tcW w:w="505" w:type="pct"/>
            <w:gridSpan w:val="2"/>
            <w:tcBorders>
              <w:bottom w:val="single" w:sz="4" w:space="0" w:color="auto"/>
            </w:tcBorders>
            <w:vAlign w:val="bottom"/>
            <w:hideMark/>
          </w:tcPr>
          <w:p w14:paraId="0C10B91F" w14:textId="77777777" w:rsidR="002A56E8" w:rsidRPr="00E808A6" w:rsidRDefault="002A56E8"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19,6</w:t>
            </w:r>
          </w:p>
        </w:tc>
        <w:tc>
          <w:tcPr>
            <w:tcW w:w="665" w:type="pct"/>
            <w:tcBorders>
              <w:bottom w:val="single" w:sz="4" w:space="0" w:color="auto"/>
            </w:tcBorders>
            <w:vAlign w:val="bottom"/>
            <w:hideMark/>
          </w:tcPr>
          <w:p w14:paraId="789A8352"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20,4</w:t>
            </w:r>
          </w:p>
        </w:tc>
        <w:tc>
          <w:tcPr>
            <w:tcW w:w="755" w:type="pct"/>
            <w:tcBorders>
              <w:bottom w:val="single" w:sz="4" w:space="0" w:color="auto"/>
            </w:tcBorders>
            <w:vAlign w:val="bottom"/>
            <w:hideMark/>
          </w:tcPr>
          <w:p w14:paraId="5AACCF4F" w14:textId="77777777" w:rsidR="002A56E8" w:rsidRPr="002A56E8" w:rsidRDefault="002A56E8" w:rsidP="002A56E8">
            <w:pPr>
              <w:spacing w:before="100" w:beforeAutospacing="1" w:after="100" w:afterAutospacing="1"/>
              <w:jc w:val="right"/>
              <w:rPr>
                <w:rFonts w:ascii="Times New Roman" w:hAnsi="Times New Roman"/>
                <w:color w:val="000000"/>
                <w:spacing w:val="6"/>
                <w:sz w:val="20"/>
              </w:rPr>
            </w:pPr>
            <w:r w:rsidRPr="002A56E8">
              <w:rPr>
                <w:rFonts w:ascii="Times New Roman" w:hAnsi="Times New Roman"/>
                <w:color w:val="000000"/>
                <w:spacing w:val="6"/>
                <w:sz w:val="20"/>
              </w:rPr>
              <w:t xml:space="preserve">       1 096 800 </w:t>
            </w:r>
          </w:p>
        </w:tc>
        <w:tc>
          <w:tcPr>
            <w:tcW w:w="544" w:type="pct"/>
            <w:tcBorders>
              <w:bottom w:val="single" w:sz="4" w:space="0" w:color="auto"/>
            </w:tcBorders>
            <w:vAlign w:val="bottom"/>
            <w:hideMark/>
          </w:tcPr>
          <w:p w14:paraId="3299E08B" w14:textId="77777777" w:rsidR="002A56E8" w:rsidRPr="005F1413" w:rsidRDefault="002A56E8" w:rsidP="00E808A6">
            <w:pPr>
              <w:spacing w:after="0"/>
              <w:jc w:val="right"/>
              <w:rPr>
                <w:rFonts w:ascii="Times New Roman" w:hAnsi="Times New Roman"/>
                <w:color w:val="000000"/>
                <w:spacing w:val="6"/>
                <w:sz w:val="20"/>
              </w:rPr>
            </w:pPr>
            <w:r w:rsidRPr="005F1413">
              <w:rPr>
                <w:rFonts w:ascii="Times New Roman" w:hAnsi="Times New Roman"/>
                <w:color w:val="000000"/>
                <w:spacing w:val="6"/>
                <w:sz w:val="20"/>
              </w:rPr>
              <w:t>20,4</w:t>
            </w:r>
          </w:p>
        </w:tc>
        <w:tc>
          <w:tcPr>
            <w:tcW w:w="1083" w:type="pct"/>
            <w:tcBorders>
              <w:bottom w:val="single" w:sz="4" w:space="0" w:color="auto"/>
            </w:tcBorders>
            <w:vAlign w:val="bottom"/>
            <w:hideMark/>
          </w:tcPr>
          <w:p w14:paraId="5447FBFA" w14:textId="77777777" w:rsidR="002A56E8" w:rsidRPr="00CE5A89" w:rsidRDefault="002A56E8"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49,6 </w:t>
            </w:r>
          </w:p>
        </w:tc>
      </w:tr>
      <w:tr w:rsidR="008551D4" w:rsidRPr="00062251" w14:paraId="5DE962EE" w14:textId="77777777" w:rsidTr="00E21E64">
        <w:trPr>
          <w:trHeight w:val="222"/>
        </w:trPr>
        <w:tc>
          <w:tcPr>
            <w:tcW w:w="863" w:type="pct"/>
            <w:gridSpan w:val="2"/>
            <w:tcBorders>
              <w:top w:val="single" w:sz="4" w:space="0" w:color="auto"/>
              <w:bottom w:val="single" w:sz="4" w:space="0" w:color="auto"/>
            </w:tcBorders>
            <w:hideMark/>
          </w:tcPr>
          <w:p w14:paraId="0BC3F530" w14:textId="77777777" w:rsidR="008551D4" w:rsidRPr="00086565" w:rsidRDefault="008551D4" w:rsidP="00E808A6">
            <w:pPr>
              <w:spacing w:after="0"/>
              <w:jc w:val="right"/>
              <w:rPr>
                <w:rFonts w:ascii="Times New Roman" w:hAnsi="Times New Roman"/>
                <w:color w:val="000000"/>
                <w:spacing w:val="6"/>
                <w:sz w:val="20"/>
              </w:rPr>
            </w:pPr>
            <w:r w:rsidRPr="00086565">
              <w:rPr>
                <w:rFonts w:ascii="Times New Roman" w:hAnsi="Times New Roman"/>
                <w:color w:val="000000"/>
                <w:spacing w:val="6"/>
                <w:sz w:val="20"/>
              </w:rPr>
              <w:t>Gini-koeffisient</w:t>
            </w:r>
          </w:p>
        </w:tc>
        <w:tc>
          <w:tcPr>
            <w:tcW w:w="585" w:type="pct"/>
            <w:gridSpan w:val="2"/>
            <w:tcBorders>
              <w:top w:val="single" w:sz="4" w:space="0" w:color="auto"/>
              <w:bottom w:val="single" w:sz="4" w:space="0" w:color="auto"/>
            </w:tcBorders>
            <w:hideMark/>
          </w:tcPr>
          <w:p w14:paraId="77A1F199" w14:textId="77777777" w:rsidR="008551D4" w:rsidRPr="00086565" w:rsidRDefault="008551D4" w:rsidP="00E808A6">
            <w:pPr>
              <w:spacing w:after="0"/>
              <w:jc w:val="right"/>
              <w:rPr>
                <w:rFonts w:ascii="Times New Roman" w:hAnsi="Times New Roman"/>
                <w:color w:val="000000"/>
                <w:spacing w:val="6"/>
                <w:sz w:val="20"/>
              </w:rPr>
            </w:pPr>
          </w:p>
        </w:tc>
        <w:tc>
          <w:tcPr>
            <w:tcW w:w="505" w:type="pct"/>
            <w:gridSpan w:val="2"/>
            <w:tcBorders>
              <w:top w:val="single" w:sz="4" w:space="0" w:color="auto"/>
              <w:bottom w:val="single" w:sz="4" w:space="0" w:color="auto"/>
            </w:tcBorders>
            <w:hideMark/>
          </w:tcPr>
          <w:p w14:paraId="1ABE7F82" w14:textId="77777777" w:rsidR="008551D4" w:rsidRPr="00E808A6" w:rsidRDefault="008551D4" w:rsidP="00E808A6">
            <w:pPr>
              <w:spacing w:after="0"/>
              <w:jc w:val="right"/>
              <w:rPr>
                <w:rFonts w:ascii="Times New Roman" w:hAnsi="Times New Roman"/>
                <w:color w:val="000000"/>
                <w:spacing w:val="6"/>
                <w:sz w:val="20"/>
              </w:rPr>
            </w:pPr>
            <w:r w:rsidRPr="00E808A6">
              <w:rPr>
                <w:rFonts w:ascii="Times New Roman" w:hAnsi="Times New Roman"/>
                <w:color w:val="000000"/>
                <w:spacing w:val="6"/>
                <w:sz w:val="20"/>
              </w:rPr>
              <w:t>0,198</w:t>
            </w:r>
          </w:p>
        </w:tc>
        <w:tc>
          <w:tcPr>
            <w:tcW w:w="665" w:type="pct"/>
            <w:tcBorders>
              <w:top w:val="single" w:sz="4" w:space="0" w:color="auto"/>
              <w:bottom w:val="single" w:sz="4" w:space="0" w:color="auto"/>
            </w:tcBorders>
            <w:hideMark/>
          </w:tcPr>
          <w:p w14:paraId="192E5AB2" w14:textId="77777777" w:rsidR="008551D4" w:rsidRPr="00062251" w:rsidRDefault="008551D4" w:rsidP="00E808A6">
            <w:pPr>
              <w:spacing w:after="0"/>
              <w:jc w:val="right"/>
              <w:rPr>
                <w:rFonts w:ascii="Times New Roman" w:hAnsi="Times New Roman"/>
                <w:color w:val="000000"/>
                <w:spacing w:val="6"/>
                <w:sz w:val="20"/>
              </w:rPr>
            </w:pPr>
            <w:r>
              <w:rPr>
                <w:rFonts w:ascii="Times New Roman" w:hAnsi="Times New Roman"/>
                <w:color w:val="000000"/>
                <w:spacing w:val="6"/>
                <w:sz w:val="20"/>
              </w:rPr>
              <w:t xml:space="preserve">         </w:t>
            </w:r>
            <w:r w:rsidRPr="00062251">
              <w:rPr>
                <w:rFonts w:ascii="Times New Roman" w:hAnsi="Times New Roman"/>
                <w:color w:val="000000"/>
                <w:spacing w:val="6"/>
                <w:sz w:val="20"/>
              </w:rPr>
              <w:t xml:space="preserve">0,220 </w:t>
            </w:r>
          </w:p>
        </w:tc>
        <w:tc>
          <w:tcPr>
            <w:tcW w:w="755" w:type="pct"/>
            <w:tcBorders>
              <w:top w:val="single" w:sz="4" w:space="0" w:color="auto"/>
              <w:bottom w:val="single" w:sz="4" w:space="0" w:color="auto"/>
            </w:tcBorders>
            <w:hideMark/>
          </w:tcPr>
          <w:p w14:paraId="225A288C" w14:textId="77777777" w:rsidR="008551D4" w:rsidRPr="00062251" w:rsidRDefault="008551D4" w:rsidP="00E808A6">
            <w:pPr>
              <w:spacing w:after="0"/>
              <w:jc w:val="right"/>
              <w:rPr>
                <w:rFonts w:ascii="Times New Roman" w:hAnsi="Times New Roman"/>
                <w:color w:val="000000"/>
                <w:spacing w:val="6"/>
                <w:sz w:val="20"/>
              </w:rPr>
            </w:pPr>
          </w:p>
        </w:tc>
        <w:tc>
          <w:tcPr>
            <w:tcW w:w="544" w:type="pct"/>
            <w:tcBorders>
              <w:top w:val="single" w:sz="4" w:space="0" w:color="auto"/>
              <w:bottom w:val="single" w:sz="4" w:space="0" w:color="auto"/>
            </w:tcBorders>
            <w:hideMark/>
          </w:tcPr>
          <w:p w14:paraId="77D23A14" w14:textId="77777777" w:rsidR="008551D4" w:rsidRPr="00062251" w:rsidRDefault="00E21E64" w:rsidP="00E808A6">
            <w:pPr>
              <w:spacing w:after="0"/>
              <w:rPr>
                <w:rFonts w:ascii="Times New Roman" w:hAnsi="Times New Roman"/>
                <w:color w:val="000000"/>
                <w:spacing w:val="6"/>
                <w:sz w:val="20"/>
              </w:rPr>
            </w:pPr>
            <w:r>
              <w:rPr>
                <w:rFonts w:ascii="Times New Roman" w:hAnsi="Times New Roman"/>
                <w:color w:val="000000"/>
                <w:spacing w:val="6"/>
                <w:sz w:val="20"/>
              </w:rPr>
              <w:t xml:space="preserve">      </w:t>
            </w:r>
            <w:r w:rsidR="008551D4" w:rsidRPr="00062251">
              <w:rPr>
                <w:rFonts w:ascii="Times New Roman" w:hAnsi="Times New Roman"/>
                <w:color w:val="000000"/>
                <w:spacing w:val="6"/>
                <w:sz w:val="20"/>
              </w:rPr>
              <w:t xml:space="preserve">0,220 </w:t>
            </w:r>
          </w:p>
        </w:tc>
        <w:tc>
          <w:tcPr>
            <w:tcW w:w="1083" w:type="pct"/>
            <w:tcBorders>
              <w:top w:val="single" w:sz="4" w:space="0" w:color="auto"/>
              <w:bottom w:val="single" w:sz="4" w:space="0" w:color="auto"/>
            </w:tcBorders>
            <w:hideMark/>
          </w:tcPr>
          <w:p w14:paraId="570B0C72" w14:textId="77777777" w:rsidR="008551D4" w:rsidRPr="00086565" w:rsidRDefault="008551D4" w:rsidP="00E808A6">
            <w:pPr>
              <w:spacing w:after="0"/>
              <w:jc w:val="right"/>
              <w:rPr>
                <w:rFonts w:ascii="Times New Roman" w:hAnsi="Times New Roman"/>
                <w:color w:val="000000"/>
                <w:spacing w:val="6"/>
                <w:sz w:val="20"/>
              </w:rPr>
            </w:pPr>
            <w:r w:rsidRPr="00086565">
              <w:rPr>
                <w:rFonts w:ascii="Times New Roman" w:hAnsi="Times New Roman"/>
                <w:color w:val="000000"/>
                <w:spacing w:val="6"/>
                <w:sz w:val="20"/>
              </w:rPr>
              <w:t> </w:t>
            </w:r>
          </w:p>
        </w:tc>
      </w:tr>
      <w:tr w:rsidR="008551D4" w:rsidRPr="00086565" w14:paraId="4D136C33" w14:textId="77777777" w:rsidTr="009D37AB">
        <w:trPr>
          <w:trHeight w:val="119"/>
        </w:trPr>
        <w:tc>
          <w:tcPr>
            <w:tcW w:w="748" w:type="pct"/>
            <w:tcBorders>
              <w:top w:val="single" w:sz="4" w:space="0" w:color="auto"/>
              <w:bottom w:val="single" w:sz="4" w:space="0" w:color="auto"/>
            </w:tcBorders>
            <w:vAlign w:val="center"/>
            <w:hideMark/>
          </w:tcPr>
          <w:p w14:paraId="5D85256B" w14:textId="77777777" w:rsidR="008551D4" w:rsidRPr="00086565" w:rsidRDefault="008551D4" w:rsidP="00E808A6">
            <w:pPr>
              <w:spacing w:after="0"/>
              <w:rPr>
                <w:rFonts w:ascii="Times New Roman" w:hAnsi="Times New Roman"/>
                <w:b/>
                <w:bCs/>
                <w:color w:val="000000"/>
                <w:spacing w:val="6"/>
                <w:sz w:val="20"/>
              </w:rPr>
            </w:pPr>
            <w:r w:rsidRPr="00086565">
              <w:rPr>
                <w:rFonts w:ascii="Times New Roman" w:hAnsi="Times New Roman"/>
                <w:b/>
                <w:bCs/>
                <w:color w:val="000000"/>
                <w:spacing w:val="6"/>
                <w:sz w:val="20"/>
              </w:rPr>
              <w:t>Kvinner</w:t>
            </w:r>
          </w:p>
        </w:tc>
        <w:tc>
          <w:tcPr>
            <w:tcW w:w="700" w:type="pct"/>
            <w:gridSpan w:val="3"/>
            <w:tcBorders>
              <w:top w:val="single" w:sz="4" w:space="0" w:color="auto"/>
              <w:bottom w:val="single" w:sz="4" w:space="0" w:color="auto"/>
            </w:tcBorders>
            <w:hideMark/>
          </w:tcPr>
          <w:p w14:paraId="57F9555B" w14:textId="77777777" w:rsidR="008551D4" w:rsidRPr="00E808A6" w:rsidRDefault="008551D4" w:rsidP="00E808A6">
            <w:pPr>
              <w:spacing w:before="100" w:beforeAutospacing="1" w:after="0"/>
              <w:jc w:val="right"/>
              <w:rPr>
                <w:rFonts w:ascii="Times New Roman" w:hAnsi="Times New Roman"/>
                <w:b/>
                <w:sz w:val="20"/>
              </w:rPr>
            </w:pPr>
            <w:r w:rsidRPr="00E808A6">
              <w:rPr>
                <w:rFonts w:ascii="Times New Roman" w:hAnsi="Times New Roman"/>
                <w:b/>
                <w:sz w:val="20"/>
              </w:rPr>
              <w:t>317 200</w:t>
            </w:r>
          </w:p>
        </w:tc>
        <w:tc>
          <w:tcPr>
            <w:tcW w:w="505" w:type="pct"/>
            <w:gridSpan w:val="2"/>
            <w:tcBorders>
              <w:top w:val="single" w:sz="4" w:space="0" w:color="auto"/>
              <w:bottom w:val="single" w:sz="4" w:space="0" w:color="auto"/>
            </w:tcBorders>
            <w:hideMark/>
          </w:tcPr>
          <w:p w14:paraId="134C7BF2" w14:textId="77777777" w:rsidR="008551D4" w:rsidRPr="00E808A6" w:rsidRDefault="008551D4" w:rsidP="00E808A6">
            <w:pPr>
              <w:spacing w:before="100" w:beforeAutospacing="1" w:after="0"/>
              <w:jc w:val="right"/>
              <w:rPr>
                <w:rFonts w:ascii="Times New Roman" w:hAnsi="Times New Roman"/>
                <w:b/>
                <w:sz w:val="20"/>
              </w:rPr>
            </w:pPr>
            <w:r w:rsidRPr="00E808A6">
              <w:rPr>
                <w:rFonts w:ascii="Times New Roman" w:hAnsi="Times New Roman"/>
                <w:b/>
                <w:sz w:val="20"/>
              </w:rPr>
              <w:t>100</w:t>
            </w:r>
          </w:p>
        </w:tc>
        <w:tc>
          <w:tcPr>
            <w:tcW w:w="665" w:type="pct"/>
            <w:tcBorders>
              <w:top w:val="single" w:sz="4" w:space="0" w:color="auto"/>
              <w:bottom w:val="single" w:sz="4" w:space="0" w:color="auto"/>
            </w:tcBorders>
            <w:hideMark/>
          </w:tcPr>
          <w:p w14:paraId="783BBE5D" w14:textId="77777777" w:rsidR="008551D4" w:rsidRPr="00E808A6" w:rsidRDefault="008551D4" w:rsidP="00E808A6">
            <w:pPr>
              <w:spacing w:before="100" w:beforeAutospacing="1" w:after="0"/>
              <w:jc w:val="right"/>
              <w:rPr>
                <w:rFonts w:ascii="Times New Roman" w:hAnsi="Times New Roman"/>
                <w:b/>
                <w:sz w:val="20"/>
              </w:rPr>
            </w:pPr>
            <w:r w:rsidRPr="00E808A6">
              <w:rPr>
                <w:rFonts w:ascii="Times New Roman" w:hAnsi="Times New Roman"/>
                <w:b/>
                <w:sz w:val="20"/>
              </w:rPr>
              <w:t>100,0</w:t>
            </w:r>
          </w:p>
        </w:tc>
        <w:tc>
          <w:tcPr>
            <w:tcW w:w="755" w:type="pct"/>
            <w:tcBorders>
              <w:top w:val="single" w:sz="4" w:space="0" w:color="auto"/>
              <w:bottom w:val="single" w:sz="4" w:space="0" w:color="auto"/>
            </w:tcBorders>
            <w:hideMark/>
          </w:tcPr>
          <w:p w14:paraId="2702F29E" w14:textId="77777777" w:rsidR="008551D4" w:rsidRPr="00E808A6" w:rsidRDefault="008551D4" w:rsidP="00E808A6">
            <w:pPr>
              <w:spacing w:before="100" w:beforeAutospacing="1" w:after="0"/>
              <w:jc w:val="right"/>
              <w:rPr>
                <w:rFonts w:ascii="Times New Roman" w:hAnsi="Times New Roman"/>
                <w:b/>
                <w:sz w:val="20"/>
              </w:rPr>
            </w:pPr>
            <w:r w:rsidRPr="00E808A6">
              <w:rPr>
                <w:rFonts w:ascii="Times New Roman" w:hAnsi="Times New Roman"/>
                <w:b/>
                <w:sz w:val="20"/>
              </w:rPr>
              <w:t>465 600</w:t>
            </w:r>
          </w:p>
        </w:tc>
        <w:tc>
          <w:tcPr>
            <w:tcW w:w="544" w:type="pct"/>
            <w:tcBorders>
              <w:top w:val="single" w:sz="4" w:space="0" w:color="auto"/>
              <w:bottom w:val="single" w:sz="4" w:space="0" w:color="auto"/>
            </w:tcBorders>
            <w:hideMark/>
          </w:tcPr>
          <w:p w14:paraId="3722628D" w14:textId="77777777" w:rsidR="008551D4" w:rsidRPr="00E808A6" w:rsidRDefault="008551D4" w:rsidP="00E808A6">
            <w:pPr>
              <w:spacing w:before="100" w:beforeAutospacing="1" w:after="0"/>
              <w:jc w:val="right"/>
              <w:rPr>
                <w:rFonts w:ascii="Times New Roman" w:hAnsi="Times New Roman"/>
                <w:b/>
                <w:sz w:val="20"/>
              </w:rPr>
            </w:pPr>
            <w:r w:rsidRPr="00E808A6">
              <w:rPr>
                <w:rFonts w:ascii="Times New Roman" w:hAnsi="Times New Roman"/>
                <w:b/>
                <w:sz w:val="20"/>
              </w:rPr>
              <w:t>100,0</w:t>
            </w:r>
          </w:p>
        </w:tc>
        <w:tc>
          <w:tcPr>
            <w:tcW w:w="1083" w:type="pct"/>
            <w:tcBorders>
              <w:top w:val="single" w:sz="4" w:space="0" w:color="auto"/>
              <w:bottom w:val="single" w:sz="4" w:space="0" w:color="auto"/>
            </w:tcBorders>
            <w:vAlign w:val="bottom"/>
            <w:hideMark/>
          </w:tcPr>
          <w:p w14:paraId="3D2B9C2E" w14:textId="77777777" w:rsidR="008551D4" w:rsidRPr="00E808A6" w:rsidRDefault="008551D4" w:rsidP="00E808A6">
            <w:pPr>
              <w:spacing w:before="100" w:beforeAutospacing="1" w:after="0"/>
              <w:jc w:val="right"/>
              <w:rPr>
                <w:rFonts w:ascii="Times New Roman" w:hAnsi="Times New Roman"/>
                <w:b/>
                <w:sz w:val="20"/>
              </w:rPr>
            </w:pPr>
            <w:r w:rsidRPr="00E808A6">
              <w:rPr>
                <w:rFonts w:ascii="Times New Roman" w:hAnsi="Times New Roman"/>
                <w:b/>
                <w:sz w:val="20"/>
              </w:rPr>
              <w:t xml:space="preserve">           46,8 </w:t>
            </w:r>
          </w:p>
        </w:tc>
      </w:tr>
      <w:tr w:rsidR="008551D4" w:rsidRPr="00086565" w14:paraId="478EC18F" w14:textId="77777777" w:rsidTr="009D37AB">
        <w:trPr>
          <w:trHeight w:val="119"/>
        </w:trPr>
        <w:tc>
          <w:tcPr>
            <w:tcW w:w="748" w:type="pct"/>
            <w:tcBorders>
              <w:top w:val="single" w:sz="4" w:space="0" w:color="auto"/>
            </w:tcBorders>
            <w:vAlign w:val="center"/>
            <w:hideMark/>
          </w:tcPr>
          <w:p w14:paraId="7D2AB20C" w14:textId="77777777" w:rsidR="008551D4" w:rsidRPr="00086565" w:rsidRDefault="008551D4"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1</w:t>
            </w:r>
          </w:p>
        </w:tc>
        <w:tc>
          <w:tcPr>
            <w:tcW w:w="700" w:type="pct"/>
            <w:gridSpan w:val="3"/>
            <w:tcBorders>
              <w:top w:val="single" w:sz="4" w:space="0" w:color="auto"/>
            </w:tcBorders>
            <w:vAlign w:val="bottom"/>
            <w:hideMark/>
          </w:tcPr>
          <w:p w14:paraId="69FD682C"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207 500 </w:t>
            </w:r>
          </w:p>
        </w:tc>
        <w:tc>
          <w:tcPr>
            <w:tcW w:w="505" w:type="pct"/>
            <w:gridSpan w:val="2"/>
            <w:tcBorders>
              <w:top w:val="single" w:sz="4" w:space="0" w:color="auto"/>
            </w:tcBorders>
            <w:vAlign w:val="bottom"/>
            <w:hideMark/>
          </w:tcPr>
          <w:p w14:paraId="39925CE4"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6,5</w:t>
            </w:r>
          </w:p>
        </w:tc>
        <w:tc>
          <w:tcPr>
            <w:tcW w:w="665" w:type="pct"/>
            <w:tcBorders>
              <w:top w:val="single" w:sz="4" w:space="0" w:color="auto"/>
            </w:tcBorders>
            <w:vAlign w:val="bottom"/>
            <w:hideMark/>
          </w:tcPr>
          <w:p w14:paraId="3F0268CD"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5,9</w:t>
            </w:r>
          </w:p>
        </w:tc>
        <w:tc>
          <w:tcPr>
            <w:tcW w:w="755" w:type="pct"/>
            <w:tcBorders>
              <w:top w:val="single" w:sz="4" w:space="0" w:color="auto"/>
            </w:tcBorders>
            <w:vAlign w:val="bottom"/>
            <w:hideMark/>
          </w:tcPr>
          <w:p w14:paraId="5A7B4F5F" w14:textId="77777777" w:rsidR="008551D4" w:rsidRPr="00A21E66" w:rsidRDefault="008551D4" w:rsidP="00E808A6">
            <w:pPr>
              <w:spacing w:after="0"/>
              <w:rPr>
                <w:rFonts w:ascii="Times New Roman" w:hAnsi="Times New Roman"/>
                <w:color w:val="000000"/>
                <w:spacing w:val="6"/>
                <w:sz w:val="20"/>
              </w:rPr>
            </w:pPr>
            <w:r w:rsidRPr="00A21E66">
              <w:rPr>
                <w:rFonts w:ascii="Times New Roman" w:hAnsi="Times New Roman"/>
                <w:color w:val="000000"/>
                <w:spacing w:val="6"/>
                <w:sz w:val="20"/>
              </w:rPr>
              <w:t xml:space="preserve">         274 800 </w:t>
            </w:r>
          </w:p>
        </w:tc>
        <w:tc>
          <w:tcPr>
            <w:tcW w:w="544" w:type="pct"/>
            <w:tcBorders>
              <w:top w:val="single" w:sz="4" w:space="0" w:color="auto"/>
            </w:tcBorders>
            <w:vAlign w:val="bottom"/>
            <w:hideMark/>
          </w:tcPr>
          <w:p w14:paraId="47A0D39E"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5,9</w:t>
            </w:r>
          </w:p>
        </w:tc>
        <w:tc>
          <w:tcPr>
            <w:tcW w:w="1083" w:type="pct"/>
            <w:tcBorders>
              <w:top w:val="single" w:sz="4" w:space="0" w:color="auto"/>
            </w:tcBorders>
            <w:vAlign w:val="bottom"/>
            <w:hideMark/>
          </w:tcPr>
          <w:p w14:paraId="7FE321A5"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32,4 </w:t>
            </w:r>
          </w:p>
        </w:tc>
      </w:tr>
      <w:tr w:rsidR="008551D4" w:rsidRPr="00086565" w14:paraId="50C04A70" w14:textId="77777777" w:rsidTr="009D37AB">
        <w:trPr>
          <w:trHeight w:val="119"/>
        </w:trPr>
        <w:tc>
          <w:tcPr>
            <w:tcW w:w="748" w:type="pct"/>
            <w:vAlign w:val="center"/>
            <w:hideMark/>
          </w:tcPr>
          <w:p w14:paraId="4AA46649" w14:textId="77777777" w:rsidR="008551D4" w:rsidRPr="00086565" w:rsidRDefault="008551D4"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2</w:t>
            </w:r>
          </w:p>
        </w:tc>
        <w:tc>
          <w:tcPr>
            <w:tcW w:w="700" w:type="pct"/>
            <w:gridSpan w:val="3"/>
            <w:vAlign w:val="bottom"/>
            <w:hideMark/>
          </w:tcPr>
          <w:p w14:paraId="1FF4E878"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242 500 </w:t>
            </w:r>
          </w:p>
        </w:tc>
        <w:tc>
          <w:tcPr>
            <w:tcW w:w="505" w:type="pct"/>
            <w:gridSpan w:val="2"/>
            <w:vAlign w:val="bottom"/>
            <w:hideMark/>
          </w:tcPr>
          <w:p w14:paraId="1187174B"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7,7</w:t>
            </w:r>
          </w:p>
        </w:tc>
        <w:tc>
          <w:tcPr>
            <w:tcW w:w="665" w:type="pct"/>
            <w:vAlign w:val="bottom"/>
            <w:hideMark/>
          </w:tcPr>
          <w:p w14:paraId="0695479B"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7,3</w:t>
            </w:r>
          </w:p>
        </w:tc>
        <w:tc>
          <w:tcPr>
            <w:tcW w:w="755" w:type="pct"/>
            <w:vAlign w:val="bottom"/>
            <w:hideMark/>
          </w:tcPr>
          <w:p w14:paraId="27E8B0FE" w14:textId="77777777" w:rsidR="008551D4" w:rsidRPr="00A21E66" w:rsidRDefault="008551D4" w:rsidP="00E808A6">
            <w:pPr>
              <w:spacing w:after="0"/>
              <w:rPr>
                <w:rFonts w:ascii="Times New Roman" w:hAnsi="Times New Roman"/>
                <w:color w:val="000000"/>
                <w:spacing w:val="6"/>
                <w:sz w:val="20"/>
              </w:rPr>
            </w:pPr>
            <w:r w:rsidRPr="00A21E66">
              <w:rPr>
                <w:rFonts w:ascii="Times New Roman" w:hAnsi="Times New Roman"/>
                <w:color w:val="000000"/>
                <w:spacing w:val="6"/>
                <w:sz w:val="20"/>
              </w:rPr>
              <w:t xml:space="preserve">         338 400 </w:t>
            </w:r>
          </w:p>
        </w:tc>
        <w:tc>
          <w:tcPr>
            <w:tcW w:w="544" w:type="pct"/>
            <w:vAlign w:val="bottom"/>
            <w:hideMark/>
          </w:tcPr>
          <w:p w14:paraId="24DAD625"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7,3</w:t>
            </w:r>
          </w:p>
        </w:tc>
        <w:tc>
          <w:tcPr>
            <w:tcW w:w="1083" w:type="pct"/>
            <w:vAlign w:val="bottom"/>
            <w:hideMark/>
          </w:tcPr>
          <w:p w14:paraId="7A56030F"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39,5 </w:t>
            </w:r>
          </w:p>
        </w:tc>
      </w:tr>
      <w:tr w:rsidR="008551D4" w:rsidRPr="00086565" w14:paraId="6D771775" w14:textId="77777777" w:rsidTr="009D37AB">
        <w:trPr>
          <w:trHeight w:val="119"/>
        </w:trPr>
        <w:tc>
          <w:tcPr>
            <w:tcW w:w="748" w:type="pct"/>
            <w:vAlign w:val="center"/>
            <w:hideMark/>
          </w:tcPr>
          <w:p w14:paraId="7BF48B6B" w14:textId="77777777" w:rsidR="008551D4" w:rsidRPr="00086565" w:rsidRDefault="008551D4"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3</w:t>
            </w:r>
          </w:p>
        </w:tc>
        <w:tc>
          <w:tcPr>
            <w:tcW w:w="700" w:type="pct"/>
            <w:gridSpan w:val="3"/>
            <w:vAlign w:val="bottom"/>
            <w:hideMark/>
          </w:tcPr>
          <w:p w14:paraId="6F9574D0"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258 200 </w:t>
            </w:r>
          </w:p>
        </w:tc>
        <w:tc>
          <w:tcPr>
            <w:tcW w:w="505" w:type="pct"/>
            <w:gridSpan w:val="2"/>
            <w:vAlign w:val="bottom"/>
            <w:hideMark/>
          </w:tcPr>
          <w:p w14:paraId="53AF53F6"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8,1</w:t>
            </w:r>
          </w:p>
        </w:tc>
        <w:tc>
          <w:tcPr>
            <w:tcW w:w="665" w:type="pct"/>
            <w:vAlign w:val="bottom"/>
            <w:hideMark/>
          </w:tcPr>
          <w:p w14:paraId="0834DCB6"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8,0</w:t>
            </w:r>
          </w:p>
        </w:tc>
        <w:tc>
          <w:tcPr>
            <w:tcW w:w="755" w:type="pct"/>
            <w:vAlign w:val="bottom"/>
            <w:hideMark/>
          </w:tcPr>
          <w:p w14:paraId="6F03EB82" w14:textId="77777777" w:rsidR="008551D4" w:rsidRPr="00A21E66" w:rsidRDefault="008551D4" w:rsidP="00E808A6">
            <w:pPr>
              <w:spacing w:after="0"/>
              <w:rPr>
                <w:rFonts w:ascii="Times New Roman" w:hAnsi="Times New Roman"/>
                <w:color w:val="000000"/>
                <w:spacing w:val="6"/>
                <w:sz w:val="20"/>
              </w:rPr>
            </w:pPr>
            <w:r w:rsidRPr="00A21E66">
              <w:rPr>
                <w:rFonts w:ascii="Times New Roman" w:hAnsi="Times New Roman"/>
                <w:color w:val="000000"/>
                <w:spacing w:val="6"/>
                <w:sz w:val="20"/>
              </w:rPr>
              <w:t xml:space="preserve">         370 800 </w:t>
            </w:r>
          </w:p>
        </w:tc>
        <w:tc>
          <w:tcPr>
            <w:tcW w:w="544" w:type="pct"/>
            <w:vAlign w:val="bottom"/>
            <w:hideMark/>
          </w:tcPr>
          <w:p w14:paraId="046EDFAE"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8,0</w:t>
            </w:r>
          </w:p>
        </w:tc>
        <w:tc>
          <w:tcPr>
            <w:tcW w:w="1083" w:type="pct"/>
            <w:vAlign w:val="bottom"/>
            <w:hideMark/>
          </w:tcPr>
          <w:p w14:paraId="2C87B6A8"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43,6 </w:t>
            </w:r>
          </w:p>
        </w:tc>
      </w:tr>
      <w:tr w:rsidR="008551D4" w:rsidRPr="00086565" w14:paraId="4BFFB613" w14:textId="77777777" w:rsidTr="009D37AB">
        <w:trPr>
          <w:trHeight w:val="119"/>
        </w:trPr>
        <w:tc>
          <w:tcPr>
            <w:tcW w:w="748" w:type="pct"/>
            <w:vAlign w:val="center"/>
            <w:hideMark/>
          </w:tcPr>
          <w:p w14:paraId="0CCBC7D6" w14:textId="77777777" w:rsidR="008551D4" w:rsidRPr="00086565" w:rsidRDefault="008551D4"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4</w:t>
            </w:r>
          </w:p>
        </w:tc>
        <w:tc>
          <w:tcPr>
            <w:tcW w:w="700" w:type="pct"/>
            <w:gridSpan w:val="3"/>
            <w:vAlign w:val="bottom"/>
            <w:hideMark/>
          </w:tcPr>
          <w:p w14:paraId="00BE189D"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274 000 </w:t>
            </w:r>
          </w:p>
        </w:tc>
        <w:tc>
          <w:tcPr>
            <w:tcW w:w="505" w:type="pct"/>
            <w:gridSpan w:val="2"/>
            <w:vAlign w:val="bottom"/>
            <w:hideMark/>
          </w:tcPr>
          <w:p w14:paraId="17C2F789"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8,6</w:t>
            </w:r>
          </w:p>
        </w:tc>
        <w:tc>
          <w:tcPr>
            <w:tcW w:w="665" w:type="pct"/>
            <w:vAlign w:val="bottom"/>
            <w:hideMark/>
          </w:tcPr>
          <w:p w14:paraId="2D9EF499"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8,6</w:t>
            </w:r>
          </w:p>
        </w:tc>
        <w:tc>
          <w:tcPr>
            <w:tcW w:w="755" w:type="pct"/>
            <w:vAlign w:val="bottom"/>
            <w:hideMark/>
          </w:tcPr>
          <w:p w14:paraId="461A6EE8" w14:textId="77777777" w:rsidR="008551D4" w:rsidRPr="00A21E66" w:rsidRDefault="008551D4" w:rsidP="00E808A6">
            <w:pPr>
              <w:spacing w:after="0"/>
              <w:rPr>
                <w:rFonts w:ascii="Times New Roman" w:hAnsi="Times New Roman"/>
                <w:color w:val="000000"/>
                <w:spacing w:val="6"/>
                <w:sz w:val="20"/>
              </w:rPr>
            </w:pPr>
            <w:r w:rsidRPr="00A21E66">
              <w:rPr>
                <w:rFonts w:ascii="Times New Roman" w:hAnsi="Times New Roman"/>
                <w:color w:val="000000"/>
                <w:spacing w:val="6"/>
                <w:sz w:val="20"/>
              </w:rPr>
              <w:t xml:space="preserve">         399 600 </w:t>
            </w:r>
          </w:p>
        </w:tc>
        <w:tc>
          <w:tcPr>
            <w:tcW w:w="544" w:type="pct"/>
            <w:vAlign w:val="bottom"/>
            <w:hideMark/>
          </w:tcPr>
          <w:p w14:paraId="7F1D89E4"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8,6</w:t>
            </w:r>
          </w:p>
        </w:tc>
        <w:tc>
          <w:tcPr>
            <w:tcW w:w="1083" w:type="pct"/>
            <w:vAlign w:val="bottom"/>
            <w:hideMark/>
          </w:tcPr>
          <w:p w14:paraId="2B3FDCA0"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45,8 </w:t>
            </w:r>
          </w:p>
        </w:tc>
      </w:tr>
      <w:tr w:rsidR="008551D4" w:rsidRPr="00086565" w14:paraId="0E5797C7" w14:textId="77777777" w:rsidTr="009D37AB">
        <w:trPr>
          <w:trHeight w:val="119"/>
        </w:trPr>
        <w:tc>
          <w:tcPr>
            <w:tcW w:w="748" w:type="pct"/>
            <w:vAlign w:val="center"/>
            <w:hideMark/>
          </w:tcPr>
          <w:p w14:paraId="2BF8C97A" w14:textId="77777777" w:rsidR="008551D4" w:rsidRPr="00086565" w:rsidRDefault="008551D4"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5</w:t>
            </w:r>
          </w:p>
        </w:tc>
        <w:tc>
          <w:tcPr>
            <w:tcW w:w="700" w:type="pct"/>
            <w:gridSpan w:val="3"/>
            <w:vAlign w:val="bottom"/>
            <w:hideMark/>
          </w:tcPr>
          <w:p w14:paraId="0256073E"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291 600 </w:t>
            </w:r>
          </w:p>
        </w:tc>
        <w:tc>
          <w:tcPr>
            <w:tcW w:w="505" w:type="pct"/>
            <w:gridSpan w:val="2"/>
            <w:vAlign w:val="bottom"/>
            <w:hideMark/>
          </w:tcPr>
          <w:p w14:paraId="396098A9"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9,2</w:t>
            </w:r>
          </w:p>
        </w:tc>
        <w:tc>
          <w:tcPr>
            <w:tcW w:w="665" w:type="pct"/>
            <w:vAlign w:val="bottom"/>
            <w:hideMark/>
          </w:tcPr>
          <w:p w14:paraId="49CD5BA5"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9,2</w:t>
            </w:r>
          </w:p>
        </w:tc>
        <w:tc>
          <w:tcPr>
            <w:tcW w:w="755" w:type="pct"/>
            <w:vAlign w:val="bottom"/>
            <w:hideMark/>
          </w:tcPr>
          <w:p w14:paraId="6641A806" w14:textId="77777777" w:rsidR="008551D4" w:rsidRPr="00A21E66" w:rsidRDefault="008551D4" w:rsidP="00E808A6">
            <w:pPr>
              <w:spacing w:after="0"/>
              <w:rPr>
                <w:rFonts w:ascii="Times New Roman" w:hAnsi="Times New Roman"/>
                <w:color w:val="000000"/>
                <w:spacing w:val="6"/>
                <w:sz w:val="20"/>
              </w:rPr>
            </w:pPr>
            <w:r w:rsidRPr="00A21E66">
              <w:rPr>
                <w:rFonts w:ascii="Times New Roman" w:hAnsi="Times New Roman"/>
                <w:color w:val="000000"/>
                <w:spacing w:val="6"/>
                <w:sz w:val="20"/>
              </w:rPr>
              <w:t xml:space="preserve">         429 600 </w:t>
            </w:r>
          </w:p>
        </w:tc>
        <w:tc>
          <w:tcPr>
            <w:tcW w:w="544" w:type="pct"/>
            <w:vAlign w:val="bottom"/>
            <w:hideMark/>
          </w:tcPr>
          <w:p w14:paraId="7FD7DB46"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9,2</w:t>
            </w:r>
          </w:p>
        </w:tc>
        <w:tc>
          <w:tcPr>
            <w:tcW w:w="1083" w:type="pct"/>
            <w:vAlign w:val="bottom"/>
            <w:hideMark/>
          </w:tcPr>
          <w:p w14:paraId="1703F841"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47,3 </w:t>
            </w:r>
          </w:p>
        </w:tc>
      </w:tr>
      <w:tr w:rsidR="008551D4" w:rsidRPr="00086565" w14:paraId="446F2832" w14:textId="77777777" w:rsidTr="009D37AB">
        <w:trPr>
          <w:trHeight w:val="119"/>
        </w:trPr>
        <w:tc>
          <w:tcPr>
            <w:tcW w:w="748" w:type="pct"/>
            <w:vAlign w:val="center"/>
            <w:hideMark/>
          </w:tcPr>
          <w:p w14:paraId="51666FAE" w14:textId="77777777" w:rsidR="008551D4" w:rsidRPr="00086565" w:rsidRDefault="008551D4"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6</w:t>
            </w:r>
          </w:p>
        </w:tc>
        <w:tc>
          <w:tcPr>
            <w:tcW w:w="700" w:type="pct"/>
            <w:gridSpan w:val="3"/>
            <w:vAlign w:val="bottom"/>
            <w:hideMark/>
          </w:tcPr>
          <w:p w14:paraId="61D73D80"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308 300 </w:t>
            </w:r>
          </w:p>
        </w:tc>
        <w:tc>
          <w:tcPr>
            <w:tcW w:w="505" w:type="pct"/>
            <w:gridSpan w:val="2"/>
            <w:vAlign w:val="bottom"/>
            <w:hideMark/>
          </w:tcPr>
          <w:p w14:paraId="195F48CB"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9,7</w:t>
            </w:r>
          </w:p>
        </w:tc>
        <w:tc>
          <w:tcPr>
            <w:tcW w:w="665" w:type="pct"/>
            <w:vAlign w:val="bottom"/>
            <w:hideMark/>
          </w:tcPr>
          <w:p w14:paraId="77785FCC"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9,8</w:t>
            </w:r>
          </w:p>
        </w:tc>
        <w:tc>
          <w:tcPr>
            <w:tcW w:w="755" w:type="pct"/>
            <w:vAlign w:val="bottom"/>
            <w:hideMark/>
          </w:tcPr>
          <w:p w14:paraId="5FFFFCF5" w14:textId="77777777" w:rsidR="008551D4" w:rsidRPr="00A21E66" w:rsidRDefault="008551D4" w:rsidP="00E808A6">
            <w:pPr>
              <w:spacing w:after="0"/>
              <w:rPr>
                <w:rFonts w:ascii="Times New Roman" w:hAnsi="Times New Roman"/>
                <w:color w:val="000000"/>
                <w:spacing w:val="6"/>
                <w:sz w:val="20"/>
              </w:rPr>
            </w:pPr>
            <w:r w:rsidRPr="00A21E66">
              <w:rPr>
                <w:rFonts w:ascii="Times New Roman" w:hAnsi="Times New Roman"/>
                <w:color w:val="000000"/>
                <w:spacing w:val="6"/>
                <w:sz w:val="20"/>
              </w:rPr>
              <w:t xml:space="preserve">         456 000 </w:t>
            </w:r>
          </w:p>
        </w:tc>
        <w:tc>
          <w:tcPr>
            <w:tcW w:w="544" w:type="pct"/>
            <w:vAlign w:val="bottom"/>
            <w:hideMark/>
          </w:tcPr>
          <w:p w14:paraId="7A9839E9"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9,8</w:t>
            </w:r>
          </w:p>
        </w:tc>
        <w:tc>
          <w:tcPr>
            <w:tcW w:w="1083" w:type="pct"/>
            <w:vAlign w:val="bottom"/>
            <w:hideMark/>
          </w:tcPr>
          <w:p w14:paraId="3CF2A9F6"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47,9 </w:t>
            </w:r>
          </w:p>
        </w:tc>
      </w:tr>
      <w:tr w:rsidR="008551D4" w:rsidRPr="00086565" w14:paraId="61E1865B" w14:textId="77777777" w:rsidTr="009D37AB">
        <w:trPr>
          <w:trHeight w:val="119"/>
        </w:trPr>
        <w:tc>
          <w:tcPr>
            <w:tcW w:w="748" w:type="pct"/>
            <w:vAlign w:val="center"/>
            <w:hideMark/>
          </w:tcPr>
          <w:p w14:paraId="7765DA3B" w14:textId="77777777" w:rsidR="008551D4" w:rsidRPr="00086565" w:rsidRDefault="008551D4"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7</w:t>
            </w:r>
          </w:p>
        </w:tc>
        <w:tc>
          <w:tcPr>
            <w:tcW w:w="700" w:type="pct"/>
            <w:gridSpan w:val="3"/>
            <w:vAlign w:val="bottom"/>
            <w:hideMark/>
          </w:tcPr>
          <w:p w14:paraId="197201FF"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328 100 </w:t>
            </w:r>
          </w:p>
        </w:tc>
        <w:tc>
          <w:tcPr>
            <w:tcW w:w="505" w:type="pct"/>
            <w:gridSpan w:val="2"/>
            <w:vAlign w:val="bottom"/>
            <w:hideMark/>
          </w:tcPr>
          <w:p w14:paraId="45C35127"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10,3</w:t>
            </w:r>
          </w:p>
        </w:tc>
        <w:tc>
          <w:tcPr>
            <w:tcW w:w="665" w:type="pct"/>
            <w:vAlign w:val="bottom"/>
            <w:hideMark/>
          </w:tcPr>
          <w:p w14:paraId="710D23E0"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10,4</w:t>
            </w:r>
          </w:p>
        </w:tc>
        <w:tc>
          <w:tcPr>
            <w:tcW w:w="755" w:type="pct"/>
            <w:vAlign w:val="bottom"/>
            <w:hideMark/>
          </w:tcPr>
          <w:p w14:paraId="202638FF" w14:textId="77777777" w:rsidR="008551D4" w:rsidRPr="00A21E66" w:rsidRDefault="008551D4" w:rsidP="00E808A6">
            <w:pPr>
              <w:spacing w:after="0"/>
              <w:rPr>
                <w:rFonts w:ascii="Times New Roman" w:hAnsi="Times New Roman"/>
                <w:color w:val="000000"/>
                <w:spacing w:val="6"/>
                <w:sz w:val="20"/>
              </w:rPr>
            </w:pPr>
            <w:r w:rsidRPr="00A21E66">
              <w:rPr>
                <w:rFonts w:ascii="Times New Roman" w:hAnsi="Times New Roman"/>
                <w:color w:val="000000"/>
                <w:spacing w:val="6"/>
                <w:sz w:val="20"/>
              </w:rPr>
              <w:t xml:space="preserve">         486 000 </w:t>
            </w:r>
          </w:p>
        </w:tc>
        <w:tc>
          <w:tcPr>
            <w:tcW w:w="544" w:type="pct"/>
            <w:vAlign w:val="bottom"/>
            <w:hideMark/>
          </w:tcPr>
          <w:p w14:paraId="75654269"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10,4</w:t>
            </w:r>
          </w:p>
        </w:tc>
        <w:tc>
          <w:tcPr>
            <w:tcW w:w="1083" w:type="pct"/>
            <w:vAlign w:val="bottom"/>
            <w:hideMark/>
          </w:tcPr>
          <w:p w14:paraId="48B1A3B1"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48,1 </w:t>
            </w:r>
          </w:p>
        </w:tc>
      </w:tr>
      <w:tr w:rsidR="008551D4" w:rsidRPr="00086565" w14:paraId="6AAC1F59" w14:textId="77777777" w:rsidTr="009D37AB">
        <w:trPr>
          <w:trHeight w:val="119"/>
        </w:trPr>
        <w:tc>
          <w:tcPr>
            <w:tcW w:w="748" w:type="pct"/>
            <w:vAlign w:val="center"/>
            <w:hideMark/>
          </w:tcPr>
          <w:p w14:paraId="23EC2EB9" w14:textId="77777777" w:rsidR="008551D4" w:rsidRPr="00086565" w:rsidRDefault="008551D4"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8</w:t>
            </w:r>
          </w:p>
        </w:tc>
        <w:tc>
          <w:tcPr>
            <w:tcW w:w="700" w:type="pct"/>
            <w:gridSpan w:val="3"/>
            <w:vAlign w:val="bottom"/>
            <w:hideMark/>
          </w:tcPr>
          <w:p w14:paraId="36C924A2"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353 000 </w:t>
            </w:r>
          </w:p>
        </w:tc>
        <w:tc>
          <w:tcPr>
            <w:tcW w:w="505" w:type="pct"/>
            <w:gridSpan w:val="2"/>
            <w:vAlign w:val="bottom"/>
            <w:hideMark/>
          </w:tcPr>
          <w:p w14:paraId="5D8F21E2"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11,1</w:t>
            </w:r>
          </w:p>
        </w:tc>
        <w:tc>
          <w:tcPr>
            <w:tcW w:w="665" w:type="pct"/>
            <w:vAlign w:val="bottom"/>
            <w:hideMark/>
          </w:tcPr>
          <w:p w14:paraId="5713BC6F"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11,1</w:t>
            </w:r>
          </w:p>
        </w:tc>
        <w:tc>
          <w:tcPr>
            <w:tcW w:w="755" w:type="pct"/>
            <w:vAlign w:val="bottom"/>
            <w:hideMark/>
          </w:tcPr>
          <w:p w14:paraId="2B30C64B" w14:textId="77777777" w:rsidR="008551D4" w:rsidRPr="00A21E66" w:rsidRDefault="008551D4" w:rsidP="00E808A6">
            <w:pPr>
              <w:spacing w:after="0"/>
              <w:rPr>
                <w:rFonts w:ascii="Times New Roman" w:hAnsi="Times New Roman"/>
                <w:color w:val="000000"/>
                <w:spacing w:val="6"/>
                <w:sz w:val="20"/>
              </w:rPr>
            </w:pPr>
            <w:r w:rsidRPr="00A21E66">
              <w:rPr>
                <w:rFonts w:ascii="Times New Roman" w:hAnsi="Times New Roman"/>
                <w:color w:val="000000"/>
                <w:spacing w:val="6"/>
                <w:sz w:val="20"/>
              </w:rPr>
              <w:t xml:space="preserve">         522 000 </w:t>
            </w:r>
          </w:p>
        </w:tc>
        <w:tc>
          <w:tcPr>
            <w:tcW w:w="544" w:type="pct"/>
            <w:vAlign w:val="bottom"/>
            <w:hideMark/>
          </w:tcPr>
          <w:p w14:paraId="0933E82B"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11,2</w:t>
            </w:r>
          </w:p>
        </w:tc>
        <w:tc>
          <w:tcPr>
            <w:tcW w:w="1083" w:type="pct"/>
            <w:vAlign w:val="bottom"/>
            <w:hideMark/>
          </w:tcPr>
          <w:p w14:paraId="275E6096"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47,9 </w:t>
            </w:r>
          </w:p>
        </w:tc>
      </w:tr>
      <w:tr w:rsidR="008551D4" w:rsidRPr="00086565" w14:paraId="1903C896" w14:textId="77777777" w:rsidTr="009D37AB">
        <w:trPr>
          <w:trHeight w:val="119"/>
        </w:trPr>
        <w:tc>
          <w:tcPr>
            <w:tcW w:w="748" w:type="pct"/>
            <w:vAlign w:val="center"/>
            <w:hideMark/>
          </w:tcPr>
          <w:p w14:paraId="683B96C3" w14:textId="77777777" w:rsidR="008551D4" w:rsidRPr="00086565" w:rsidRDefault="008551D4"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9</w:t>
            </w:r>
          </w:p>
        </w:tc>
        <w:tc>
          <w:tcPr>
            <w:tcW w:w="700" w:type="pct"/>
            <w:gridSpan w:val="3"/>
            <w:vAlign w:val="bottom"/>
            <w:hideMark/>
          </w:tcPr>
          <w:p w14:paraId="5113933A"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387 700 </w:t>
            </w:r>
          </w:p>
        </w:tc>
        <w:tc>
          <w:tcPr>
            <w:tcW w:w="505" w:type="pct"/>
            <w:gridSpan w:val="2"/>
            <w:vAlign w:val="bottom"/>
            <w:hideMark/>
          </w:tcPr>
          <w:p w14:paraId="7703F07C"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12,2</w:t>
            </w:r>
          </w:p>
        </w:tc>
        <w:tc>
          <w:tcPr>
            <w:tcW w:w="665" w:type="pct"/>
            <w:vAlign w:val="bottom"/>
            <w:hideMark/>
          </w:tcPr>
          <w:p w14:paraId="6D2DABC5"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12,4</w:t>
            </w:r>
          </w:p>
        </w:tc>
        <w:tc>
          <w:tcPr>
            <w:tcW w:w="755" w:type="pct"/>
            <w:vAlign w:val="bottom"/>
            <w:hideMark/>
          </w:tcPr>
          <w:p w14:paraId="0C23A5F9" w14:textId="77777777" w:rsidR="008551D4" w:rsidRPr="00A21E66" w:rsidRDefault="008551D4" w:rsidP="00E808A6">
            <w:pPr>
              <w:spacing w:after="0"/>
              <w:rPr>
                <w:rFonts w:ascii="Times New Roman" w:hAnsi="Times New Roman"/>
                <w:color w:val="000000"/>
                <w:spacing w:val="6"/>
                <w:sz w:val="20"/>
              </w:rPr>
            </w:pPr>
            <w:r w:rsidRPr="00A21E66">
              <w:rPr>
                <w:rFonts w:ascii="Times New Roman" w:hAnsi="Times New Roman"/>
                <w:color w:val="000000"/>
                <w:spacing w:val="6"/>
                <w:sz w:val="20"/>
              </w:rPr>
              <w:t xml:space="preserve">         579 600 </w:t>
            </w:r>
          </w:p>
        </w:tc>
        <w:tc>
          <w:tcPr>
            <w:tcW w:w="544" w:type="pct"/>
            <w:vAlign w:val="bottom"/>
            <w:hideMark/>
          </w:tcPr>
          <w:p w14:paraId="4EA2E93E" w14:textId="77777777" w:rsidR="008551D4" w:rsidRPr="00A21E66" w:rsidRDefault="008551D4" w:rsidP="00E808A6">
            <w:pPr>
              <w:spacing w:after="0"/>
              <w:jc w:val="right"/>
              <w:rPr>
                <w:rFonts w:ascii="Times New Roman" w:hAnsi="Times New Roman"/>
                <w:color w:val="000000"/>
                <w:spacing w:val="6"/>
                <w:sz w:val="20"/>
              </w:rPr>
            </w:pPr>
            <w:r w:rsidRPr="00A21E66">
              <w:rPr>
                <w:rFonts w:ascii="Times New Roman" w:hAnsi="Times New Roman"/>
                <w:color w:val="000000"/>
                <w:spacing w:val="6"/>
                <w:sz w:val="20"/>
              </w:rPr>
              <w:t>12,4</w:t>
            </w:r>
          </w:p>
        </w:tc>
        <w:tc>
          <w:tcPr>
            <w:tcW w:w="1083" w:type="pct"/>
            <w:vAlign w:val="bottom"/>
            <w:hideMark/>
          </w:tcPr>
          <w:p w14:paraId="5ADADAAB" w14:textId="77777777" w:rsidR="008551D4" w:rsidRPr="00CE5A89" w:rsidRDefault="008551D4" w:rsidP="00E808A6">
            <w:pPr>
              <w:spacing w:after="0"/>
              <w:jc w:val="right"/>
              <w:rPr>
                <w:rFonts w:ascii="Times New Roman" w:hAnsi="Times New Roman"/>
                <w:color w:val="000000"/>
                <w:spacing w:val="6"/>
                <w:sz w:val="20"/>
              </w:rPr>
            </w:pPr>
            <w:r w:rsidRPr="00CE5A89">
              <w:rPr>
                <w:rFonts w:ascii="Times New Roman" w:hAnsi="Times New Roman"/>
                <w:color w:val="000000"/>
                <w:spacing w:val="6"/>
                <w:sz w:val="20"/>
              </w:rPr>
              <w:t xml:space="preserve">           49,5 </w:t>
            </w:r>
          </w:p>
        </w:tc>
      </w:tr>
      <w:tr w:rsidR="008551D4" w:rsidRPr="00086565" w14:paraId="2F9660E8" w14:textId="77777777" w:rsidTr="009D37AB">
        <w:trPr>
          <w:trHeight w:val="119"/>
        </w:trPr>
        <w:tc>
          <w:tcPr>
            <w:tcW w:w="748" w:type="pct"/>
            <w:tcBorders>
              <w:bottom w:val="single" w:sz="4" w:space="0" w:color="auto"/>
            </w:tcBorders>
            <w:vAlign w:val="center"/>
            <w:hideMark/>
          </w:tcPr>
          <w:p w14:paraId="4132DCA3" w14:textId="77777777" w:rsidR="008551D4" w:rsidRPr="00086565" w:rsidRDefault="008551D4" w:rsidP="00E808A6">
            <w:pPr>
              <w:spacing w:after="0"/>
              <w:rPr>
                <w:rFonts w:ascii="Times New Roman" w:hAnsi="Times New Roman"/>
                <w:color w:val="000000"/>
                <w:spacing w:val="6"/>
                <w:sz w:val="20"/>
              </w:rPr>
            </w:pPr>
            <w:r w:rsidRPr="00086565">
              <w:rPr>
                <w:rFonts w:ascii="Times New Roman" w:hAnsi="Times New Roman"/>
                <w:color w:val="000000"/>
                <w:spacing w:val="6"/>
                <w:sz w:val="20"/>
              </w:rPr>
              <w:t>Desil 10</w:t>
            </w:r>
          </w:p>
        </w:tc>
        <w:tc>
          <w:tcPr>
            <w:tcW w:w="700" w:type="pct"/>
            <w:gridSpan w:val="3"/>
            <w:tcBorders>
              <w:bottom w:val="single" w:sz="4" w:space="0" w:color="auto"/>
            </w:tcBorders>
            <w:vAlign w:val="bottom"/>
            <w:hideMark/>
          </w:tcPr>
          <w:p w14:paraId="57473141" w14:textId="77777777" w:rsidR="008551D4" w:rsidRPr="00CE5A89" w:rsidRDefault="008551D4" w:rsidP="009D37AB">
            <w:pPr>
              <w:spacing w:before="100" w:beforeAutospacing="1" w:after="100" w:afterAutospacing="1"/>
              <w:jc w:val="right"/>
              <w:rPr>
                <w:rFonts w:ascii="Times New Roman" w:hAnsi="Times New Roman"/>
                <w:color w:val="000000"/>
                <w:spacing w:val="6"/>
                <w:sz w:val="20"/>
              </w:rPr>
            </w:pPr>
            <w:r w:rsidRPr="00CE5A89">
              <w:rPr>
                <w:rFonts w:ascii="Times New Roman" w:hAnsi="Times New Roman"/>
                <w:color w:val="000000"/>
                <w:spacing w:val="6"/>
                <w:sz w:val="20"/>
              </w:rPr>
              <w:t xml:space="preserve">520 600 </w:t>
            </w:r>
          </w:p>
        </w:tc>
        <w:tc>
          <w:tcPr>
            <w:tcW w:w="505" w:type="pct"/>
            <w:gridSpan w:val="2"/>
            <w:tcBorders>
              <w:bottom w:val="single" w:sz="4" w:space="0" w:color="auto"/>
            </w:tcBorders>
            <w:vAlign w:val="bottom"/>
            <w:hideMark/>
          </w:tcPr>
          <w:p w14:paraId="613974DC" w14:textId="77777777" w:rsidR="008551D4" w:rsidRPr="00CE5A89" w:rsidRDefault="008551D4" w:rsidP="009D37AB">
            <w:pPr>
              <w:spacing w:before="100" w:beforeAutospacing="1" w:after="100" w:afterAutospacing="1"/>
              <w:jc w:val="right"/>
              <w:rPr>
                <w:rFonts w:ascii="Times New Roman" w:hAnsi="Times New Roman"/>
                <w:color w:val="000000"/>
                <w:spacing w:val="6"/>
                <w:sz w:val="20"/>
              </w:rPr>
            </w:pPr>
            <w:r w:rsidRPr="00CE5A89">
              <w:rPr>
                <w:rFonts w:ascii="Times New Roman" w:hAnsi="Times New Roman"/>
                <w:color w:val="000000"/>
                <w:spacing w:val="6"/>
                <w:sz w:val="20"/>
              </w:rPr>
              <w:t>16,4</w:t>
            </w:r>
          </w:p>
        </w:tc>
        <w:tc>
          <w:tcPr>
            <w:tcW w:w="665" w:type="pct"/>
            <w:tcBorders>
              <w:bottom w:val="single" w:sz="4" w:space="0" w:color="auto"/>
            </w:tcBorders>
            <w:vAlign w:val="bottom"/>
            <w:hideMark/>
          </w:tcPr>
          <w:p w14:paraId="74450B7D" w14:textId="77777777" w:rsidR="008551D4" w:rsidRPr="00A21E66" w:rsidRDefault="008551D4" w:rsidP="009D37AB">
            <w:pPr>
              <w:spacing w:before="100" w:beforeAutospacing="1" w:after="100" w:afterAutospacing="1"/>
              <w:jc w:val="right"/>
              <w:rPr>
                <w:rFonts w:ascii="Times New Roman" w:hAnsi="Times New Roman"/>
                <w:color w:val="000000"/>
                <w:spacing w:val="6"/>
                <w:sz w:val="20"/>
              </w:rPr>
            </w:pPr>
            <w:r w:rsidRPr="00A21E66">
              <w:rPr>
                <w:rFonts w:ascii="Times New Roman" w:hAnsi="Times New Roman"/>
                <w:color w:val="000000"/>
                <w:spacing w:val="6"/>
                <w:sz w:val="20"/>
              </w:rPr>
              <w:t>17,3</w:t>
            </w:r>
          </w:p>
        </w:tc>
        <w:tc>
          <w:tcPr>
            <w:tcW w:w="755" w:type="pct"/>
            <w:tcBorders>
              <w:bottom w:val="single" w:sz="4" w:space="0" w:color="auto"/>
            </w:tcBorders>
            <w:vAlign w:val="bottom"/>
            <w:hideMark/>
          </w:tcPr>
          <w:p w14:paraId="17D6A603" w14:textId="77777777" w:rsidR="008551D4" w:rsidRPr="00A21E66" w:rsidRDefault="008551D4" w:rsidP="009D37AB">
            <w:pPr>
              <w:spacing w:before="100" w:beforeAutospacing="1" w:after="100" w:afterAutospacing="1"/>
              <w:rPr>
                <w:rFonts w:ascii="Times New Roman" w:hAnsi="Times New Roman"/>
                <w:color w:val="000000"/>
                <w:spacing w:val="6"/>
                <w:sz w:val="20"/>
              </w:rPr>
            </w:pPr>
            <w:r w:rsidRPr="00A21E66">
              <w:rPr>
                <w:rFonts w:ascii="Times New Roman" w:hAnsi="Times New Roman"/>
                <w:color w:val="000000"/>
                <w:spacing w:val="6"/>
                <w:sz w:val="20"/>
              </w:rPr>
              <w:t xml:space="preserve">         806 400 </w:t>
            </w:r>
          </w:p>
        </w:tc>
        <w:tc>
          <w:tcPr>
            <w:tcW w:w="544" w:type="pct"/>
            <w:tcBorders>
              <w:bottom w:val="single" w:sz="4" w:space="0" w:color="auto"/>
            </w:tcBorders>
            <w:vAlign w:val="bottom"/>
            <w:hideMark/>
          </w:tcPr>
          <w:p w14:paraId="20AB6E46" w14:textId="77777777" w:rsidR="008551D4" w:rsidRPr="00A21E66" w:rsidRDefault="008551D4" w:rsidP="009D37AB">
            <w:pPr>
              <w:spacing w:before="100" w:beforeAutospacing="1" w:after="100" w:afterAutospacing="1"/>
              <w:jc w:val="right"/>
              <w:rPr>
                <w:rFonts w:ascii="Times New Roman" w:hAnsi="Times New Roman"/>
                <w:color w:val="000000"/>
                <w:spacing w:val="6"/>
                <w:sz w:val="20"/>
              </w:rPr>
            </w:pPr>
            <w:r w:rsidRPr="00A21E66">
              <w:rPr>
                <w:rFonts w:ascii="Times New Roman" w:hAnsi="Times New Roman"/>
                <w:color w:val="000000"/>
                <w:spacing w:val="6"/>
                <w:sz w:val="20"/>
              </w:rPr>
              <w:t>17,3</w:t>
            </w:r>
          </w:p>
        </w:tc>
        <w:tc>
          <w:tcPr>
            <w:tcW w:w="1083" w:type="pct"/>
            <w:tcBorders>
              <w:bottom w:val="single" w:sz="4" w:space="0" w:color="auto"/>
            </w:tcBorders>
            <w:vAlign w:val="bottom"/>
            <w:hideMark/>
          </w:tcPr>
          <w:p w14:paraId="6BB23B35" w14:textId="77777777" w:rsidR="008551D4" w:rsidRPr="00CE5A89" w:rsidRDefault="008551D4" w:rsidP="009D37AB">
            <w:pPr>
              <w:spacing w:before="100" w:beforeAutospacing="1" w:after="100" w:afterAutospacing="1"/>
              <w:jc w:val="right"/>
              <w:rPr>
                <w:rFonts w:ascii="Times New Roman" w:hAnsi="Times New Roman"/>
                <w:color w:val="000000"/>
                <w:spacing w:val="6"/>
                <w:sz w:val="20"/>
              </w:rPr>
            </w:pPr>
            <w:r w:rsidRPr="00CE5A89">
              <w:rPr>
                <w:rFonts w:ascii="Times New Roman" w:hAnsi="Times New Roman"/>
                <w:color w:val="000000"/>
                <w:spacing w:val="6"/>
                <w:sz w:val="20"/>
              </w:rPr>
              <w:t xml:space="preserve">           54,9 </w:t>
            </w:r>
          </w:p>
        </w:tc>
      </w:tr>
      <w:tr w:rsidR="008551D4" w:rsidRPr="00062251" w14:paraId="4DEA35B7" w14:textId="77777777" w:rsidTr="008E5AE1">
        <w:trPr>
          <w:trHeight w:val="215"/>
        </w:trPr>
        <w:tc>
          <w:tcPr>
            <w:tcW w:w="863" w:type="pct"/>
            <w:gridSpan w:val="2"/>
            <w:tcBorders>
              <w:top w:val="single" w:sz="4" w:space="0" w:color="auto"/>
              <w:bottom w:val="single" w:sz="4" w:space="0" w:color="auto"/>
            </w:tcBorders>
            <w:hideMark/>
          </w:tcPr>
          <w:p w14:paraId="3710797A" w14:textId="77777777" w:rsidR="008551D4" w:rsidRPr="00086565" w:rsidRDefault="008551D4" w:rsidP="009D37AB">
            <w:pPr>
              <w:spacing w:after="0"/>
              <w:jc w:val="right"/>
              <w:rPr>
                <w:rFonts w:ascii="Times New Roman" w:hAnsi="Times New Roman"/>
                <w:color w:val="000000"/>
                <w:spacing w:val="6"/>
                <w:sz w:val="20"/>
              </w:rPr>
            </w:pPr>
            <w:r w:rsidRPr="00086565">
              <w:rPr>
                <w:rFonts w:ascii="Times New Roman" w:hAnsi="Times New Roman"/>
                <w:color w:val="000000"/>
                <w:spacing w:val="6"/>
                <w:sz w:val="20"/>
              </w:rPr>
              <w:t>Gini-koeffisient</w:t>
            </w:r>
          </w:p>
        </w:tc>
        <w:tc>
          <w:tcPr>
            <w:tcW w:w="585" w:type="pct"/>
            <w:gridSpan w:val="2"/>
            <w:tcBorders>
              <w:top w:val="single" w:sz="4" w:space="0" w:color="auto"/>
              <w:bottom w:val="single" w:sz="4" w:space="0" w:color="auto"/>
            </w:tcBorders>
            <w:hideMark/>
          </w:tcPr>
          <w:p w14:paraId="0E1104F5" w14:textId="77777777" w:rsidR="008551D4" w:rsidRPr="00086565" w:rsidRDefault="008551D4" w:rsidP="009D37AB">
            <w:pPr>
              <w:spacing w:after="0"/>
              <w:jc w:val="right"/>
              <w:rPr>
                <w:rFonts w:ascii="Times New Roman" w:hAnsi="Times New Roman"/>
                <w:color w:val="000000"/>
                <w:spacing w:val="6"/>
                <w:sz w:val="20"/>
              </w:rPr>
            </w:pPr>
          </w:p>
        </w:tc>
        <w:tc>
          <w:tcPr>
            <w:tcW w:w="505" w:type="pct"/>
            <w:gridSpan w:val="2"/>
            <w:tcBorders>
              <w:top w:val="single" w:sz="4" w:space="0" w:color="auto"/>
              <w:bottom w:val="single" w:sz="4" w:space="0" w:color="auto"/>
            </w:tcBorders>
            <w:hideMark/>
          </w:tcPr>
          <w:p w14:paraId="3DF7D0FE" w14:textId="77777777" w:rsidR="008551D4" w:rsidRPr="00CE5A89" w:rsidRDefault="008551D4" w:rsidP="009D37AB">
            <w:pPr>
              <w:jc w:val="right"/>
              <w:rPr>
                <w:rFonts w:ascii="Arial" w:hAnsi="Arial" w:cs="Arial"/>
                <w:sz w:val="20"/>
              </w:rPr>
            </w:pPr>
            <w:r>
              <w:rPr>
                <w:rFonts w:ascii="Arial" w:hAnsi="Arial" w:cs="Arial"/>
                <w:sz w:val="20"/>
              </w:rPr>
              <w:t>0,145</w:t>
            </w:r>
          </w:p>
        </w:tc>
        <w:tc>
          <w:tcPr>
            <w:tcW w:w="665" w:type="pct"/>
            <w:tcBorders>
              <w:top w:val="single" w:sz="4" w:space="0" w:color="auto"/>
              <w:bottom w:val="single" w:sz="4" w:space="0" w:color="auto"/>
            </w:tcBorders>
            <w:hideMark/>
          </w:tcPr>
          <w:p w14:paraId="67197DA2" w14:textId="77777777" w:rsidR="008551D4" w:rsidRPr="00062251" w:rsidRDefault="008551D4" w:rsidP="009D37AB">
            <w:pPr>
              <w:spacing w:after="0"/>
              <w:jc w:val="right"/>
              <w:rPr>
                <w:rFonts w:ascii="Times New Roman" w:hAnsi="Times New Roman"/>
                <w:color w:val="000000"/>
                <w:spacing w:val="6"/>
                <w:sz w:val="20"/>
              </w:rPr>
            </w:pPr>
            <w:r>
              <w:rPr>
                <w:rFonts w:ascii="Times New Roman" w:hAnsi="Times New Roman"/>
                <w:color w:val="000000"/>
                <w:spacing w:val="6"/>
                <w:sz w:val="20"/>
              </w:rPr>
              <w:t xml:space="preserve">          </w:t>
            </w:r>
            <w:r w:rsidRPr="00062251">
              <w:rPr>
                <w:rFonts w:ascii="Times New Roman" w:hAnsi="Times New Roman"/>
                <w:color w:val="000000"/>
                <w:spacing w:val="6"/>
                <w:sz w:val="20"/>
              </w:rPr>
              <w:t xml:space="preserve">0,163 </w:t>
            </w:r>
          </w:p>
        </w:tc>
        <w:tc>
          <w:tcPr>
            <w:tcW w:w="755" w:type="pct"/>
            <w:tcBorders>
              <w:top w:val="single" w:sz="4" w:space="0" w:color="auto"/>
              <w:bottom w:val="single" w:sz="4" w:space="0" w:color="auto"/>
            </w:tcBorders>
            <w:hideMark/>
          </w:tcPr>
          <w:p w14:paraId="57F59621" w14:textId="77777777" w:rsidR="008551D4" w:rsidRPr="00062251" w:rsidRDefault="008551D4" w:rsidP="009D37AB">
            <w:pPr>
              <w:spacing w:after="0"/>
              <w:jc w:val="right"/>
              <w:rPr>
                <w:rFonts w:ascii="Times New Roman" w:hAnsi="Times New Roman"/>
                <w:color w:val="000000"/>
                <w:spacing w:val="6"/>
                <w:sz w:val="20"/>
              </w:rPr>
            </w:pPr>
          </w:p>
        </w:tc>
        <w:tc>
          <w:tcPr>
            <w:tcW w:w="544" w:type="pct"/>
            <w:tcBorders>
              <w:top w:val="single" w:sz="4" w:space="0" w:color="auto"/>
              <w:bottom w:val="single" w:sz="4" w:space="0" w:color="auto"/>
            </w:tcBorders>
            <w:hideMark/>
          </w:tcPr>
          <w:p w14:paraId="038D4782" w14:textId="77777777" w:rsidR="008551D4" w:rsidRPr="00062251" w:rsidRDefault="008551D4" w:rsidP="008E5AE1">
            <w:pPr>
              <w:spacing w:after="0"/>
              <w:jc w:val="right"/>
              <w:rPr>
                <w:rFonts w:ascii="Times New Roman" w:hAnsi="Times New Roman"/>
                <w:color w:val="000000"/>
                <w:spacing w:val="6"/>
                <w:sz w:val="20"/>
              </w:rPr>
            </w:pPr>
            <w:r w:rsidRPr="00062251">
              <w:rPr>
                <w:rFonts w:ascii="Times New Roman" w:hAnsi="Times New Roman"/>
                <w:color w:val="000000"/>
                <w:spacing w:val="6"/>
                <w:sz w:val="20"/>
              </w:rPr>
              <w:t xml:space="preserve">0,165 </w:t>
            </w:r>
          </w:p>
        </w:tc>
        <w:tc>
          <w:tcPr>
            <w:tcW w:w="1083" w:type="pct"/>
            <w:tcBorders>
              <w:top w:val="single" w:sz="4" w:space="0" w:color="auto"/>
              <w:bottom w:val="single" w:sz="4" w:space="0" w:color="auto"/>
            </w:tcBorders>
            <w:hideMark/>
          </w:tcPr>
          <w:p w14:paraId="5DFCFFB2" w14:textId="77777777" w:rsidR="008551D4" w:rsidRPr="00086565" w:rsidRDefault="008551D4" w:rsidP="009D37AB">
            <w:pPr>
              <w:spacing w:after="0"/>
              <w:jc w:val="right"/>
              <w:rPr>
                <w:rFonts w:ascii="Times New Roman" w:hAnsi="Times New Roman"/>
                <w:color w:val="000000"/>
                <w:spacing w:val="6"/>
                <w:sz w:val="20"/>
              </w:rPr>
            </w:pPr>
            <w:r w:rsidRPr="00086565">
              <w:rPr>
                <w:rFonts w:ascii="Times New Roman" w:hAnsi="Times New Roman"/>
                <w:color w:val="000000"/>
                <w:spacing w:val="6"/>
                <w:sz w:val="20"/>
              </w:rPr>
              <w:t> </w:t>
            </w:r>
          </w:p>
        </w:tc>
      </w:tr>
    </w:tbl>
    <w:p w14:paraId="2D1B9675" w14:textId="77777777" w:rsidR="008551D4" w:rsidRDefault="008551D4" w:rsidP="006E305B">
      <w:pPr>
        <w:pStyle w:val="tabell-noter"/>
        <w:numPr>
          <w:ilvl w:val="0"/>
          <w:numId w:val="45"/>
        </w:numPr>
        <w:spacing w:before="0" w:after="0"/>
      </w:pPr>
      <w:r w:rsidRPr="00F73919">
        <w:t>Gjennomsnittlig årslønn per september/oktober/desember</w:t>
      </w:r>
      <w:r>
        <w:t>.</w:t>
      </w:r>
      <w:r>
        <w:tab/>
      </w:r>
      <w:r>
        <w:tab/>
      </w:r>
      <w:r>
        <w:tab/>
      </w:r>
      <w:r>
        <w:tab/>
      </w:r>
    </w:p>
    <w:p w14:paraId="1667CC57" w14:textId="77777777" w:rsidR="008551D4" w:rsidRDefault="008551D4" w:rsidP="006E305B">
      <w:pPr>
        <w:pStyle w:val="tabell-noter"/>
        <w:numPr>
          <w:ilvl w:val="0"/>
          <w:numId w:val="45"/>
        </w:numPr>
        <w:spacing w:after="0"/>
      </w:pPr>
      <w:r w:rsidRPr="00F73919">
        <w:t>Andel av samlet lønnssum i prosen</w:t>
      </w:r>
      <w:r>
        <w:t>t.</w:t>
      </w:r>
    </w:p>
    <w:p w14:paraId="2716E42C" w14:textId="77777777" w:rsidR="008551D4" w:rsidRDefault="008551D4" w:rsidP="008551D4">
      <w:pPr>
        <w:pStyle w:val="Kilde"/>
      </w:pPr>
      <w:r w:rsidRPr="00F73919">
        <w:t>Kilde: Statistisk sentralbyrå</w:t>
      </w:r>
    </w:p>
    <w:p w14:paraId="343C3929" w14:textId="77777777" w:rsidR="008551D4" w:rsidRDefault="008551D4" w:rsidP="006E305B">
      <w:pPr>
        <w:pStyle w:val="tabell-tittel"/>
        <w:numPr>
          <w:ilvl w:val="6"/>
          <w:numId w:val="43"/>
        </w:numPr>
        <w:spacing w:line="240" w:lineRule="auto"/>
      </w:pPr>
      <w:r w:rsidRPr="00D37B55">
        <w:t>Fordelingen av samlet lønn per heltidsekvivalent for alle ansatte</w:t>
      </w:r>
      <w:r>
        <w:t>, fordelt etter sektor</w:t>
      </w:r>
      <w:r w:rsidRPr="00D37B55">
        <w:t>. Per september/oktober/desember 200</w:t>
      </w:r>
      <w:r>
        <w:t>8</w:t>
      </w:r>
      <w:r w:rsidRPr="00D37B55">
        <w:t>, 201</w:t>
      </w:r>
      <w:r>
        <w:t>3</w:t>
      </w:r>
      <w:r w:rsidRPr="00D37B55">
        <w:t xml:space="preserve"> og 201</w:t>
      </w:r>
      <w:r>
        <w:t>4</w:t>
      </w:r>
      <w:r w:rsidRPr="00D37B55">
        <w:t xml:space="preserve">. </w:t>
      </w:r>
    </w:p>
    <w:tbl>
      <w:tblPr>
        <w:tblStyle w:val="TrykketTabell"/>
        <w:tblW w:w="5185" w:type="pct"/>
        <w:tblCellMar>
          <w:left w:w="85" w:type="dxa"/>
        </w:tblCellMar>
        <w:tblLook w:val="04A0" w:firstRow="1" w:lastRow="0" w:firstColumn="1" w:lastColumn="0" w:noHBand="0" w:noVBand="1"/>
      </w:tblPr>
      <w:tblGrid>
        <w:gridCol w:w="1611"/>
        <w:gridCol w:w="1175"/>
        <w:gridCol w:w="815"/>
        <w:gridCol w:w="1426"/>
        <w:gridCol w:w="1433"/>
        <w:gridCol w:w="1052"/>
        <w:gridCol w:w="1894"/>
      </w:tblGrid>
      <w:tr w:rsidR="008551D4" w:rsidRPr="00086565" w14:paraId="685D6FBF" w14:textId="77777777" w:rsidTr="00322A62">
        <w:trPr>
          <w:cnfStyle w:val="100000000000" w:firstRow="1" w:lastRow="0" w:firstColumn="0" w:lastColumn="0" w:oddVBand="0" w:evenVBand="0" w:oddHBand="0" w:evenHBand="0" w:firstRowFirstColumn="0" w:firstRowLastColumn="0" w:lastRowFirstColumn="0" w:lastRowLastColumn="0"/>
          <w:trHeight w:val="145"/>
        </w:trPr>
        <w:tc>
          <w:tcPr>
            <w:tcW w:w="856" w:type="pct"/>
            <w:tcBorders>
              <w:bottom w:val="nil"/>
            </w:tcBorders>
            <w:vAlign w:val="center"/>
            <w:hideMark/>
          </w:tcPr>
          <w:p w14:paraId="0569B72F" w14:textId="77777777" w:rsidR="008551D4" w:rsidRPr="00086565" w:rsidRDefault="008551D4" w:rsidP="0049295C">
            <w:pPr>
              <w:spacing w:before="100" w:beforeAutospacing="1" w:after="100" w:afterAutospacing="1" w:line="276" w:lineRule="auto"/>
              <w:jc w:val="right"/>
              <w:rPr>
                <w:rFonts w:ascii="Times New Roman" w:hAnsi="Times New Roman"/>
                <w:color w:val="000000"/>
                <w:spacing w:val="6"/>
                <w:sz w:val="20"/>
              </w:rPr>
            </w:pPr>
            <w:r w:rsidRPr="00086565">
              <w:rPr>
                <w:rFonts w:ascii="Times New Roman" w:hAnsi="Times New Roman"/>
                <w:color w:val="000000"/>
                <w:spacing w:val="6"/>
                <w:sz w:val="20"/>
              </w:rPr>
              <w:t> </w:t>
            </w:r>
          </w:p>
        </w:tc>
        <w:tc>
          <w:tcPr>
            <w:tcW w:w="1057" w:type="pct"/>
            <w:gridSpan w:val="2"/>
            <w:tcBorders>
              <w:bottom w:val="nil"/>
            </w:tcBorders>
            <w:vAlign w:val="center"/>
            <w:hideMark/>
          </w:tcPr>
          <w:p w14:paraId="43A53F05" w14:textId="77777777" w:rsidR="008551D4" w:rsidRPr="00086565" w:rsidRDefault="008551D4" w:rsidP="0049295C">
            <w:pPr>
              <w:spacing w:before="100" w:beforeAutospacing="1" w:after="100" w:afterAutospacing="1" w:line="276" w:lineRule="auto"/>
              <w:jc w:val="center"/>
              <w:rPr>
                <w:rFonts w:ascii="Times New Roman" w:hAnsi="Times New Roman"/>
                <w:color w:val="000000"/>
                <w:spacing w:val="6"/>
                <w:sz w:val="20"/>
              </w:rPr>
            </w:pPr>
            <w:r w:rsidRPr="00086565">
              <w:rPr>
                <w:rFonts w:ascii="Times New Roman" w:hAnsi="Times New Roman"/>
                <w:color w:val="000000"/>
                <w:spacing w:val="6"/>
                <w:sz w:val="20"/>
              </w:rPr>
              <w:t>200</w:t>
            </w:r>
            <w:r>
              <w:rPr>
                <w:rFonts w:ascii="Times New Roman" w:hAnsi="Times New Roman"/>
                <w:color w:val="000000"/>
                <w:spacing w:val="6"/>
                <w:sz w:val="20"/>
              </w:rPr>
              <w:t>8</w:t>
            </w:r>
          </w:p>
        </w:tc>
        <w:tc>
          <w:tcPr>
            <w:tcW w:w="758" w:type="pct"/>
            <w:tcBorders>
              <w:bottom w:val="nil"/>
            </w:tcBorders>
            <w:vAlign w:val="center"/>
            <w:hideMark/>
          </w:tcPr>
          <w:p w14:paraId="356F7E74" w14:textId="77777777" w:rsidR="008551D4" w:rsidRPr="00086565" w:rsidRDefault="008551D4" w:rsidP="0049295C">
            <w:pPr>
              <w:spacing w:before="100" w:beforeAutospacing="1" w:after="100" w:afterAutospacing="1" w:line="276" w:lineRule="auto"/>
              <w:ind w:right="172"/>
              <w:jc w:val="right"/>
              <w:rPr>
                <w:rFonts w:ascii="Times New Roman" w:hAnsi="Times New Roman"/>
                <w:color w:val="000000"/>
                <w:spacing w:val="6"/>
                <w:sz w:val="20"/>
              </w:rPr>
            </w:pPr>
            <w:r w:rsidRPr="00086565">
              <w:rPr>
                <w:rFonts w:ascii="Times New Roman" w:hAnsi="Times New Roman"/>
                <w:color w:val="000000"/>
                <w:spacing w:val="6"/>
                <w:sz w:val="20"/>
              </w:rPr>
              <w:t>201</w:t>
            </w:r>
            <w:r>
              <w:rPr>
                <w:rFonts w:ascii="Times New Roman" w:hAnsi="Times New Roman"/>
                <w:color w:val="000000"/>
                <w:spacing w:val="6"/>
                <w:sz w:val="20"/>
              </w:rPr>
              <w:t>3</w:t>
            </w:r>
          </w:p>
        </w:tc>
        <w:tc>
          <w:tcPr>
            <w:tcW w:w="1321" w:type="pct"/>
            <w:gridSpan w:val="2"/>
            <w:tcBorders>
              <w:bottom w:val="nil"/>
            </w:tcBorders>
            <w:vAlign w:val="center"/>
            <w:hideMark/>
          </w:tcPr>
          <w:p w14:paraId="1153079A" w14:textId="77777777" w:rsidR="008551D4" w:rsidRPr="00086565" w:rsidRDefault="008551D4" w:rsidP="0049295C">
            <w:pPr>
              <w:tabs>
                <w:tab w:val="left" w:pos="2163"/>
              </w:tabs>
              <w:spacing w:before="100" w:beforeAutospacing="1" w:after="100" w:afterAutospacing="1" w:line="276" w:lineRule="auto"/>
              <w:ind w:right="459"/>
              <w:jc w:val="center"/>
              <w:rPr>
                <w:rFonts w:ascii="Times New Roman" w:hAnsi="Times New Roman"/>
                <w:color w:val="000000"/>
                <w:spacing w:val="6"/>
                <w:sz w:val="20"/>
              </w:rPr>
            </w:pPr>
            <w:r>
              <w:rPr>
                <w:rFonts w:ascii="Times New Roman" w:hAnsi="Times New Roman"/>
                <w:color w:val="000000"/>
                <w:spacing w:val="6"/>
                <w:sz w:val="20"/>
              </w:rPr>
              <w:t xml:space="preserve">                </w:t>
            </w:r>
            <w:r w:rsidRPr="00086565">
              <w:rPr>
                <w:rFonts w:ascii="Times New Roman" w:hAnsi="Times New Roman"/>
                <w:color w:val="000000"/>
                <w:spacing w:val="6"/>
                <w:sz w:val="20"/>
              </w:rPr>
              <w:t>201</w:t>
            </w:r>
            <w:r>
              <w:rPr>
                <w:rFonts w:ascii="Times New Roman" w:hAnsi="Times New Roman"/>
                <w:color w:val="000000"/>
                <w:spacing w:val="6"/>
                <w:sz w:val="20"/>
              </w:rPr>
              <w:t>4</w:t>
            </w:r>
          </w:p>
        </w:tc>
        <w:tc>
          <w:tcPr>
            <w:tcW w:w="1007" w:type="pct"/>
            <w:vMerge w:val="restart"/>
            <w:tcBorders>
              <w:bottom w:val="nil"/>
            </w:tcBorders>
            <w:vAlign w:val="center"/>
            <w:hideMark/>
          </w:tcPr>
          <w:p w14:paraId="39576228" w14:textId="77777777" w:rsidR="008551D4" w:rsidRPr="00086565" w:rsidRDefault="008551D4" w:rsidP="0049295C">
            <w:pPr>
              <w:tabs>
                <w:tab w:val="left" w:pos="674"/>
              </w:tabs>
              <w:spacing w:before="100" w:beforeAutospacing="1" w:after="100" w:afterAutospacing="1" w:line="276" w:lineRule="auto"/>
              <w:ind w:left="176" w:right="-60"/>
              <w:jc w:val="right"/>
              <w:rPr>
                <w:rFonts w:ascii="Times New Roman" w:hAnsi="Times New Roman"/>
                <w:color w:val="000000"/>
                <w:spacing w:val="6"/>
                <w:sz w:val="20"/>
              </w:rPr>
            </w:pPr>
            <w:r w:rsidRPr="00086565">
              <w:rPr>
                <w:rFonts w:ascii="Times New Roman" w:hAnsi="Times New Roman"/>
                <w:color w:val="000000"/>
                <w:spacing w:val="6"/>
                <w:sz w:val="20"/>
              </w:rPr>
              <w:t>Vekst i årslønn i prosent 200</w:t>
            </w:r>
            <w:r>
              <w:rPr>
                <w:rFonts w:ascii="Times New Roman" w:hAnsi="Times New Roman"/>
                <w:color w:val="000000"/>
                <w:spacing w:val="6"/>
                <w:sz w:val="20"/>
              </w:rPr>
              <w:t>8</w:t>
            </w:r>
            <w:r w:rsidRPr="00086565">
              <w:rPr>
                <w:rFonts w:ascii="Times New Roman" w:hAnsi="Times New Roman"/>
                <w:color w:val="000000"/>
                <w:spacing w:val="6"/>
                <w:sz w:val="20"/>
              </w:rPr>
              <w:noBreakHyphen/>
              <w:t>201</w:t>
            </w:r>
            <w:r>
              <w:rPr>
                <w:rFonts w:ascii="Times New Roman" w:hAnsi="Times New Roman"/>
                <w:color w:val="000000"/>
                <w:spacing w:val="6"/>
                <w:sz w:val="20"/>
              </w:rPr>
              <w:t>4</w:t>
            </w:r>
          </w:p>
        </w:tc>
      </w:tr>
      <w:tr w:rsidR="008551D4" w:rsidRPr="00086565" w14:paraId="58A36F3F" w14:textId="77777777" w:rsidTr="00322A62">
        <w:trPr>
          <w:trHeight w:val="133"/>
        </w:trPr>
        <w:tc>
          <w:tcPr>
            <w:tcW w:w="856" w:type="pct"/>
            <w:tcBorders>
              <w:bottom w:val="single" w:sz="4" w:space="0" w:color="auto"/>
            </w:tcBorders>
            <w:vAlign w:val="center"/>
            <w:hideMark/>
          </w:tcPr>
          <w:p w14:paraId="6394DCB5" w14:textId="77777777" w:rsidR="008551D4" w:rsidRPr="00086565" w:rsidRDefault="008551D4" w:rsidP="0049295C">
            <w:pPr>
              <w:spacing w:before="100" w:beforeAutospacing="1" w:after="100" w:afterAutospacing="1" w:line="276" w:lineRule="auto"/>
              <w:jc w:val="right"/>
              <w:rPr>
                <w:rFonts w:ascii="Times New Roman" w:hAnsi="Times New Roman"/>
                <w:color w:val="000000"/>
                <w:spacing w:val="6"/>
                <w:sz w:val="20"/>
              </w:rPr>
            </w:pPr>
          </w:p>
        </w:tc>
        <w:tc>
          <w:tcPr>
            <w:tcW w:w="624" w:type="pct"/>
            <w:tcBorders>
              <w:bottom w:val="single" w:sz="4" w:space="0" w:color="auto"/>
            </w:tcBorders>
            <w:vAlign w:val="center"/>
            <w:hideMark/>
          </w:tcPr>
          <w:p w14:paraId="60E4024A" w14:textId="77777777" w:rsidR="008551D4" w:rsidRPr="00086565" w:rsidRDefault="008551D4" w:rsidP="0049295C">
            <w:pPr>
              <w:spacing w:before="100" w:beforeAutospacing="1" w:after="100" w:afterAutospacing="1" w:line="276" w:lineRule="auto"/>
              <w:jc w:val="right"/>
              <w:rPr>
                <w:rFonts w:ascii="Times New Roman" w:hAnsi="Times New Roman"/>
                <w:color w:val="000000"/>
                <w:spacing w:val="6"/>
                <w:sz w:val="20"/>
              </w:rPr>
            </w:pPr>
            <w:r w:rsidRPr="00086565">
              <w:rPr>
                <w:rFonts w:ascii="Times New Roman" w:hAnsi="Times New Roman"/>
                <w:color w:val="000000"/>
                <w:spacing w:val="6"/>
                <w:sz w:val="20"/>
              </w:rPr>
              <w:t>Årslønn</w:t>
            </w:r>
            <w:r w:rsidRPr="00086565">
              <w:rPr>
                <w:rFonts w:ascii="Times New Roman" w:hAnsi="Times New Roman"/>
                <w:color w:val="000000"/>
                <w:spacing w:val="6"/>
                <w:sz w:val="20"/>
                <w:vertAlign w:val="superscript"/>
              </w:rPr>
              <w:t>1</w:t>
            </w:r>
          </w:p>
        </w:tc>
        <w:tc>
          <w:tcPr>
            <w:tcW w:w="433" w:type="pct"/>
            <w:tcBorders>
              <w:bottom w:val="single" w:sz="4" w:space="0" w:color="auto"/>
            </w:tcBorders>
            <w:vAlign w:val="center"/>
            <w:hideMark/>
          </w:tcPr>
          <w:p w14:paraId="2638B85C" w14:textId="77777777" w:rsidR="008551D4" w:rsidRPr="00086565" w:rsidRDefault="008551D4" w:rsidP="0049295C">
            <w:pPr>
              <w:spacing w:before="100" w:beforeAutospacing="1" w:after="100" w:afterAutospacing="1" w:line="276" w:lineRule="auto"/>
              <w:ind w:right="-108"/>
              <w:jc w:val="right"/>
              <w:rPr>
                <w:rFonts w:ascii="Times New Roman" w:hAnsi="Times New Roman"/>
                <w:color w:val="000000"/>
                <w:spacing w:val="6"/>
                <w:sz w:val="20"/>
              </w:rPr>
            </w:pPr>
            <w:r w:rsidRPr="00086565">
              <w:rPr>
                <w:rFonts w:ascii="Times New Roman" w:hAnsi="Times New Roman"/>
                <w:color w:val="000000"/>
                <w:spacing w:val="6"/>
                <w:sz w:val="20"/>
              </w:rPr>
              <w:t>Andel</w:t>
            </w:r>
            <w:r w:rsidRPr="00086565">
              <w:rPr>
                <w:rFonts w:ascii="Times New Roman" w:hAnsi="Times New Roman"/>
                <w:color w:val="000000"/>
                <w:spacing w:val="6"/>
                <w:sz w:val="20"/>
                <w:vertAlign w:val="superscript"/>
              </w:rPr>
              <w:t>2</w:t>
            </w:r>
          </w:p>
        </w:tc>
        <w:tc>
          <w:tcPr>
            <w:tcW w:w="758" w:type="pct"/>
            <w:tcBorders>
              <w:bottom w:val="single" w:sz="4" w:space="0" w:color="auto"/>
            </w:tcBorders>
            <w:vAlign w:val="center"/>
            <w:hideMark/>
          </w:tcPr>
          <w:p w14:paraId="69057557" w14:textId="77777777" w:rsidR="008551D4" w:rsidRPr="00086565" w:rsidRDefault="008551D4" w:rsidP="0049295C">
            <w:pPr>
              <w:spacing w:before="100" w:beforeAutospacing="1" w:after="100" w:afterAutospacing="1" w:line="276" w:lineRule="auto"/>
              <w:jc w:val="right"/>
              <w:rPr>
                <w:rFonts w:ascii="Times New Roman" w:hAnsi="Times New Roman"/>
                <w:color w:val="000000"/>
                <w:spacing w:val="6"/>
                <w:sz w:val="20"/>
              </w:rPr>
            </w:pPr>
            <w:r w:rsidRPr="00086565">
              <w:rPr>
                <w:rFonts w:ascii="Times New Roman" w:hAnsi="Times New Roman"/>
                <w:color w:val="000000"/>
                <w:spacing w:val="6"/>
                <w:sz w:val="20"/>
              </w:rPr>
              <w:t>Andel</w:t>
            </w:r>
            <w:r w:rsidRPr="00086565">
              <w:rPr>
                <w:rFonts w:ascii="Times New Roman" w:hAnsi="Times New Roman"/>
                <w:color w:val="000000"/>
                <w:spacing w:val="6"/>
                <w:sz w:val="20"/>
                <w:vertAlign w:val="superscript"/>
              </w:rPr>
              <w:t>2</w:t>
            </w:r>
          </w:p>
        </w:tc>
        <w:tc>
          <w:tcPr>
            <w:tcW w:w="762" w:type="pct"/>
            <w:tcBorders>
              <w:bottom w:val="single" w:sz="4" w:space="0" w:color="auto"/>
            </w:tcBorders>
            <w:vAlign w:val="center"/>
            <w:hideMark/>
          </w:tcPr>
          <w:p w14:paraId="1173753B" w14:textId="77777777" w:rsidR="008551D4" w:rsidRPr="00086565" w:rsidRDefault="008551D4" w:rsidP="0049295C">
            <w:pPr>
              <w:spacing w:before="100" w:beforeAutospacing="1" w:after="100" w:afterAutospacing="1" w:line="276" w:lineRule="auto"/>
              <w:jc w:val="right"/>
              <w:rPr>
                <w:rFonts w:ascii="Times New Roman" w:hAnsi="Times New Roman"/>
                <w:color w:val="000000"/>
                <w:spacing w:val="6"/>
                <w:sz w:val="20"/>
              </w:rPr>
            </w:pPr>
            <w:r w:rsidRPr="00086565">
              <w:rPr>
                <w:rFonts w:ascii="Times New Roman" w:hAnsi="Times New Roman"/>
                <w:color w:val="000000"/>
                <w:spacing w:val="6"/>
                <w:sz w:val="20"/>
              </w:rPr>
              <w:t>Årslønn</w:t>
            </w:r>
            <w:r w:rsidRPr="00086565">
              <w:rPr>
                <w:rFonts w:ascii="Times New Roman" w:hAnsi="Times New Roman"/>
                <w:color w:val="000000"/>
                <w:spacing w:val="6"/>
                <w:sz w:val="20"/>
                <w:vertAlign w:val="superscript"/>
              </w:rPr>
              <w:t>1</w:t>
            </w:r>
          </w:p>
        </w:tc>
        <w:tc>
          <w:tcPr>
            <w:tcW w:w="559" w:type="pct"/>
            <w:tcBorders>
              <w:bottom w:val="single" w:sz="4" w:space="0" w:color="auto"/>
            </w:tcBorders>
            <w:vAlign w:val="center"/>
            <w:hideMark/>
          </w:tcPr>
          <w:p w14:paraId="15651E1F" w14:textId="77777777" w:rsidR="008551D4" w:rsidRPr="00086565" w:rsidRDefault="008551D4" w:rsidP="0049295C">
            <w:pPr>
              <w:spacing w:before="100" w:beforeAutospacing="1" w:after="100" w:afterAutospacing="1" w:line="276" w:lineRule="auto"/>
              <w:ind w:right="-108"/>
              <w:jc w:val="right"/>
              <w:rPr>
                <w:rFonts w:ascii="Times New Roman" w:hAnsi="Times New Roman"/>
                <w:color w:val="000000"/>
                <w:spacing w:val="6"/>
                <w:sz w:val="20"/>
              </w:rPr>
            </w:pPr>
            <w:r w:rsidRPr="00086565">
              <w:rPr>
                <w:rFonts w:ascii="Times New Roman" w:hAnsi="Times New Roman"/>
                <w:color w:val="000000"/>
                <w:spacing w:val="6"/>
                <w:sz w:val="20"/>
              </w:rPr>
              <w:t>Andel</w:t>
            </w:r>
            <w:r w:rsidRPr="00086565">
              <w:rPr>
                <w:rFonts w:ascii="Times New Roman" w:hAnsi="Times New Roman"/>
                <w:color w:val="000000"/>
                <w:spacing w:val="6"/>
                <w:sz w:val="20"/>
                <w:vertAlign w:val="superscript"/>
              </w:rPr>
              <w:t>2</w:t>
            </w:r>
          </w:p>
        </w:tc>
        <w:tc>
          <w:tcPr>
            <w:tcW w:w="1007" w:type="pct"/>
            <w:vMerge/>
            <w:tcBorders>
              <w:bottom w:val="single" w:sz="4" w:space="0" w:color="auto"/>
            </w:tcBorders>
            <w:vAlign w:val="center"/>
            <w:hideMark/>
          </w:tcPr>
          <w:p w14:paraId="63413BE3" w14:textId="77777777" w:rsidR="008551D4" w:rsidRPr="00086565" w:rsidRDefault="008551D4" w:rsidP="0049295C">
            <w:pPr>
              <w:spacing w:before="100" w:beforeAutospacing="1" w:after="100" w:afterAutospacing="1" w:line="276" w:lineRule="auto"/>
              <w:jc w:val="right"/>
              <w:rPr>
                <w:rFonts w:ascii="Times New Roman" w:hAnsi="Times New Roman"/>
                <w:color w:val="000000"/>
                <w:spacing w:val="6"/>
                <w:sz w:val="20"/>
              </w:rPr>
            </w:pPr>
          </w:p>
        </w:tc>
      </w:tr>
      <w:tr w:rsidR="006B403E" w:rsidRPr="00D565C7" w14:paraId="6478D4E5" w14:textId="77777777" w:rsidTr="00322A62">
        <w:trPr>
          <w:trHeight w:val="112"/>
        </w:trPr>
        <w:tc>
          <w:tcPr>
            <w:tcW w:w="856" w:type="pct"/>
            <w:tcBorders>
              <w:top w:val="single" w:sz="4" w:space="0" w:color="auto"/>
            </w:tcBorders>
            <w:vAlign w:val="center"/>
            <w:hideMark/>
          </w:tcPr>
          <w:p w14:paraId="10EFA06D" w14:textId="77777777" w:rsidR="006B403E" w:rsidRPr="00D565C7" w:rsidRDefault="006B403E" w:rsidP="00322A62">
            <w:pPr>
              <w:spacing w:before="100" w:beforeAutospacing="1" w:after="0" w:line="276" w:lineRule="auto"/>
              <w:ind w:right="-107"/>
              <w:rPr>
                <w:rFonts w:ascii="Times New Roman" w:hAnsi="Times New Roman"/>
                <w:b/>
                <w:bCs/>
                <w:color w:val="000000"/>
                <w:spacing w:val="6"/>
                <w:sz w:val="20"/>
              </w:rPr>
            </w:pPr>
            <w:r w:rsidRPr="00D565C7">
              <w:rPr>
                <w:rFonts w:ascii="Times New Roman" w:hAnsi="Times New Roman"/>
                <w:b/>
                <w:bCs/>
                <w:color w:val="000000"/>
                <w:spacing w:val="6"/>
                <w:sz w:val="20"/>
              </w:rPr>
              <w:t>Offentlig sektor</w:t>
            </w:r>
          </w:p>
        </w:tc>
        <w:tc>
          <w:tcPr>
            <w:tcW w:w="624" w:type="pct"/>
            <w:tcBorders>
              <w:top w:val="single" w:sz="4" w:space="0" w:color="auto"/>
            </w:tcBorders>
            <w:vAlign w:val="bottom"/>
            <w:hideMark/>
          </w:tcPr>
          <w:p w14:paraId="53EA3596" w14:textId="77777777" w:rsidR="006B403E" w:rsidRPr="00FF363C" w:rsidRDefault="006B403E" w:rsidP="0049295C">
            <w:pPr>
              <w:spacing w:before="100" w:beforeAutospacing="1" w:after="0"/>
              <w:rPr>
                <w:rFonts w:ascii="Times New Roman" w:hAnsi="Times New Roman"/>
                <w:b/>
                <w:sz w:val="20"/>
              </w:rPr>
            </w:pPr>
          </w:p>
        </w:tc>
        <w:tc>
          <w:tcPr>
            <w:tcW w:w="433" w:type="pct"/>
            <w:tcBorders>
              <w:top w:val="single" w:sz="4" w:space="0" w:color="auto"/>
            </w:tcBorders>
            <w:vAlign w:val="bottom"/>
            <w:hideMark/>
          </w:tcPr>
          <w:p w14:paraId="5B1699FA" w14:textId="77777777" w:rsidR="006B403E" w:rsidRPr="00FF363C" w:rsidRDefault="006B403E" w:rsidP="0049295C">
            <w:pPr>
              <w:spacing w:before="100" w:beforeAutospacing="1" w:after="0"/>
              <w:jc w:val="right"/>
              <w:rPr>
                <w:rFonts w:ascii="Times New Roman" w:hAnsi="Times New Roman"/>
                <w:b/>
                <w:sz w:val="20"/>
              </w:rPr>
            </w:pPr>
          </w:p>
        </w:tc>
        <w:tc>
          <w:tcPr>
            <w:tcW w:w="758" w:type="pct"/>
            <w:tcBorders>
              <w:top w:val="single" w:sz="4" w:space="0" w:color="auto"/>
            </w:tcBorders>
            <w:vAlign w:val="bottom"/>
            <w:hideMark/>
          </w:tcPr>
          <w:p w14:paraId="0D1DE789" w14:textId="77777777" w:rsidR="006B403E" w:rsidRPr="00FF363C" w:rsidRDefault="006B403E" w:rsidP="0049295C">
            <w:pPr>
              <w:spacing w:before="100" w:beforeAutospacing="1" w:after="0"/>
              <w:jc w:val="right"/>
              <w:rPr>
                <w:rFonts w:ascii="Times New Roman" w:hAnsi="Times New Roman"/>
                <w:b/>
                <w:sz w:val="20"/>
              </w:rPr>
            </w:pPr>
          </w:p>
        </w:tc>
        <w:tc>
          <w:tcPr>
            <w:tcW w:w="762" w:type="pct"/>
            <w:tcBorders>
              <w:top w:val="single" w:sz="4" w:space="0" w:color="auto"/>
            </w:tcBorders>
            <w:vAlign w:val="bottom"/>
            <w:hideMark/>
          </w:tcPr>
          <w:p w14:paraId="4F4832D5" w14:textId="77777777" w:rsidR="006B403E" w:rsidRPr="00FF363C" w:rsidRDefault="006B403E" w:rsidP="0049295C">
            <w:pPr>
              <w:spacing w:before="100" w:beforeAutospacing="1" w:after="0"/>
              <w:rPr>
                <w:rFonts w:ascii="Times New Roman" w:hAnsi="Times New Roman"/>
                <w:b/>
                <w:sz w:val="20"/>
              </w:rPr>
            </w:pPr>
          </w:p>
        </w:tc>
        <w:tc>
          <w:tcPr>
            <w:tcW w:w="559" w:type="pct"/>
            <w:tcBorders>
              <w:top w:val="single" w:sz="4" w:space="0" w:color="auto"/>
            </w:tcBorders>
            <w:vAlign w:val="bottom"/>
            <w:hideMark/>
          </w:tcPr>
          <w:p w14:paraId="1FD2FAD6" w14:textId="77777777" w:rsidR="006B403E" w:rsidRPr="00FF363C" w:rsidRDefault="006B403E" w:rsidP="0049295C">
            <w:pPr>
              <w:spacing w:before="100" w:beforeAutospacing="1" w:after="0"/>
              <w:jc w:val="right"/>
              <w:rPr>
                <w:rFonts w:ascii="Times New Roman" w:hAnsi="Times New Roman"/>
                <w:b/>
                <w:sz w:val="20"/>
              </w:rPr>
            </w:pPr>
          </w:p>
        </w:tc>
        <w:tc>
          <w:tcPr>
            <w:tcW w:w="1007" w:type="pct"/>
            <w:tcBorders>
              <w:top w:val="single" w:sz="4" w:space="0" w:color="auto"/>
            </w:tcBorders>
            <w:vAlign w:val="bottom"/>
            <w:hideMark/>
          </w:tcPr>
          <w:p w14:paraId="7BED94F7" w14:textId="77777777" w:rsidR="006B403E" w:rsidRPr="00FF363C" w:rsidRDefault="006B403E" w:rsidP="0049295C">
            <w:pPr>
              <w:spacing w:after="0"/>
              <w:rPr>
                <w:rFonts w:ascii="Times New Roman" w:hAnsi="Times New Roman"/>
                <w:b/>
                <w:sz w:val="20"/>
              </w:rPr>
            </w:pPr>
          </w:p>
        </w:tc>
      </w:tr>
      <w:tr w:rsidR="006B403E" w:rsidRPr="00D565C7" w14:paraId="709074C1" w14:textId="77777777" w:rsidTr="00322A62">
        <w:trPr>
          <w:trHeight w:val="112"/>
        </w:trPr>
        <w:tc>
          <w:tcPr>
            <w:tcW w:w="856" w:type="pct"/>
            <w:tcBorders>
              <w:top w:val="single" w:sz="4" w:space="0" w:color="auto"/>
            </w:tcBorders>
            <w:vAlign w:val="center"/>
            <w:hideMark/>
          </w:tcPr>
          <w:p w14:paraId="0A8C3720" w14:textId="77777777" w:rsidR="006B403E" w:rsidRPr="00D565C7" w:rsidRDefault="006B403E" w:rsidP="0049295C">
            <w:pPr>
              <w:spacing w:before="100" w:beforeAutospacing="1" w:after="0" w:line="276" w:lineRule="auto"/>
              <w:rPr>
                <w:rFonts w:ascii="Times New Roman" w:hAnsi="Times New Roman"/>
                <w:b/>
                <w:bCs/>
                <w:color w:val="000000"/>
                <w:spacing w:val="6"/>
                <w:sz w:val="20"/>
              </w:rPr>
            </w:pPr>
            <w:r>
              <w:rPr>
                <w:rFonts w:ascii="Times New Roman" w:hAnsi="Times New Roman"/>
                <w:b/>
                <w:bCs/>
                <w:color w:val="000000"/>
                <w:spacing w:val="6"/>
                <w:sz w:val="20"/>
              </w:rPr>
              <w:t>Alle</w:t>
            </w:r>
          </w:p>
        </w:tc>
        <w:tc>
          <w:tcPr>
            <w:tcW w:w="624" w:type="pct"/>
            <w:tcBorders>
              <w:top w:val="single" w:sz="4" w:space="0" w:color="auto"/>
            </w:tcBorders>
            <w:vAlign w:val="bottom"/>
            <w:hideMark/>
          </w:tcPr>
          <w:p w14:paraId="402B899C" w14:textId="77777777" w:rsidR="006B403E" w:rsidRPr="00FF363C" w:rsidRDefault="006B403E" w:rsidP="0049295C">
            <w:pPr>
              <w:spacing w:before="100" w:beforeAutospacing="1" w:after="0"/>
              <w:rPr>
                <w:rFonts w:ascii="Times New Roman" w:hAnsi="Times New Roman"/>
                <w:b/>
                <w:sz w:val="20"/>
              </w:rPr>
            </w:pPr>
            <w:r w:rsidRPr="00FF363C">
              <w:rPr>
                <w:rFonts w:ascii="Times New Roman" w:hAnsi="Times New Roman"/>
                <w:b/>
                <w:sz w:val="20"/>
              </w:rPr>
              <w:t xml:space="preserve">   396 000 </w:t>
            </w:r>
          </w:p>
        </w:tc>
        <w:tc>
          <w:tcPr>
            <w:tcW w:w="433" w:type="pct"/>
            <w:tcBorders>
              <w:top w:val="single" w:sz="4" w:space="0" w:color="auto"/>
            </w:tcBorders>
            <w:vAlign w:val="bottom"/>
            <w:hideMark/>
          </w:tcPr>
          <w:p w14:paraId="614B0E58" w14:textId="77777777" w:rsidR="006B403E" w:rsidRPr="00FF363C" w:rsidRDefault="006B403E" w:rsidP="0049295C">
            <w:pPr>
              <w:spacing w:before="100" w:beforeAutospacing="1" w:after="0"/>
              <w:jc w:val="right"/>
              <w:rPr>
                <w:rFonts w:ascii="Times New Roman" w:hAnsi="Times New Roman"/>
                <w:b/>
                <w:sz w:val="20"/>
              </w:rPr>
            </w:pPr>
            <w:r w:rsidRPr="00FF363C">
              <w:rPr>
                <w:rFonts w:ascii="Times New Roman" w:hAnsi="Times New Roman"/>
                <w:b/>
                <w:sz w:val="20"/>
              </w:rPr>
              <w:t>100</w:t>
            </w:r>
          </w:p>
        </w:tc>
        <w:tc>
          <w:tcPr>
            <w:tcW w:w="758" w:type="pct"/>
            <w:tcBorders>
              <w:top w:val="single" w:sz="4" w:space="0" w:color="auto"/>
            </w:tcBorders>
            <w:vAlign w:val="bottom"/>
            <w:hideMark/>
          </w:tcPr>
          <w:p w14:paraId="17723CA8" w14:textId="77777777" w:rsidR="006B403E" w:rsidRPr="00FF363C" w:rsidRDefault="006B403E" w:rsidP="0049295C">
            <w:pPr>
              <w:spacing w:before="100" w:beforeAutospacing="1" w:after="0"/>
              <w:jc w:val="right"/>
              <w:rPr>
                <w:rFonts w:ascii="Times New Roman" w:hAnsi="Times New Roman"/>
                <w:b/>
                <w:sz w:val="20"/>
              </w:rPr>
            </w:pPr>
            <w:r w:rsidRPr="00FF363C">
              <w:rPr>
                <w:rFonts w:ascii="Times New Roman" w:hAnsi="Times New Roman"/>
                <w:b/>
                <w:sz w:val="20"/>
              </w:rPr>
              <w:t>100</w:t>
            </w:r>
          </w:p>
        </w:tc>
        <w:tc>
          <w:tcPr>
            <w:tcW w:w="762" w:type="pct"/>
            <w:tcBorders>
              <w:top w:val="single" w:sz="4" w:space="0" w:color="auto"/>
            </w:tcBorders>
            <w:vAlign w:val="bottom"/>
            <w:hideMark/>
          </w:tcPr>
          <w:p w14:paraId="148DC815" w14:textId="77777777" w:rsidR="006B403E" w:rsidRPr="00FF363C" w:rsidRDefault="006B403E" w:rsidP="0049295C">
            <w:pPr>
              <w:spacing w:before="100" w:beforeAutospacing="1" w:after="0"/>
              <w:rPr>
                <w:rFonts w:ascii="Times New Roman" w:hAnsi="Times New Roman"/>
                <w:b/>
                <w:sz w:val="20"/>
              </w:rPr>
            </w:pPr>
            <w:r w:rsidRPr="00FF363C">
              <w:rPr>
                <w:rFonts w:ascii="Times New Roman" w:hAnsi="Times New Roman"/>
                <w:b/>
                <w:sz w:val="20"/>
              </w:rPr>
              <w:t xml:space="preserve">           499 200 </w:t>
            </w:r>
          </w:p>
        </w:tc>
        <w:tc>
          <w:tcPr>
            <w:tcW w:w="559" w:type="pct"/>
            <w:tcBorders>
              <w:top w:val="single" w:sz="4" w:space="0" w:color="auto"/>
            </w:tcBorders>
            <w:vAlign w:val="bottom"/>
            <w:hideMark/>
          </w:tcPr>
          <w:p w14:paraId="1E41994F" w14:textId="77777777" w:rsidR="006B403E" w:rsidRPr="00FF363C" w:rsidRDefault="006B403E" w:rsidP="0049295C">
            <w:pPr>
              <w:spacing w:before="100" w:beforeAutospacing="1" w:after="0"/>
              <w:jc w:val="right"/>
              <w:rPr>
                <w:rFonts w:ascii="Times New Roman" w:hAnsi="Times New Roman"/>
                <w:b/>
                <w:sz w:val="20"/>
              </w:rPr>
            </w:pPr>
            <w:r w:rsidRPr="00FF363C">
              <w:rPr>
                <w:rFonts w:ascii="Times New Roman" w:hAnsi="Times New Roman"/>
                <w:b/>
                <w:sz w:val="20"/>
              </w:rPr>
              <w:t>100</w:t>
            </w:r>
          </w:p>
        </w:tc>
        <w:tc>
          <w:tcPr>
            <w:tcW w:w="1007" w:type="pct"/>
            <w:tcBorders>
              <w:top w:val="single" w:sz="4" w:space="0" w:color="auto"/>
            </w:tcBorders>
            <w:vAlign w:val="bottom"/>
            <w:hideMark/>
          </w:tcPr>
          <w:p w14:paraId="55A330B5" w14:textId="77777777" w:rsidR="006B403E" w:rsidRPr="00FF363C" w:rsidRDefault="006B403E" w:rsidP="0049295C">
            <w:pPr>
              <w:spacing w:after="0"/>
              <w:rPr>
                <w:rFonts w:ascii="Times New Roman" w:hAnsi="Times New Roman"/>
                <w:b/>
                <w:sz w:val="20"/>
              </w:rPr>
            </w:pPr>
            <w:r w:rsidRPr="00FF363C">
              <w:rPr>
                <w:rFonts w:ascii="Times New Roman" w:hAnsi="Times New Roman"/>
                <w:b/>
                <w:sz w:val="20"/>
              </w:rPr>
              <w:t xml:space="preserve">          26,1 </w:t>
            </w:r>
          </w:p>
        </w:tc>
      </w:tr>
      <w:tr w:rsidR="006B403E" w:rsidRPr="00086565" w14:paraId="27F2D05D" w14:textId="77777777" w:rsidTr="00322A62">
        <w:trPr>
          <w:trHeight w:val="119"/>
        </w:trPr>
        <w:tc>
          <w:tcPr>
            <w:tcW w:w="856" w:type="pct"/>
            <w:vAlign w:val="center"/>
            <w:hideMark/>
          </w:tcPr>
          <w:p w14:paraId="70DC0A9E" w14:textId="77777777" w:rsidR="006B403E" w:rsidRPr="00086565" w:rsidRDefault="006B403E" w:rsidP="0049295C">
            <w:pPr>
              <w:spacing w:before="100" w:beforeAutospacing="1" w:after="0"/>
              <w:rPr>
                <w:rFonts w:ascii="Times New Roman" w:hAnsi="Times New Roman"/>
                <w:color w:val="000000"/>
                <w:spacing w:val="6"/>
                <w:sz w:val="20"/>
              </w:rPr>
            </w:pPr>
            <w:r w:rsidRPr="00086565">
              <w:rPr>
                <w:rFonts w:ascii="Times New Roman" w:hAnsi="Times New Roman"/>
                <w:color w:val="000000"/>
                <w:spacing w:val="6"/>
                <w:sz w:val="20"/>
              </w:rPr>
              <w:t>Desil 1</w:t>
            </w:r>
          </w:p>
        </w:tc>
        <w:tc>
          <w:tcPr>
            <w:tcW w:w="624" w:type="pct"/>
            <w:vAlign w:val="bottom"/>
            <w:hideMark/>
          </w:tcPr>
          <w:p w14:paraId="44904F00"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274 800 </w:t>
            </w:r>
          </w:p>
        </w:tc>
        <w:tc>
          <w:tcPr>
            <w:tcW w:w="433" w:type="pct"/>
            <w:vAlign w:val="bottom"/>
            <w:hideMark/>
          </w:tcPr>
          <w:p w14:paraId="6F3399B9"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6,9</w:t>
            </w:r>
          </w:p>
        </w:tc>
        <w:tc>
          <w:tcPr>
            <w:tcW w:w="758" w:type="pct"/>
            <w:vAlign w:val="bottom"/>
            <w:hideMark/>
          </w:tcPr>
          <w:p w14:paraId="299D4F89"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6,9</w:t>
            </w:r>
          </w:p>
        </w:tc>
        <w:tc>
          <w:tcPr>
            <w:tcW w:w="762" w:type="pct"/>
            <w:vAlign w:val="bottom"/>
            <w:hideMark/>
          </w:tcPr>
          <w:p w14:paraId="13010208"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340 800 </w:t>
            </w:r>
          </w:p>
        </w:tc>
        <w:tc>
          <w:tcPr>
            <w:tcW w:w="559" w:type="pct"/>
            <w:vAlign w:val="bottom"/>
            <w:hideMark/>
          </w:tcPr>
          <w:p w14:paraId="28B7966B"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6,8</w:t>
            </w:r>
          </w:p>
        </w:tc>
        <w:tc>
          <w:tcPr>
            <w:tcW w:w="1007" w:type="pct"/>
            <w:vAlign w:val="bottom"/>
            <w:hideMark/>
          </w:tcPr>
          <w:p w14:paraId="2612527A" w14:textId="77777777" w:rsidR="006B403E" w:rsidRPr="00FF363C" w:rsidRDefault="006B403E" w:rsidP="0049295C">
            <w:pPr>
              <w:spacing w:after="0"/>
              <w:rPr>
                <w:rFonts w:ascii="Times New Roman" w:hAnsi="Times New Roman"/>
                <w:sz w:val="20"/>
              </w:rPr>
            </w:pPr>
            <w:r w:rsidRPr="00FF363C">
              <w:rPr>
                <w:rFonts w:ascii="Times New Roman" w:hAnsi="Times New Roman"/>
                <w:sz w:val="20"/>
              </w:rPr>
              <w:t xml:space="preserve">          24,0 </w:t>
            </w:r>
          </w:p>
        </w:tc>
      </w:tr>
      <w:tr w:rsidR="006B403E" w:rsidRPr="00086565" w14:paraId="47B3DB4A" w14:textId="77777777" w:rsidTr="00322A62">
        <w:trPr>
          <w:trHeight w:val="119"/>
        </w:trPr>
        <w:tc>
          <w:tcPr>
            <w:tcW w:w="856" w:type="pct"/>
            <w:vAlign w:val="center"/>
            <w:hideMark/>
          </w:tcPr>
          <w:p w14:paraId="2930428C" w14:textId="77777777" w:rsidR="006B403E" w:rsidRPr="00086565" w:rsidRDefault="006B403E" w:rsidP="0049295C">
            <w:pPr>
              <w:spacing w:before="100" w:beforeAutospacing="1" w:after="0"/>
              <w:rPr>
                <w:rFonts w:ascii="Times New Roman" w:hAnsi="Times New Roman"/>
                <w:color w:val="000000"/>
                <w:spacing w:val="6"/>
                <w:sz w:val="20"/>
              </w:rPr>
            </w:pPr>
            <w:r w:rsidRPr="00086565">
              <w:rPr>
                <w:rFonts w:ascii="Times New Roman" w:hAnsi="Times New Roman"/>
                <w:color w:val="000000"/>
                <w:spacing w:val="6"/>
                <w:sz w:val="20"/>
              </w:rPr>
              <w:t>Desil 2</w:t>
            </w:r>
          </w:p>
        </w:tc>
        <w:tc>
          <w:tcPr>
            <w:tcW w:w="624" w:type="pct"/>
            <w:vAlign w:val="bottom"/>
            <w:hideMark/>
          </w:tcPr>
          <w:p w14:paraId="3B75C8A1"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309 600 </w:t>
            </w:r>
          </w:p>
        </w:tc>
        <w:tc>
          <w:tcPr>
            <w:tcW w:w="433" w:type="pct"/>
            <w:vAlign w:val="bottom"/>
            <w:hideMark/>
          </w:tcPr>
          <w:p w14:paraId="309EA52D"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7,8</w:t>
            </w:r>
          </w:p>
        </w:tc>
        <w:tc>
          <w:tcPr>
            <w:tcW w:w="758" w:type="pct"/>
            <w:vAlign w:val="bottom"/>
            <w:hideMark/>
          </w:tcPr>
          <w:p w14:paraId="51337D46"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7,8</w:t>
            </w:r>
          </w:p>
        </w:tc>
        <w:tc>
          <w:tcPr>
            <w:tcW w:w="762" w:type="pct"/>
            <w:vAlign w:val="bottom"/>
            <w:hideMark/>
          </w:tcPr>
          <w:p w14:paraId="3F59BCAC"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387 600 </w:t>
            </w:r>
          </w:p>
        </w:tc>
        <w:tc>
          <w:tcPr>
            <w:tcW w:w="559" w:type="pct"/>
            <w:vAlign w:val="bottom"/>
            <w:hideMark/>
          </w:tcPr>
          <w:p w14:paraId="70A7EEF1"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7,8</w:t>
            </w:r>
          </w:p>
        </w:tc>
        <w:tc>
          <w:tcPr>
            <w:tcW w:w="1007" w:type="pct"/>
            <w:vAlign w:val="bottom"/>
            <w:hideMark/>
          </w:tcPr>
          <w:p w14:paraId="7586994B" w14:textId="77777777" w:rsidR="006B403E" w:rsidRPr="00FF363C" w:rsidRDefault="006B403E" w:rsidP="0049295C">
            <w:pPr>
              <w:spacing w:after="0"/>
              <w:rPr>
                <w:rFonts w:ascii="Times New Roman" w:hAnsi="Times New Roman"/>
                <w:sz w:val="20"/>
              </w:rPr>
            </w:pPr>
            <w:r w:rsidRPr="00FF363C">
              <w:rPr>
                <w:rFonts w:ascii="Times New Roman" w:hAnsi="Times New Roman"/>
                <w:sz w:val="20"/>
              </w:rPr>
              <w:t xml:space="preserve">          25,2 </w:t>
            </w:r>
          </w:p>
        </w:tc>
      </w:tr>
      <w:tr w:rsidR="006B403E" w:rsidRPr="00086565" w14:paraId="6333770E" w14:textId="77777777" w:rsidTr="00322A62">
        <w:trPr>
          <w:trHeight w:val="119"/>
        </w:trPr>
        <w:tc>
          <w:tcPr>
            <w:tcW w:w="856" w:type="pct"/>
            <w:vAlign w:val="center"/>
            <w:hideMark/>
          </w:tcPr>
          <w:p w14:paraId="59F08843" w14:textId="77777777" w:rsidR="006B403E" w:rsidRPr="00086565" w:rsidRDefault="006B403E" w:rsidP="0049295C">
            <w:pPr>
              <w:spacing w:before="100" w:beforeAutospacing="1" w:after="0"/>
              <w:rPr>
                <w:rFonts w:ascii="Times New Roman" w:hAnsi="Times New Roman"/>
                <w:color w:val="000000"/>
                <w:spacing w:val="6"/>
                <w:sz w:val="20"/>
              </w:rPr>
            </w:pPr>
            <w:r w:rsidRPr="00086565">
              <w:rPr>
                <w:rFonts w:ascii="Times New Roman" w:hAnsi="Times New Roman"/>
                <w:color w:val="000000"/>
                <w:spacing w:val="6"/>
                <w:sz w:val="20"/>
              </w:rPr>
              <w:t>Desil 3</w:t>
            </w:r>
          </w:p>
        </w:tc>
        <w:tc>
          <w:tcPr>
            <w:tcW w:w="624" w:type="pct"/>
            <w:vAlign w:val="bottom"/>
            <w:hideMark/>
          </w:tcPr>
          <w:p w14:paraId="7BA85F22"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333 600 </w:t>
            </w:r>
          </w:p>
        </w:tc>
        <w:tc>
          <w:tcPr>
            <w:tcW w:w="433" w:type="pct"/>
            <w:vAlign w:val="bottom"/>
            <w:hideMark/>
          </w:tcPr>
          <w:p w14:paraId="055691AB"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8,4</w:t>
            </w:r>
          </w:p>
        </w:tc>
        <w:tc>
          <w:tcPr>
            <w:tcW w:w="758" w:type="pct"/>
            <w:vAlign w:val="bottom"/>
            <w:hideMark/>
          </w:tcPr>
          <w:p w14:paraId="651EF967"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8,4</w:t>
            </w:r>
          </w:p>
        </w:tc>
        <w:tc>
          <w:tcPr>
            <w:tcW w:w="762" w:type="pct"/>
            <w:vAlign w:val="bottom"/>
            <w:hideMark/>
          </w:tcPr>
          <w:p w14:paraId="7052CBAB"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420 000 </w:t>
            </w:r>
          </w:p>
        </w:tc>
        <w:tc>
          <w:tcPr>
            <w:tcW w:w="559" w:type="pct"/>
            <w:vAlign w:val="bottom"/>
            <w:hideMark/>
          </w:tcPr>
          <w:p w14:paraId="335C4480"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8,4</w:t>
            </w:r>
          </w:p>
        </w:tc>
        <w:tc>
          <w:tcPr>
            <w:tcW w:w="1007" w:type="pct"/>
            <w:vAlign w:val="bottom"/>
            <w:hideMark/>
          </w:tcPr>
          <w:p w14:paraId="75BCB332" w14:textId="77777777" w:rsidR="006B403E" w:rsidRPr="00FF363C" w:rsidRDefault="006B403E" w:rsidP="0049295C">
            <w:pPr>
              <w:spacing w:after="0"/>
              <w:rPr>
                <w:rFonts w:ascii="Times New Roman" w:hAnsi="Times New Roman"/>
                <w:sz w:val="20"/>
              </w:rPr>
            </w:pPr>
            <w:r w:rsidRPr="00FF363C">
              <w:rPr>
                <w:rFonts w:ascii="Times New Roman" w:hAnsi="Times New Roman"/>
                <w:sz w:val="20"/>
              </w:rPr>
              <w:t xml:space="preserve">          25,9 </w:t>
            </w:r>
          </w:p>
        </w:tc>
      </w:tr>
      <w:tr w:rsidR="006B403E" w:rsidRPr="00086565" w14:paraId="5C578128" w14:textId="77777777" w:rsidTr="00322A62">
        <w:trPr>
          <w:trHeight w:val="119"/>
        </w:trPr>
        <w:tc>
          <w:tcPr>
            <w:tcW w:w="856" w:type="pct"/>
            <w:vAlign w:val="center"/>
            <w:hideMark/>
          </w:tcPr>
          <w:p w14:paraId="486B3185" w14:textId="77777777" w:rsidR="006B403E" w:rsidRPr="00086565" w:rsidRDefault="006B403E" w:rsidP="0049295C">
            <w:pPr>
              <w:spacing w:before="100" w:beforeAutospacing="1" w:after="0"/>
              <w:rPr>
                <w:rFonts w:ascii="Times New Roman" w:hAnsi="Times New Roman"/>
                <w:color w:val="000000"/>
                <w:spacing w:val="6"/>
                <w:sz w:val="20"/>
              </w:rPr>
            </w:pPr>
            <w:r w:rsidRPr="00086565">
              <w:rPr>
                <w:rFonts w:ascii="Times New Roman" w:hAnsi="Times New Roman"/>
                <w:color w:val="000000"/>
                <w:spacing w:val="6"/>
                <w:sz w:val="20"/>
              </w:rPr>
              <w:t>Desil 4</w:t>
            </w:r>
          </w:p>
        </w:tc>
        <w:tc>
          <w:tcPr>
            <w:tcW w:w="624" w:type="pct"/>
            <w:vAlign w:val="bottom"/>
            <w:hideMark/>
          </w:tcPr>
          <w:p w14:paraId="5357A890"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354 000 </w:t>
            </w:r>
          </w:p>
        </w:tc>
        <w:tc>
          <w:tcPr>
            <w:tcW w:w="433" w:type="pct"/>
            <w:vAlign w:val="bottom"/>
            <w:hideMark/>
          </w:tcPr>
          <w:p w14:paraId="64EA6FB5"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8,9</w:t>
            </w:r>
          </w:p>
        </w:tc>
        <w:tc>
          <w:tcPr>
            <w:tcW w:w="758" w:type="pct"/>
            <w:vAlign w:val="bottom"/>
            <w:hideMark/>
          </w:tcPr>
          <w:p w14:paraId="10CC52F7"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8,9</w:t>
            </w:r>
          </w:p>
        </w:tc>
        <w:tc>
          <w:tcPr>
            <w:tcW w:w="762" w:type="pct"/>
            <w:vAlign w:val="bottom"/>
            <w:hideMark/>
          </w:tcPr>
          <w:p w14:paraId="099789E7"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444 000 </w:t>
            </w:r>
          </w:p>
        </w:tc>
        <w:tc>
          <w:tcPr>
            <w:tcW w:w="559" w:type="pct"/>
            <w:vAlign w:val="bottom"/>
            <w:hideMark/>
          </w:tcPr>
          <w:p w14:paraId="159210ED"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8,9</w:t>
            </w:r>
          </w:p>
        </w:tc>
        <w:tc>
          <w:tcPr>
            <w:tcW w:w="1007" w:type="pct"/>
            <w:vAlign w:val="bottom"/>
            <w:hideMark/>
          </w:tcPr>
          <w:p w14:paraId="1FA01BCE" w14:textId="77777777" w:rsidR="006B403E" w:rsidRPr="00FF363C" w:rsidRDefault="006B403E" w:rsidP="0049295C">
            <w:pPr>
              <w:spacing w:after="0"/>
              <w:rPr>
                <w:rFonts w:ascii="Times New Roman" w:hAnsi="Times New Roman"/>
                <w:sz w:val="20"/>
              </w:rPr>
            </w:pPr>
            <w:r w:rsidRPr="00FF363C">
              <w:rPr>
                <w:rFonts w:ascii="Times New Roman" w:hAnsi="Times New Roman"/>
                <w:sz w:val="20"/>
              </w:rPr>
              <w:t xml:space="preserve">          25,4 </w:t>
            </w:r>
          </w:p>
        </w:tc>
      </w:tr>
      <w:tr w:rsidR="006B403E" w:rsidRPr="00086565" w14:paraId="206A61B5" w14:textId="77777777" w:rsidTr="00322A62">
        <w:trPr>
          <w:trHeight w:val="119"/>
        </w:trPr>
        <w:tc>
          <w:tcPr>
            <w:tcW w:w="856" w:type="pct"/>
            <w:vAlign w:val="center"/>
            <w:hideMark/>
          </w:tcPr>
          <w:p w14:paraId="2402B4C6" w14:textId="77777777" w:rsidR="006B403E" w:rsidRPr="00086565" w:rsidRDefault="006B403E" w:rsidP="0049295C">
            <w:pPr>
              <w:spacing w:before="100" w:beforeAutospacing="1" w:after="0"/>
              <w:rPr>
                <w:rFonts w:ascii="Times New Roman" w:hAnsi="Times New Roman"/>
                <w:color w:val="000000"/>
                <w:spacing w:val="6"/>
                <w:sz w:val="20"/>
              </w:rPr>
            </w:pPr>
            <w:r w:rsidRPr="00086565">
              <w:rPr>
                <w:rFonts w:ascii="Times New Roman" w:hAnsi="Times New Roman"/>
                <w:color w:val="000000"/>
                <w:spacing w:val="6"/>
                <w:sz w:val="20"/>
              </w:rPr>
              <w:t>Desil 5</w:t>
            </w:r>
          </w:p>
        </w:tc>
        <w:tc>
          <w:tcPr>
            <w:tcW w:w="624" w:type="pct"/>
            <w:vAlign w:val="bottom"/>
            <w:hideMark/>
          </w:tcPr>
          <w:p w14:paraId="16DDD039"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370 800 </w:t>
            </w:r>
          </w:p>
        </w:tc>
        <w:tc>
          <w:tcPr>
            <w:tcW w:w="433" w:type="pct"/>
            <w:vAlign w:val="bottom"/>
            <w:hideMark/>
          </w:tcPr>
          <w:p w14:paraId="5689C856"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9,4</w:t>
            </w:r>
          </w:p>
        </w:tc>
        <w:tc>
          <w:tcPr>
            <w:tcW w:w="758" w:type="pct"/>
            <w:vAlign w:val="bottom"/>
            <w:hideMark/>
          </w:tcPr>
          <w:p w14:paraId="7ED77CD4"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9,3</w:t>
            </w:r>
          </w:p>
        </w:tc>
        <w:tc>
          <w:tcPr>
            <w:tcW w:w="762" w:type="pct"/>
            <w:vAlign w:val="bottom"/>
            <w:hideMark/>
          </w:tcPr>
          <w:p w14:paraId="2BDCDF4E"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465 600 </w:t>
            </w:r>
          </w:p>
        </w:tc>
        <w:tc>
          <w:tcPr>
            <w:tcW w:w="559" w:type="pct"/>
            <w:vAlign w:val="bottom"/>
            <w:hideMark/>
          </w:tcPr>
          <w:p w14:paraId="536F8AC7"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9,3</w:t>
            </w:r>
          </w:p>
        </w:tc>
        <w:tc>
          <w:tcPr>
            <w:tcW w:w="1007" w:type="pct"/>
            <w:vAlign w:val="bottom"/>
            <w:hideMark/>
          </w:tcPr>
          <w:p w14:paraId="792BCD28" w14:textId="77777777" w:rsidR="006B403E" w:rsidRPr="00FF363C" w:rsidRDefault="006B403E" w:rsidP="0049295C">
            <w:pPr>
              <w:spacing w:after="0"/>
              <w:rPr>
                <w:rFonts w:ascii="Times New Roman" w:hAnsi="Times New Roman"/>
                <w:sz w:val="20"/>
              </w:rPr>
            </w:pPr>
            <w:r w:rsidRPr="00FF363C">
              <w:rPr>
                <w:rFonts w:ascii="Times New Roman" w:hAnsi="Times New Roman"/>
                <w:sz w:val="20"/>
              </w:rPr>
              <w:t xml:space="preserve">          25,6 </w:t>
            </w:r>
          </w:p>
        </w:tc>
      </w:tr>
      <w:tr w:rsidR="006B403E" w:rsidRPr="00086565" w14:paraId="5AC27605" w14:textId="77777777" w:rsidTr="00322A62">
        <w:trPr>
          <w:trHeight w:val="119"/>
        </w:trPr>
        <w:tc>
          <w:tcPr>
            <w:tcW w:w="856" w:type="pct"/>
            <w:vAlign w:val="center"/>
            <w:hideMark/>
          </w:tcPr>
          <w:p w14:paraId="2C331F11" w14:textId="77777777" w:rsidR="006B403E" w:rsidRPr="00086565" w:rsidRDefault="006B403E" w:rsidP="0049295C">
            <w:pPr>
              <w:spacing w:before="100" w:beforeAutospacing="1" w:after="0"/>
              <w:rPr>
                <w:rFonts w:ascii="Times New Roman" w:hAnsi="Times New Roman"/>
                <w:color w:val="000000"/>
                <w:spacing w:val="6"/>
                <w:sz w:val="20"/>
              </w:rPr>
            </w:pPr>
            <w:r w:rsidRPr="00086565">
              <w:rPr>
                <w:rFonts w:ascii="Times New Roman" w:hAnsi="Times New Roman"/>
                <w:color w:val="000000"/>
                <w:spacing w:val="6"/>
                <w:sz w:val="20"/>
              </w:rPr>
              <w:t>Desil 6</w:t>
            </w:r>
          </w:p>
        </w:tc>
        <w:tc>
          <w:tcPr>
            <w:tcW w:w="624" w:type="pct"/>
            <w:vAlign w:val="bottom"/>
            <w:hideMark/>
          </w:tcPr>
          <w:p w14:paraId="403B9F80"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390 000 </w:t>
            </w:r>
          </w:p>
        </w:tc>
        <w:tc>
          <w:tcPr>
            <w:tcW w:w="433" w:type="pct"/>
            <w:vAlign w:val="bottom"/>
            <w:hideMark/>
          </w:tcPr>
          <w:p w14:paraId="4A62C08D"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9,9</w:t>
            </w:r>
          </w:p>
        </w:tc>
        <w:tc>
          <w:tcPr>
            <w:tcW w:w="758" w:type="pct"/>
            <w:vAlign w:val="bottom"/>
            <w:hideMark/>
          </w:tcPr>
          <w:p w14:paraId="4981ACE6"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9,8</w:t>
            </w:r>
          </w:p>
        </w:tc>
        <w:tc>
          <w:tcPr>
            <w:tcW w:w="762" w:type="pct"/>
            <w:vAlign w:val="bottom"/>
            <w:hideMark/>
          </w:tcPr>
          <w:p w14:paraId="0ED2DEEE"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489 600 </w:t>
            </w:r>
          </w:p>
        </w:tc>
        <w:tc>
          <w:tcPr>
            <w:tcW w:w="559" w:type="pct"/>
            <w:vAlign w:val="bottom"/>
            <w:hideMark/>
          </w:tcPr>
          <w:p w14:paraId="4ABF0F1A"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9,8</w:t>
            </w:r>
          </w:p>
        </w:tc>
        <w:tc>
          <w:tcPr>
            <w:tcW w:w="1007" w:type="pct"/>
            <w:vAlign w:val="bottom"/>
            <w:hideMark/>
          </w:tcPr>
          <w:p w14:paraId="1EB32C98" w14:textId="77777777" w:rsidR="006B403E" w:rsidRPr="00FF363C" w:rsidRDefault="006B403E" w:rsidP="0049295C">
            <w:pPr>
              <w:spacing w:after="0"/>
              <w:rPr>
                <w:rFonts w:ascii="Times New Roman" w:hAnsi="Times New Roman"/>
                <w:sz w:val="20"/>
              </w:rPr>
            </w:pPr>
            <w:r w:rsidRPr="00FF363C">
              <w:rPr>
                <w:rFonts w:ascii="Times New Roman" w:hAnsi="Times New Roman"/>
                <w:sz w:val="20"/>
              </w:rPr>
              <w:t xml:space="preserve">          25,5 </w:t>
            </w:r>
          </w:p>
        </w:tc>
      </w:tr>
      <w:tr w:rsidR="006B403E" w:rsidRPr="00086565" w14:paraId="0D1B8631" w14:textId="77777777" w:rsidTr="00322A62">
        <w:trPr>
          <w:trHeight w:val="119"/>
        </w:trPr>
        <w:tc>
          <w:tcPr>
            <w:tcW w:w="856" w:type="pct"/>
            <w:vAlign w:val="center"/>
            <w:hideMark/>
          </w:tcPr>
          <w:p w14:paraId="71367D7F" w14:textId="77777777" w:rsidR="006B403E" w:rsidRPr="00086565" w:rsidRDefault="006B403E" w:rsidP="0049295C">
            <w:pPr>
              <w:spacing w:before="100" w:beforeAutospacing="1" w:after="0"/>
              <w:rPr>
                <w:rFonts w:ascii="Times New Roman" w:hAnsi="Times New Roman"/>
                <w:color w:val="000000"/>
                <w:spacing w:val="6"/>
                <w:sz w:val="20"/>
              </w:rPr>
            </w:pPr>
            <w:r w:rsidRPr="00086565">
              <w:rPr>
                <w:rFonts w:ascii="Times New Roman" w:hAnsi="Times New Roman"/>
                <w:color w:val="000000"/>
                <w:spacing w:val="6"/>
                <w:sz w:val="20"/>
              </w:rPr>
              <w:t>Desil 7</w:t>
            </w:r>
          </w:p>
        </w:tc>
        <w:tc>
          <w:tcPr>
            <w:tcW w:w="624" w:type="pct"/>
            <w:vAlign w:val="bottom"/>
            <w:hideMark/>
          </w:tcPr>
          <w:p w14:paraId="52796F9D"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410 400 </w:t>
            </w:r>
          </w:p>
        </w:tc>
        <w:tc>
          <w:tcPr>
            <w:tcW w:w="433" w:type="pct"/>
            <w:vAlign w:val="bottom"/>
            <w:hideMark/>
          </w:tcPr>
          <w:p w14:paraId="17BBCB41"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10,4</w:t>
            </w:r>
          </w:p>
        </w:tc>
        <w:tc>
          <w:tcPr>
            <w:tcW w:w="758" w:type="pct"/>
            <w:vAlign w:val="bottom"/>
            <w:hideMark/>
          </w:tcPr>
          <w:p w14:paraId="1A7141B3"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10,3</w:t>
            </w:r>
          </w:p>
        </w:tc>
        <w:tc>
          <w:tcPr>
            <w:tcW w:w="762" w:type="pct"/>
            <w:vAlign w:val="bottom"/>
            <w:hideMark/>
          </w:tcPr>
          <w:p w14:paraId="05F235A4"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514 800 </w:t>
            </w:r>
          </w:p>
        </w:tc>
        <w:tc>
          <w:tcPr>
            <w:tcW w:w="559" w:type="pct"/>
            <w:vAlign w:val="bottom"/>
            <w:hideMark/>
          </w:tcPr>
          <w:p w14:paraId="38007E3D"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10,3</w:t>
            </w:r>
          </w:p>
        </w:tc>
        <w:tc>
          <w:tcPr>
            <w:tcW w:w="1007" w:type="pct"/>
            <w:vAlign w:val="bottom"/>
            <w:hideMark/>
          </w:tcPr>
          <w:p w14:paraId="05F7C3B4" w14:textId="77777777" w:rsidR="006B403E" w:rsidRPr="00FF363C" w:rsidRDefault="006B403E" w:rsidP="0049295C">
            <w:pPr>
              <w:spacing w:after="0"/>
              <w:rPr>
                <w:rFonts w:ascii="Times New Roman" w:hAnsi="Times New Roman"/>
                <w:sz w:val="20"/>
              </w:rPr>
            </w:pPr>
            <w:r w:rsidRPr="00FF363C">
              <w:rPr>
                <w:rFonts w:ascii="Times New Roman" w:hAnsi="Times New Roman"/>
                <w:sz w:val="20"/>
              </w:rPr>
              <w:t xml:space="preserve">          25,4 </w:t>
            </w:r>
          </w:p>
        </w:tc>
      </w:tr>
      <w:tr w:rsidR="006B403E" w:rsidRPr="00086565" w14:paraId="7F532088" w14:textId="77777777" w:rsidTr="00322A62">
        <w:trPr>
          <w:trHeight w:val="119"/>
        </w:trPr>
        <w:tc>
          <w:tcPr>
            <w:tcW w:w="856" w:type="pct"/>
            <w:vAlign w:val="center"/>
            <w:hideMark/>
          </w:tcPr>
          <w:p w14:paraId="73F7C94F" w14:textId="77777777" w:rsidR="006B403E" w:rsidRPr="00086565" w:rsidRDefault="006B403E" w:rsidP="0049295C">
            <w:pPr>
              <w:spacing w:before="100" w:beforeAutospacing="1" w:after="0"/>
              <w:rPr>
                <w:rFonts w:ascii="Times New Roman" w:hAnsi="Times New Roman"/>
                <w:color w:val="000000"/>
                <w:spacing w:val="6"/>
                <w:sz w:val="20"/>
              </w:rPr>
            </w:pPr>
            <w:r w:rsidRPr="00086565">
              <w:rPr>
                <w:rFonts w:ascii="Times New Roman" w:hAnsi="Times New Roman"/>
                <w:color w:val="000000"/>
                <w:spacing w:val="6"/>
                <w:sz w:val="20"/>
              </w:rPr>
              <w:t>Desil 8</w:t>
            </w:r>
          </w:p>
        </w:tc>
        <w:tc>
          <w:tcPr>
            <w:tcW w:w="624" w:type="pct"/>
            <w:vAlign w:val="bottom"/>
            <w:hideMark/>
          </w:tcPr>
          <w:p w14:paraId="03F2CECB"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434 400 </w:t>
            </w:r>
          </w:p>
        </w:tc>
        <w:tc>
          <w:tcPr>
            <w:tcW w:w="433" w:type="pct"/>
            <w:vAlign w:val="bottom"/>
            <w:hideMark/>
          </w:tcPr>
          <w:p w14:paraId="14F3F53A"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11</w:t>
            </w:r>
            <w:r w:rsidR="008C24E1">
              <w:rPr>
                <w:rFonts w:ascii="Times New Roman" w:hAnsi="Times New Roman"/>
                <w:sz w:val="20"/>
              </w:rPr>
              <w:t>,0</w:t>
            </w:r>
          </w:p>
        </w:tc>
        <w:tc>
          <w:tcPr>
            <w:tcW w:w="758" w:type="pct"/>
            <w:vAlign w:val="bottom"/>
            <w:hideMark/>
          </w:tcPr>
          <w:p w14:paraId="6E135D60"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10,9</w:t>
            </w:r>
          </w:p>
        </w:tc>
        <w:tc>
          <w:tcPr>
            <w:tcW w:w="762" w:type="pct"/>
            <w:vAlign w:val="bottom"/>
            <w:hideMark/>
          </w:tcPr>
          <w:p w14:paraId="77F22BA0"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544 800 </w:t>
            </w:r>
          </w:p>
        </w:tc>
        <w:tc>
          <w:tcPr>
            <w:tcW w:w="559" w:type="pct"/>
            <w:vAlign w:val="bottom"/>
            <w:hideMark/>
          </w:tcPr>
          <w:p w14:paraId="20808DCA"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10,9</w:t>
            </w:r>
          </w:p>
        </w:tc>
        <w:tc>
          <w:tcPr>
            <w:tcW w:w="1007" w:type="pct"/>
            <w:vAlign w:val="bottom"/>
            <w:hideMark/>
          </w:tcPr>
          <w:p w14:paraId="7ECC512D" w14:textId="77777777" w:rsidR="006B403E" w:rsidRPr="00FF363C" w:rsidRDefault="006B403E" w:rsidP="0049295C">
            <w:pPr>
              <w:spacing w:after="0"/>
              <w:rPr>
                <w:rFonts w:ascii="Times New Roman" w:hAnsi="Times New Roman"/>
                <w:sz w:val="20"/>
              </w:rPr>
            </w:pPr>
            <w:r w:rsidRPr="00FF363C">
              <w:rPr>
                <w:rFonts w:ascii="Times New Roman" w:hAnsi="Times New Roman"/>
                <w:sz w:val="20"/>
              </w:rPr>
              <w:t xml:space="preserve">          25,4 </w:t>
            </w:r>
          </w:p>
        </w:tc>
      </w:tr>
      <w:tr w:rsidR="006B403E" w:rsidRPr="00086565" w14:paraId="62D9EBF9" w14:textId="77777777" w:rsidTr="00322A62">
        <w:trPr>
          <w:trHeight w:val="119"/>
        </w:trPr>
        <w:tc>
          <w:tcPr>
            <w:tcW w:w="856" w:type="pct"/>
            <w:vAlign w:val="center"/>
            <w:hideMark/>
          </w:tcPr>
          <w:p w14:paraId="331404E8" w14:textId="77777777" w:rsidR="006B403E" w:rsidRPr="00086565" w:rsidRDefault="006B403E" w:rsidP="0049295C">
            <w:pPr>
              <w:spacing w:before="100" w:beforeAutospacing="1" w:after="0"/>
              <w:rPr>
                <w:rFonts w:ascii="Times New Roman" w:hAnsi="Times New Roman"/>
                <w:color w:val="000000"/>
                <w:spacing w:val="6"/>
                <w:sz w:val="20"/>
              </w:rPr>
            </w:pPr>
            <w:r w:rsidRPr="00086565">
              <w:rPr>
                <w:rFonts w:ascii="Times New Roman" w:hAnsi="Times New Roman"/>
                <w:color w:val="000000"/>
                <w:spacing w:val="6"/>
                <w:sz w:val="20"/>
              </w:rPr>
              <w:t>Desil 9</w:t>
            </w:r>
          </w:p>
        </w:tc>
        <w:tc>
          <w:tcPr>
            <w:tcW w:w="624" w:type="pct"/>
            <w:vAlign w:val="bottom"/>
            <w:hideMark/>
          </w:tcPr>
          <w:p w14:paraId="220D09BB"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469 200 </w:t>
            </w:r>
          </w:p>
        </w:tc>
        <w:tc>
          <w:tcPr>
            <w:tcW w:w="433" w:type="pct"/>
            <w:vAlign w:val="bottom"/>
            <w:hideMark/>
          </w:tcPr>
          <w:p w14:paraId="693B0F6A"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11,9</w:t>
            </w:r>
          </w:p>
        </w:tc>
        <w:tc>
          <w:tcPr>
            <w:tcW w:w="758" w:type="pct"/>
            <w:vAlign w:val="bottom"/>
            <w:hideMark/>
          </w:tcPr>
          <w:p w14:paraId="19CB5676"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11,9</w:t>
            </w:r>
          </w:p>
        </w:tc>
        <w:tc>
          <w:tcPr>
            <w:tcW w:w="762" w:type="pct"/>
            <w:vAlign w:val="bottom"/>
            <w:hideMark/>
          </w:tcPr>
          <w:p w14:paraId="28C0B77F"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594 000 </w:t>
            </w:r>
          </w:p>
        </w:tc>
        <w:tc>
          <w:tcPr>
            <w:tcW w:w="559" w:type="pct"/>
            <w:vAlign w:val="bottom"/>
            <w:hideMark/>
          </w:tcPr>
          <w:p w14:paraId="044C59AF"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11,9</w:t>
            </w:r>
          </w:p>
        </w:tc>
        <w:tc>
          <w:tcPr>
            <w:tcW w:w="1007" w:type="pct"/>
            <w:vAlign w:val="bottom"/>
            <w:hideMark/>
          </w:tcPr>
          <w:p w14:paraId="00193A30" w14:textId="77777777" w:rsidR="006B403E" w:rsidRPr="00FF363C" w:rsidRDefault="006B403E" w:rsidP="0049295C">
            <w:pPr>
              <w:spacing w:after="0"/>
              <w:rPr>
                <w:rFonts w:ascii="Times New Roman" w:hAnsi="Times New Roman"/>
                <w:sz w:val="20"/>
              </w:rPr>
            </w:pPr>
            <w:r w:rsidRPr="00FF363C">
              <w:rPr>
                <w:rFonts w:ascii="Times New Roman" w:hAnsi="Times New Roman"/>
                <w:sz w:val="20"/>
              </w:rPr>
              <w:t xml:space="preserve">          26,6 </w:t>
            </w:r>
          </w:p>
        </w:tc>
      </w:tr>
      <w:tr w:rsidR="006B403E" w:rsidRPr="00086565" w14:paraId="4A940B37" w14:textId="77777777" w:rsidTr="00322A62">
        <w:trPr>
          <w:trHeight w:val="119"/>
        </w:trPr>
        <w:tc>
          <w:tcPr>
            <w:tcW w:w="856" w:type="pct"/>
            <w:tcBorders>
              <w:bottom w:val="single" w:sz="4" w:space="0" w:color="auto"/>
            </w:tcBorders>
            <w:vAlign w:val="center"/>
            <w:hideMark/>
          </w:tcPr>
          <w:p w14:paraId="5D3E9390" w14:textId="77777777" w:rsidR="006B403E" w:rsidRPr="00086565" w:rsidRDefault="006B403E" w:rsidP="0049295C">
            <w:pPr>
              <w:spacing w:before="100" w:beforeAutospacing="1" w:after="0"/>
              <w:rPr>
                <w:rFonts w:ascii="Times New Roman" w:hAnsi="Times New Roman"/>
                <w:color w:val="000000"/>
                <w:spacing w:val="6"/>
                <w:sz w:val="20"/>
              </w:rPr>
            </w:pPr>
            <w:r w:rsidRPr="00086565">
              <w:rPr>
                <w:rFonts w:ascii="Times New Roman" w:hAnsi="Times New Roman"/>
                <w:color w:val="000000"/>
                <w:spacing w:val="6"/>
                <w:sz w:val="20"/>
              </w:rPr>
              <w:t>Desil 10</w:t>
            </w:r>
          </w:p>
        </w:tc>
        <w:tc>
          <w:tcPr>
            <w:tcW w:w="624" w:type="pct"/>
            <w:tcBorders>
              <w:bottom w:val="single" w:sz="4" w:space="0" w:color="auto"/>
            </w:tcBorders>
            <w:vAlign w:val="bottom"/>
            <w:hideMark/>
          </w:tcPr>
          <w:p w14:paraId="44AFD633"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610 800 </w:t>
            </w:r>
          </w:p>
        </w:tc>
        <w:tc>
          <w:tcPr>
            <w:tcW w:w="433" w:type="pct"/>
            <w:tcBorders>
              <w:bottom w:val="single" w:sz="4" w:space="0" w:color="auto"/>
            </w:tcBorders>
            <w:vAlign w:val="bottom"/>
            <w:hideMark/>
          </w:tcPr>
          <w:p w14:paraId="28B94908"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15,4</w:t>
            </w:r>
          </w:p>
        </w:tc>
        <w:tc>
          <w:tcPr>
            <w:tcW w:w="758" w:type="pct"/>
            <w:tcBorders>
              <w:bottom w:val="single" w:sz="4" w:space="0" w:color="auto"/>
            </w:tcBorders>
            <w:vAlign w:val="bottom"/>
            <w:hideMark/>
          </w:tcPr>
          <w:p w14:paraId="67337DF6"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15,8</w:t>
            </w:r>
          </w:p>
        </w:tc>
        <w:tc>
          <w:tcPr>
            <w:tcW w:w="762" w:type="pct"/>
            <w:tcBorders>
              <w:bottom w:val="single" w:sz="4" w:space="0" w:color="auto"/>
            </w:tcBorders>
            <w:vAlign w:val="bottom"/>
            <w:hideMark/>
          </w:tcPr>
          <w:p w14:paraId="3D744033" w14:textId="77777777" w:rsidR="006B403E" w:rsidRPr="00D565C7" w:rsidRDefault="006B403E" w:rsidP="0049295C">
            <w:pPr>
              <w:spacing w:before="100" w:beforeAutospacing="1" w:after="0"/>
              <w:rPr>
                <w:rFonts w:ascii="Times New Roman" w:hAnsi="Times New Roman"/>
                <w:sz w:val="20"/>
              </w:rPr>
            </w:pPr>
            <w:r w:rsidRPr="00D565C7">
              <w:rPr>
                <w:rFonts w:ascii="Times New Roman" w:hAnsi="Times New Roman"/>
                <w:sz w:val="20"/>
              </w:rPr>
              <w:t xml:space="preserve">           786 000 </w:t>
            </w:r>
          </w:p>
        </w:tc>
        <w:tc>
          <w:tcPr>
            <w:tcW w:w="559" w:type="pct"/>
            <w:tcBorders>
              <w:bottom w:val="single" w:sz="4" w:space="0" w:color="auto"/>
            </w:tcBorders>
            <w:vAlign w:val="bottom"/>
            <w:hideMark/>
          </w:tcPr>
          <w:p w14:paraId="2FCFCBB4" w14:textId="77777777" w:rsidR="006B403E" w:rsidRPr="00D565C7" w:rsidRDefault="006B403E" w:rsidP="0049295C">
            <w:pPr>
              <w:spacing w:before="100" w:beforeAutospacing="1" w:after="0"/>
              <w:jc w:val="right"/>
              <w:rPr>
                <w:rFonts w:ascii="Times New Roman" w:hAnsi="Times New Roman"/>
                <w:sz w:val="20"/>
              </w:rPr>
            </w:pPr>
            <w:r w:rsidRPr="00D565C7">
              <w:rPr>
                <w:rFonts w:ascii="Times New Roman" w:hAnsi="Times New Roman"/>
                <w:sz w:val="20"/>
              </w:rPr>
              <w:t>15,8</w:t>
            </w:r>
          </w:p>
        </w:tc>
        <w:tc>
          <w:tcPr>
            <w:tcW w:w="1007" w:type="pct"/>
            <w:tcBorders>
              <w:bottom w:val="single" w:sz="4" w:space="0" w:color="auto"/>
            </w:tcBorders>
            <w:vAlign w:val="bottom"/>
            <w:hideMark/>
          </w:tcPr>
          <w:p w14:paraId="51C696CD" w14:textId="77777777" w:rsidR="006B403E" w:rsidRPr="00FF363C" w:rsidRDefault="006B403E" w:rsidP="0049295C">
            <w:pPr>
              <w:spacing w:after="0"/>
              <w:rPr>
                <w:rFonts w:ascii="Times New Roman" w:hAnsi="Times New Roman"/>
                <w:sz w:val="20"/>
              </w:rPr>
            </w:pPr>
            <w:r w:rsidRPr="00FF363C">
              <w:rPr>
                <w:rFonts w:ascii="Times New Roman" w:hAnsi="Times New Roman"/>
                <w:sz w:val="20"/>
              </w:rPr>
              <w:t xml:space="preserve">          28,7 </w:t>
            </w:r>
          </w:p>
        </w:tc>
      </w:tr>
      <w:tr w:rsidR="006B403E" w:rsidRPr="00086565" w14:paraId="4996958E" w14:textId="77777777" w:rsidTr="00322A62">
        <w:trPr>
          <w:trHeight w:val="145"/>
        </w:trPr>
        <w:tc>
          <w:tcPr>
            <w:tcW w:w="856" w:type="pct"/>
            <w:tcBorders>
              <w:bottom w:val="nil"/>
            </w:tcBorders>
            <w:vAlign w:val="center"/>
            <w:hideMark/>
          </w:tcPr>
          <w:p w14:paraId="2C7F2788" w14:textId="77777777" w:rsidR="006B403E" w:rsidRPr="00086565" w:rsidRDefault="006B403E" w:rsidP="006B403E">
            <w:pPr>
              <w:spacing w:before="100" w:beforeAutospacing="1" w:after="0" w:line="276" w:lineRule="auto"/>
              <w:rPr>
                <w:rFonts w:ascii="Times New Roman" w:hAnsi="Times New Roman"/>
                <w:color w:val="000000"/>
                <w:spacing w:val="6"/>
                <w:sz w:val="20"/>
              </w:rPr>
            </w:pPr>
            <w:r w:rsidRPr="00FF363C">
              <w:rPr>
                <w:rFonts w:ascii="Times New Roman" w:hAnsi="Times New Roman"/>
                <w:b/>
                <w:bCs/>
                <w:color w:val="000000"/>
                <w:spacing w:val="6"/>
                <w:sz w:val="20"/>
              </w:rPr>
              <w:t>Privat sektor</w:t>
            </w:r>
          </w:p>
        </w:tc>
        <w:tc>
          <w:tcPr>
            <w:tcW w:w="1057" w:type="pct"/>
            <w:gridSpan w:val="2"/>
            <w:tcBorders>
              <w:bottom w:val="nil"/>
            </w:tcBorders>
            <w:vAlign w:val="center"/>
            <w:hideMark/>
          </w:tcPr>
          <w:p w14:paraId="251C4B20" w14:textId="77777777" w:rsidR="006B403E" w:rsidRPr="00086565" w:rsidRDefault="006B403E" w:rsidP="0049295C">
            <w:pPr>
              <w:spacing w:before="100" w:beforeAutospacing="1" w:after="100" w:afterAutospacing="1" w:line="276" w:lineRule="auto"/>
              <w:jc w:val="center"/>
              <w:rPr>
                <w:rFonts w:ascii="Times New Roman" w:hAnsi="Times New Roman"/>
                <w:color w:val="000000"/>
                <w:spacing w:val="6"/>
                <w:sz w:val="20"/>
              </w:rPr>
            </w:pPr>
          </w:p>
        </w:tc>
        <w:tc>
          <w:tcPr>
            <w:tcW w:w="758" w:type="pct"/>
            <w:tcBorders>
              <w:bottom w:val="nil"/>
            </w:tcBorders>
            <w:vAlign w:val="center"/>
            <w:hideMark/>
          </w:tcPr>
          <w:p w14:paraId="497ABF60" w14:textId="77777777" w:rsidR="006B403E" w:rsidRPr="00086565" w:rsidRDefault="006B403E" w:rsidP="0049295C">
            <w:pPr>
              <w:spacing w:before="100" w:beforeAutospacing="1" w:after="100" w:afterAutospacing="1" w:line="276" w:lineRule="auto"/>
              <w:ind w:right="172"/>
              <w:jc w:val="right"/>
              <w:rPr>
                <w:rFonts w:ascii="Times New Roman" w:hAnsi="Times New Roman"/>
                <w:color w:val="000000"/>
                <w:spacing w:val="6"/>
                <w:sz w:val="20"/>
              </w:rPr>
            </w:pPr>
          </w:p>
        </w:tc>
        <w:tc>
          <w:tcPr>
            <w:tcW w:w="1321" w:type="pct"/>
            <w:gridSpan w:val="2"/>
            <w:tcBorders>
              <w:bottom w:val="nil"/>
            </w:tcBorders>
            <w:vAlign w:val="center"/>
            <w:hideMark/>
          </w:tcPr>
          <w:p w14:paraId="050C9AEC" w14:textId="77777777" w:rsidR="006B403E" w:rsidRPr="00086565" w:rsidRDefault="006B403E" w:rsidP="0049295C">
            <w:pPr>
              <w:tabs>
                <w:tab w:val="left" w:pos="2163"/>
              </w:tabs>
              <w:spacing w:before="100" w:beforeAutospacing="1" w:after="100" w:afterAutospacing="1" w:line="276" w:lineRule="auto"/>
              <w:ind w:right="459"/>
              <w:jc w:val="center"/>
              <w:rPr>
                <w:rFonts w:ascii="Times New Roman" w:hAnsi="Times New Roman"/>
                <w:color w:val="000000"/>
                <w:spacing w:val="6"/>
                <w:sz w:val="20"/>
              </w:rPr>
            </w:pPr>
          </w:p>
        </w:tc>
        <w:tc>
          <w:tcPr>
            <w:tcW w:w="1007" w:type="pct"/>
            <w:tcBorders>
              <w:bottom w:val="nil"/>
            </w:tcBorders>
            <w:vAlign w:val="center"/>
            <w:hideMark/>
          </w:tcPr>
          <w:p w14:paraId="4FA0096E" w14:textId="77777777" w:rsidR="006B403E" w:rsidRPr="00086565" w:rsidRDefault="006B403E" w:rsidP="0049295C">
            <w:pPr>
              <w:tabs>
                <w:tab w:val="left" w:pos="674"/>
              </w:tabs>
              <w:spacing w:before="100" w:beforeAutospacing="1" w:after="100" w:afterAutospacing="1" w:line="276" w:lineRule="auto"/>
              <w:ind w:left="176" w:right="-60"/>
              <w:jc w:val="right"/>
              <w:rPr>
                <w:rFonts w:ascii="Times New Roman" w:hAnsi="Times New Roman"/>
                <w:color w:val="000000"/>
                <w:spacing w:val="6"/>
                <w:sz w:val="20"/>
              </w:rPr>
            </w:pPr>
          </w:p>
        </w:tc>
      </w:tr>
      <w:tr w:rsidR="006B403E" w:rsidRPr="00FF363C" w14:paraId="433D4181" w14:textId="77777777" w:rsidTr="00322A62">
        <w:trPr>
          <w:trHeight w:val="112"/>
        </w:trPr>
        <w:tc>
          <w:tcPr>
            <w:tcW w:w="856" w:type="pct"/>
            <w:tcBorders>
              <w:top w:val="single" w:sz="4" w:space="0" w:color="auto"/>
            </w:tcBorders>
            <w:vAlign w:val="center"/>
            <w:hideMark/>
          </w:tcPr>
          <w:p w14:paraId="30F44533" w14:textId="77777777" w:rsidR="006B403E" w:rsidRPr="00FF363C" w:rsidRDefault="004F6B8F" w:rsidP="0049295C">
            <w:pPr>
              <w:spacing w:before="100" w:beforeAutospacing="1" w:after="100" w:afterAutospacing="1" w:line="276" w:lineRule="auto"/>
              <w:rPr>
                <w:rFonts w:ascii="Times New Roman" w:hAnsi="Times New Roman"/>
                <w:b/>
                <w:bCs/>
                <w:color w:val="000000"/>
                <w:spacing w:val="6"/>
                <w:sz w:val="20"/>
              </w:rPr>
            </w:pPr>
            <w:r>
              <w:rPr>
                <w:rFonts w:ascii="Times New Roman" w:hAnsi="Times New Roman"/>
                <w:b/>
                <w:bCs/>
                <w:color w:val="000000"/>
                <w:spacing w:val="6"/>
                <w:sz w:val="20"/>
              </w:rPr>
              <w:t>Alle</w:t>
            </w:r>
          </w:p>
        </w:tc>
        <w:tc>
          <w:tcPr>
            <w:tcW w:w="624" w:type="pct"/>
            <w:tcBorders>
              <w:top w:val="single" w:sz="4" w:space="0" w:color="auto"/>
            </w:tcBorders>
            <w:vAlign w:val="bottom"/>
            <w:hideMark/>
          </w:tcPr>
          <w:p w14:paraId="260F7C7D" w14:textId="77777777" w:rsidR="006B403E" w:rsidRPr="00FF363C" w:rsidRDefault="006B403E" w:rsidP="0049295C">
            <w:pPr>
              <w:spacing w:before="100" w:beforeAutospacing="1" w:after="100" w:afterAutospacing="1"/>
              <w:rPr>
                <w:rFonts w:ascii="Times New Roman" w:hAnsi="Times New Roman"/>
                <w:b/>
                <w:sz w:val="20"/>
              </w:rPr>
            </w:pPr>
            <w:r w:rsidRPr="00FF363C">
              <w:rPr>
                <w:rFonts w:ascii="Times New Roman" w:hAnsi="Times New Roman"/>
                <w:b/>
                <w:sz w:val="20"/>
              </w:rPr>
              <w:t xml:space="preserve">   415 200 </w:t>
            </w:r>
          </w:p>
        </w:tc>
        <w:tc>
          <w:tcPr>
            <w:tcW w:w="433" w:type="pct"/>
            <w:tcBorders>
              <w:top w:val="single" w:sz="4" w:space="0" w:color="auto"/>
            </w:tcBorders>
            <w:vAlign w:val="bottom"/>
            <w:hideMark/>
          </w:tcPr>
          <w:p w14:paraId="3B277B69" w14:textId="77777777" w:rsidR="006B403E" w:rsidRPr="00FF363C" w:rsidRDefault="006B403E" w:rsidP="0049295C">
            <w:pPr>
              <w:spacing w:before="100" w:beforeAutospacing="1" w:after="100" w:afterAutospacing="1"/>
              <w:jc w:val="right"/>
              <w:rPr>
                <w:rFonts w:ascii="Times New Roman" w:hAnsi="Times New Roman"/>
                <w:b/>
                <w:sz w:val="20"/>
              </w:rPr>
            </w:pPr>
            <w:r w:rsidRPr="00FF363C">
              <w:rPr>
                <w:rFonts w:ascii="Times New Roman" w:hAnsi="Times New Roman"/>
                <w:b/>
                <w:sz w:val="20"/>
              </w:rPr>
              <w:t>100</w:t>
            </w:r>
          </w:p>
        </w:tc>
        <w:tc>
          <w:tcPr>
            <w:tcW w:w="758" w:type="pct"/>
            <w:tcBorders>
              <w:top w:val="single" w:sz="4" w:space="0" w:color="auto"/>
            </w:tcBorders>
            <w:vAlign w:val="bottom"/>
            <w:hideMark/>
          </w:tcPr>
          <w:p w14:paraId="74B6473A" w14:textId="77777777" w:rsidR="006B403E" w:rsidRPr="00FF363C" w:rsidRDefault="006B403E" w:rsidP="0049295C">
            <w:pPr>
              <w:spacing w:before="100" w:beforeAutospacing="1" w:after="100" w:afterAutospacing="1"/>
              <w:jc w:val="right"/>
              <w:rPr>
                <w:rFonts w:ascii="Times New Roman" w:hAnsi="Times New Roman"/>
                <w:b/>
                <w:sz w:val="20"/>
              </w:rPr>
            </w:pPr>
            <w:r w:rsidRPr="00FF363C">
              <w:rPr>
                <w:rFonts w:ascii="Times New Roman" w:hAnsi="Times New Roman"/>
                <w:b/>
                <w:sz w:val="20"/>
              </w:rPr>
              <w:t>100</w:t>
            </w:r>
          </w:p>
        </w:tc>
        <w:tc>
          <w:tcPr>
            <w:tcW w:w="762" w:type="pct"/>
            <w:tcBorders>
              <w:top w:val="single" w:sz="4" w:space="0" w:color="auto"/>
            </w:tcBorders>
            <w:vAlign w:val="bottom"/>
            <w:hideMark/>
          </w:tcPr>
          <w:p w14:paraId="0FD78558" w14:textId="77777777" w:rsidR="006B403E" w:rsidRPr="00FF363C" w:rsidRDefault="006B403E" w:rsidP="0049295C">
            <w:pPr>
              <w:spacing w:before="100" w:beforeAutospacing="1" w:after="100" w:afterAutospacing="1"/>
              <w:rPr>
                <w:rFonts w:ascii="Times New Roman" w:hAnsi="Times New Roman"/>
                <w:b/>
                <w:sz w:val="20"/>
              </w:rPr>
            </w:pPr>
            <w:r w:rsidRPr="00FF363C">
              <w:rPr>
                <w:rFonts w:ascii="Times New Roman" w:hAnsi="Times New Roman"/>
                <w:b/>
                <w:sz w:val="20"/>
              </w:rPr>
              <w:t xml:space="preserve">           511 200 </w:t>
            </w:r>
          </w:p>
        </w:tc>
        <w:tc>
          <w:tcPr>
            <w:tcW w:w="559" w:type="pct"/>
            <w:tcBorders>
              <w:top w:val="single" w:sz="4" w:space="0" w:color="auto"/>
            </w:tcBorders>
            <w:vAlign w:val="bottom"/>
            <w:hideMark/>
          </w:tcPr>
          <w:p w14:paraId="5A232B74" w14:textId="77777777" w:rsidR="006B403E" w:rsidRPr="00FF363C" w:rsidRDefault="006B403E" w:rsidP="0049295C">
            <w:pPr>
              <w:spacing w:before="100" w:beforeAutospacing="1" w:after="100" w:afterAutospacing="1"/>
              <w:jc w:val="right"/>
              <w:rPr>
                <w:rFonts w:ascii="Times New Roman" w:hAnsi="Times New Roman"/>
                <w:b/>
                <w:sz w:val="20"/>
              </w:rPr>
            </w:pPr>
            <w:r w:rsidRPr="00FF363C">
              <w:rPr>
                <w:rFonts w:ascii="Times New Roman" w:hAnsi="Times New Roman"/>
                <w:b/>
                <w:sz w:val="20"/>
              </w:rPr>
              <w:t>100</w:t>
            </w:r>
          </w:p>
        </w:tc>
        <w:tc>
          <w:tcPr>
            <w:tcW w:w="1007" w:type="pct"/>
            <w:tcBorders>
              <w:top w:val="single" w:sz="4" w:space="0" w:color="auto"/>
            </w:tcBorders>
            <w:vAlign w:val="bottom"/>
            <w:hideMark/>
          </w:tcPr>
          <w:p w14:paraId="1246DA9C" w14:textId="77777777" w:rsidR="006B403E" w:rsidRPr="00FF363C" w:rsidRDefault="006B403E" w:rsidP="0049295C">
            <w:pPr>
              <w:spacing w:before="100" w:beforeAutospacing="1" w:after="100" w:afterAutospacing="1"/>
              <w:rPr>
                <w:rFonts w:ascii="Times New Roman" w:hAnsi="Times New Roman"/>
                <w:b/>
                <w:sz w:val="20"/>
              </w:rPr>
            </w:pPr>
            <w:r w:rsidRPr="00FF363C">
              <w:rPr>
                <w:rFonts w:ascii="Times New Roman" w:hAnsi="Times New Roman"/>
                <w:b/>
                <w:sz w:val="20"/>
              </w:rPr>
              <w:t xml:space="preserve">          23,1 </w:t>
            </w:r>
          </w:p>
        </w:tc>
      </w:tr>
      <w:tr w:rsidR="006B403E" w:rsidRPr="00086565" w14:paraId="017A4B03" w14:textId="77777777" w:rsidTr="00322A62">
        <w:trPr>
          <w:trHeight w:val="119"/>
        </w:trPr>
        <w:tc>
          <w:tcPr>
            <w:tcW w:w="856" w:type="pct"/>
            <w:vAlign w:val="center"/>
            <w:hideMark/>
          </w:tcPr>
          <w:p w14:paraId="2006B97F" w14:textId="77777777" w:rsidR="006B403E" w:rsidRPr="00086565" w:rsidRDefault="006B403E" w:rsidP="0049295C">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1</w:t>
            </w:r>
          </w:p>
        </w:tc>
        <w:tc>
          <w:tcPr>
            <w:tcW w:w="624" w:type="pct"/>
            <w:vAlign w:val="bottom"/>
            <w:hideMark/>
          </w:tcPr>
          <w:p w14:paraId="3D07097D"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220 800 </w:t>
            </w:r>
          </w:p>
        </w:tc>
        <w:tc>
          <w:tcPr>
            <w:tcW w:w="433" w:type="pct"/>
            <w:vAlign w:val="bottom"/>
            <w:hideMark/>
          </w:tcPr>
          <w:p w14:paraId="5203DDC5"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5,3</w:t>
            </w:r>
          </w:p>
        </w:tc>
        <w:tc>
          <w:tcPr>
            <w:tcW w:w="758" w:type="pct"/>
            <w:vAlign w:val="bottom"/>
            <w:hideMark/>
          </w:tcPr>
          <w:p w14:paraId="795FB4D7"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5,1</w:t>
            </w:r>
          </w:p>
        </w:tc>
        <w:tc>
          <w:tcPr>
            <w:tcW w:w="762" w:type="pct"/>
            <w:vAlign w:val="bottom"/>
            <w:hideMark/>
          </w:tcPr>
          <w:p w14:paraId="67A999FC"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260 400 </w:t>
            </w:r>
          </w:p>
        </w:tc>
        <w:tc>
          <w:tcPr>
            <w:tcW w:w="559" w:type="pct"/>
            <w:vAlign w:val="bottom"/>
            <w:hideMark/>
          </w:tcPr>
          <w:p w14:paraId="70853861"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5,1</w:t>
            </w:r>
          </w:p>
        </w:tc>
        <w:tc>
          <w:tcPr>
            <w:tcW w:w="1007" w:type="pct"/>
            <w:vAlign w:val="bottom"/>
            <w:hideMark/>
          </w:tcPr>
          <w:p w14:paraId="41D0C74A"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17,9 </w:t>
            </w:r>
          </w:p>
        </w:tc>
      </w:tr>
      <w:tr w:rsidR="006B403E" w:rsidRPr="00086565" w14:paraId="460AF11B" w14:textId="77777777" w:rsidTr="00322A62">
        <w:trPr>
          <w:trHeight w:val="119"/>
        </w:trPr>
        <w:tc>
          <w:tcPr>
            <w:tcW w:w="856" w:type="pct"/>
            <w:vAlign w:val="center"/>
            <w:hideMark/>
          </w:tcPr>
          <w:p w14:paraId="4B9C5F7F" w14:textId="77777777" w:rsidR="006B403E" w:rsidRPr="00086565" w:rsidRDefault="006B403E" w:rsidP="0049295C">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2</w:t>
            </w:r>
          </w:p>
        </w:tc>
        <w:tc>
          <w:tcPr>
            <w:tcW w:w="624" w:type="pct"/>
            <w:vAlign w:val="bottom"/>
            <w:hideMark/>
          </w:tcPr>
          <w:p w14:paraId="490867D3"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276 000 </w:t>
            </w:r>
          </w:p>
        </w:tc>
        <w:tc>
          <w:tcPr>
            <w:tcW w:w="433" w:type="pct"/>
            <w:vAlign w:val="bottom"/>
            <w:hideMark/>
          </w:tcPr>
          <w:p w14:paraId="6283E30A"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6,6</w:t>
            </w:r>
          </w:p>
        </w:tc>
        <w:tc>
          <w:tcPr>
            <w:tcW w:w="758" w:type="pct"/>
            <w:vAlign w:val="bottom"/>
            <w:hideMark/>
          </w:tcPr>
          <w:p w14:paraId="78A9EB38"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6,5</w:t>
            </w:r>
          </w:p>
        </w:tc>
        <w:tc>
          <w:tcPr>
            <w:tcW w:w="762" w:type="pct"/>
            <w:vAlign w:val="bottom"/>
            <w:hideMark/>
          </w:tcPr>
          <w:p w14:paraId="29B1B576"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331 200 </w:t>
            </w:r>
          </w:p>
        </w:tc>
        <w:tc>
          <w:tcPr>
            <w:tcW w:w="559" w:type="pct"/>
            <w:vAlign w:val="bottom"/>
            <w:hideMark/>
          </w:tcPr>
          <w:p w14:paraId="218B3BEC"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6,5</w:t>
            </w:r>
          </w:p>
        </w:tc>
        <w:tc>
          <w:tcPr>
            <w:tcW w:w="1007" w:type="pct"/>
            <w:vAlign w:val="bottom"/>
            <w:hideMark/>
          </w:tcPr>
          <w:p w14:paraId="75868E38"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20,0 </w:t>
            </w:r>
          </w:p>
        </w:tc>
      </w:tr>
      <w:tr w:rsidR="006B403E" w:rsidRPr="00086565" w14:paraId="1A5B1456" w14:textId="77777777" w:rsidTr="00322A62">
        <w:trPr>
          <w:trHeight w:val="119"/>
        </w:trPr>
        <w:tc>
          <w:tcPr>
            <w:tcW w:w="856" w:type="pct"/>
            <w:vAlign w:val="center"/>
            <w:hideMark/>
          </w:tcPr>
          <w:p w14:paraId="2CD06EE7" w14:textId="77777777" w:rsidR="006B403E" w:rsidRPr="00086565" w:rsidRDefault="006B403E" w:rsidP="0049295C">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3</w:t>
            </w:r>
          </w:p>
        </w:tc>
        <w:tc>
          <w:tcPr>
            <w:tcW w:w="624" w:type="pct"/>
            <w:vAlign w:val="bottom"/>
            <w:hideMark/>
          </w:tcPr>
          <w:p w14:paraId="533B6271"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302 400 </w:t>
            </w:r>
          </w:p>
        </w:tc>
        <w:tc>
          <w:tcPr>
            <w:tcW w:w="433" w:type="pct"/>
            <w:vAlign w:val="bottom"/>
            <w:hideMark/>
          </w:tcPr>
          <w:p w14:paraId="283C70AE"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7,3</w:t>
            </w:r>
          </w:p>
        </w:tc>
        <w:tc>
          <w:tcPr>
            <w:tcW w:w="758" w:type="pct"/>
            <w:vAlign w:val="bottom"/>
            <w:hideMark/>
          </w:tcPr>
          <w:p w14:paraId="31BB7EB5"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7,2</w:t>
            </w:r>
          </w:p>
        </w:tc>
        <w:tc>
          <w:tcPr>
            <w:tcW w:w="762" w:type="pct"/>
            <w:vAlign w:val="bottom"/>
            <w:hideMark/>
          </w:tcPr>
          <w:p w14:paraId="00F8A1C7"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364 800 </w:t>
            </w:r>
          </w:p>
        </w:tc>
        <w:tc>
          <w:tcPr>
            <w:tcW w:w="559" w:type="pct"/>
            <w:vAlign w:val="bottom"/>
            <w:hideMark/>
          </w:tcPr>
          <w:p w14:paraId="5D62EF5C"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7,2</w:t>
            </w:r>
          </w:p>
        </w:tc>
        <w:tc>
          <w:tcPr>
            <w:tcW w:w="1007" w:type="pct"/>
            <w:vAlign w:val="bottom"/>
            <w:hideMark/>
          </w:tcPr>
          <w:p w14:paraId="378592BC"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20,6 </w:t>
            </w:r>
          </w:p>
        </w:tc>
      </w:tr>
      <w:tr w:rsidR="006B403E" w:rsidRPr="00086565" w14:paraId="046AB71E" w14:textId="77777777" w:rsidTr="00322A62">
        <w:trPr>
          <w:trHeight w:val="119"/>
        </w:trPr>
        <w:tc>
          <w:tcPr>
            <w:tcW w:w="856" w:type="pct"/>
            <w:vAlign w:val="center"/>
            <w:hideMark/>
          </w:tcPr>
          <w:p w14:paraId="3327D925" w14:textId="77777777" w:rsidR="006B403E" w:rsidRPr="00086565" w:rsidRDefault="006B403E" w:rsidP="0049295C">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4</w:t>
            </w:r>
          </w:p>
        </w:tc>
        <w:tc>
          <w:tcPr>
            <w:tcW w:w="624" w:type="pct"/>
            <w:vAlign w:val="bottom"/>
            <w:hideMark/>
          </w:tcPr>
          <w:p w14:paraId="1AC2393C"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327 600 </w:t>
            </w:r>
          </w:p>
        </w:tc>
        <w:tc>
          <w:tcPr>
            <w:tcW w:w="433" w:type="pct"/>
            <w:vAlign w:val="bottom"/>
            <w:hideMark/>
          </w:tcPr>
          <w:p w14:paraId="281A6FA4"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7,9</w:t>
            </w:r>
          </w:p>
        </w:tc>
        <w:tc>
          <w:tcPr>
            <w:tcW w:w="758" w:type="pct"/>
            <w:vAlign w:val="bottom"/>
            <w:hideMark/>
          </w:tcPr>
          <w:p w14:paraId="1939ACF0"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7,8</w:t>
            </w:r>
          </w:p>
        </w:tc>
        <w:tc>
          <w:tcPr>
            <w:tcW w:w="762" w:type="pct"/>
            <w:vAlign w:val="bottom"/>
            <w:hideMark/>
          </w:tcPr>
          <w:p w14:paraId="54AC3C2B"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396 000 </w:t>
            </w:r>
          </w:p>
        </w:tc>
        <w:tc>
          <w:tcPr>
            <w:tcW w:w="559" w:type="pct"/>
            <w:vAlign w:val="bottom"/>
            <w:hideMark/>
          </w:tcPr>
          <w:p w14:paraId="6E8D1450"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7,8</w:t>
            </w:r>
          </w:p>
        </w:tc>
        <w:tc>
          <w:tcPr>
            <w:tcW w:w="1007" w:type="pct"/>
            <w:vAlign w:val="bottom"/>
            <w:hideMark/>
          </w:tcPr>
          <w:p w14:paraId="355120F9"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20,9 </w:t>
            </w:r>
          </w:p>
        </w:tc>
      </w:tr>
      <w:tr w:rsidR="006B403E" w:rsidRPr="00086565" w14:paraId="7B6A51F9" w14:textId="77777777" w:rsidTr="00322A62">
        <w:trPr>
          <w:trHeight w:val="119"/>
        </w:trPr>
        <w:tc>
          <w:tcPr>
            <w:tcW w:w="856" w:type="pct"/>
            <w:vAlign w:val="center"/>
            <w:hideMark/>
          </w:tcPr>
          <w:p w14:paraId="0CFFB864" w14:textId="77777777" w:rsidR="006B403E" w:rsidRPr="00086565" w:rsidRDefault="006B403E" w:rsidP="0049295C">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5</w:t>
            </w:r>
          </w:p>
        </w:tc>
        <w:tc>
          <w:tcPr>
            <w:tcW w:w="624" w:type="pct"/>
            <w:vAlign w:val="bottom"/>
            <w:hideMark/>
          </w:tcPr>
          <w:p w14:paraId="49519A89"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352 800 </w:t>
            </w:r>
          </w:p>
        </w:tc>
        <w:tc>
          <w:tcPr>
            <w:tcW w:w="433" w:type="pct"/>
            <w:vAlign w:val="bottom"/>
            <w:hideMark/>
          </w:tcPr>
          <w:p w14:paraId="5AA25B2D"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8,5</w:t>
            </w:r>
          </w:p>
        </w:tc>
        <w:tc>
          <w:tcPr>
            <w:tcW w:w="758" w:type="pct"/>
            <w:vAlign w:val="bottom"/>
            <w:hideMark/>
          </w:tcPr>
          <w:p w14:paraId="2190AC49"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8,4</w:t>
            </w:r>
          </w:p>
        </w:tc>
        <w:tc>
          <w:tcPr>
            <w:tcW w:w="762" w:type="pct"/>
            <w:vAlign w:val="bottom"/>
            <w:hideMark/>
          </w:tcPr>
          <w:p w14:paraId="462E2551"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429 600 </w:t>
            </w:r>
          </w:p>
        </w:tc>
        <w:tc>
          <w:tcPr>
            <w:tcW w:w="559" w:type="pct"/>
            <w:vAlign w:val="bottom"/>
            <w:hideMark/>
          </w:tcPr>
          <w:p w14:paraId="735A6220"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8,4</w:t>
            </w:r>
          </w:p>
        </w:tc>
        <w:tc>
          <w:tcPr>
            <w:tcW w:w="1007" w:type="pct"/>
            <w:vAlign w:val="bottom"/>
            <w:hideMark/>
          </w:tcPr>
          <w:p w14:paraId="6D734D53"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21,8 </w:t>
            </w:r>
          </w:p>
        </w:tc>
      </w:tr>
      <w:tr w:rsidR="006B403E" w:rsidRPr="00086565" w14:paraId="0F6B2AD0" w14:textId="77777777" w:rsidTr="00322A62">
        <w:trPr>
          <w:trHeight w:val="119"/>
        </w:trPr>
        <w:tc>
          <w:tcPr>
            <w:tcW w:w="856" w:type="pct"/>
            <w:vAlign w:val="center"/>
            <w:hideMark/>
          </w:tcPr>
          <w:p w14:paraId="38D7C228" w14:textId="77777777" w:rsidR="006B403E" w:rsidRPr="00086565" w:rsidRDefault="006B403E" w:rsidP="0049295C">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6</w:t>
            </w:r>
          </w:p>
        </w:tc>
        <w:tc>
          <w:tcPr>
            <w:tcW w:w="624" w:type="pct"/>
            <w:vAlign w:val="bottom"/>
            <w:hideMark/>
          </w:tcPr>
          <w:p w14:paraId="48404662"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380 400 </w:t>
            </w:r>
          </w:p>
        </w:tc>
        <w:tc>
          <w:tcPr>
            <w:tcW w:w="433" w:type="pct"/>
            <w:vAlign w:val="bottom"/>
            <w:hideMark/>
          </w:tcPr>
          <w:p w14:paraId="64D8ECE0"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9,2</w:t>
            </w:r>
          </w:p>
        </w:tc>
        <w:tc>
          <w:tcPr>
            <w:tcW w:w="758" w:type="pct"/>
            <w:vAlign w:val="bottom"/>
            <w:hideMark/>
          </w:tcPr>
          <w:p w14:paraId="71042DF4"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9,1</w:t>
            </w:r>
          </w:p>
        </w:tc>
        <w:tc>
          <w:tcPr>
            <w:tcW w:w="762" w:type="pct"/>
            <w:vAlign w:val="bottom"/>
            <w:hideMark/>
          </w:tcPr>
          <w:p w14:paraId="4863EF03"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466 800 </w:t>
            </w:r>
          </w:p>
        </w:tc>
        <w:tc>
          <w:tcPr>
            <w:tcW w:w="559" w:type="pct"/>
            <w:vAlign w:val="bottom"/>
            <w:hideMark/>
          </w:tcPr>
          <w:p w14:paraId="3CD52C38"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9,1</w:t>
            </w:r>
          </w:p>
        </w:tc>
        <w:tc>
          <w:tcPr>
            <w:tcW w:w="1007" w:type="pct"/>
            <w:vAlign w:val="bottom"/>
            <w:hideMark/>
          </w:tcPr>
          <w:p w14:paraId="590E29EC"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22,7 </w:t>
            </w:r>
          </w:p>
        </w:tc>
      </w:tr>
      <w:tr w:rsidR="006B403E" w:rsidRPr="00086565" w14:paraId="51915276" w14:textId="77777777" w:rsidTr="00322A62">
        <w:trPr>
          <w:trHeight w:val="119"/>
        </w:trPr>
        <w:tc>
          <w:tcPr>
            <w:tcW w:w="856" w:type="pct"/>
            <w:vAlign w:val="center"/>
            <w:hideMark/>
          </w:tcPr>
          <w:p w14:paraId="1D562C81" w14:textId="77777777" w:rsidR="006B403E" w:rsidRPr="00086565" w:rsidRDefault="006B403E" w:rsidP="0049295C">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7</w:t>
            </w:r>
          </w:p>
        </w:tc>
        <w:tc>
          <w:tcPr>
            <w:tcW w:w="624" w:type="pct"/>
            <w:vAlign w:val="bottom"/>
            <w:hideMark/>
          </w:tcPr>
          <w:p w14:paraId="0DF61A85"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415 200 </w:t>
            </w:r>
          </w:p>
        </w:tc>
        <w:tc>
          <w:tcPr>
            <w:tcW w:w="433" w:type="pct"/>
            <w:vAlign w:val="bottom"/>
            <w:hideMark/>
          </w:tcPr>
          <w:p w14:paraId="356428FF"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10</w:t>
            </w:r>
            <w:r w:rsidR="008C24E1">
              <w:rPr>
                <w:rFonts w:ascii="Times New Roman" w:hAnsi="Times New Roman"/>
                <w:sz w:val="20"/>
              </w:rPr>
              <w:t>,0</w:t>
            </w:r>
          </w:p>
        </w:tc>
        <w:tc>
          <w:tcPr>
            <w:tcW w:w="758" w:type="pct"/>
            <w:vAlign w:val="bottom"/>
            <w:hideMark/>
          </w:tcPr>
          <w:p w14:paraId="5E859FD1"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10,1</w:t>
            </w:r>
          </w:p>
        </w:tc>
        <w:tc>
          <w:tcPr>
            <w:tcW w:w="762" w:type="pct"/>
            <w:vAlign w:val="bottom"/>
            <w:hideMark/>
          </w:tcPr>
          <w:p w14:paraId="47510551"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514 800 </w:t>
            </w:r>
          </w:p>
        </w:tc>
        <w:tc>
          <w:tcPr>
            <w:tcW w:w="559" w:type="pct"/>
            <w:vAlign w:val="bottom"/>
            <w:hideMark/>
          </w:tcPr>
          <w:p w14:paraId="0A45DFF4"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10,1</w:t>
            </w:r>
          </w:p>
        </w:tc>
        <w:tc>
          <w:tcPr>
            <w:tcW w:w="1007" w:type="pct"/>
            <w:vAlign w:val="bottom"/>
            <w:hideMark/>
          </w:tcPr>
          <w:p w14:paraId="35AD39DB"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24,0 </w:t>
            </w:r>
          </w:p>
        </w:tc>
      </w:tr>
      <w:tr w:rsidR="006B403E" w:rsidRPr="00086565" w14:paraId="660962F3" w14:textId="77777777" w:rsidTr="00322A62">
        <w:trPr>
          <w:trHeight w:val="119"/>
        </w:trPr>
        <w:tc>
          <w:tcPr>
            <w:tcW w:w="856" w:type="pct"/>
            <w:vAlign w:val="center"/>
            <w:hideMark/>
          </w:tcPr>
          <w:p w14:paraId="4F1552C8" w14:textId="77777777" w:rsidR="006B403E" w:rsidRPr="00086565" w:rsidRDefault="006B403E" w:rsidP="0049295C">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8</w:t>
            </w:r>
          </w:p>
        </w:tc>
        <w:tc>
          <w:tcPr>
            <w:tcW w:w="624" w:type="pct"/>
            <w:vAlign w:val="bottom"/>
            <w:hideMark/>
          </w:tcPr>
          <w:p w14:paraId="00159B4D"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466 800 </w:t>
            </w:r>
          </w:p>
        </w:tc>
        <w:tc>
          <w:tcPr>
            <w:tcW w:w="433" w:type="pct"/>
            <w:vAlign w:val="bottom"/>
            <w:hideMark/>
          </w:tcPr>
          <w:p w14:paraId="57F387E0"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11,3</w:t>
            </w:r>
          </w:p>
        </w:tc>
        <w:tc>
          <w:tcPr>
            <w:tcW w:w="758" w:type="pct"/>
            <w:vAlign w:val="bottom"/>
            <w:hideMark/>
          </w:tcPr>
          <w:p w14:paraId="34B09157"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11,4</w:t>
            </w:r>
          </w:p>
        </w:tc>
        <w:tc>
          <w:tcPr>
            <w:tcW w:w="762" w:type="pct"/>
            <w:vAlign w:val="bottom"/>
            <w:hideMark/>
          </w:tcPr>
          <w:p w14:paraId="74C48C78"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585 600 </w:t>
            </w:r>
          </w:p>
        </w:tc>
        <w:tc>
          <w:tcPr>
            <w:tcW w:w="559" w:type="pct"/>
            <w:vAlign w:val="bottom"/>
            <w:hideMark/>
          </w:tcPr>
          <w:p w14:paraId="334DDDF1"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11,5</w:t>
            </w:r>
          </w:p>
        </w:tc>
        <w:tc>
          <w:tcPr>
            <w:tcW w:w="1007" w:type="pct"/>
            <w:vAlign w:val="bottom"/>
            <w:hideMark/>
          </w:tcPr>
          <w:p w14:paraId="4D483440"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25,4 </w:t>
            </w:r>
          </w:p>
        </w:tc>
      </w:tr>
      <w:tr w:rsidR="006B403E" w:rsidRPr="00086565" w14:paraId="797697DA" w14:textId="77777777" w:rsidTr="00322A62">
        <w:trPr>
          <w:trHeight w:val="119"/>
        </w:trPr>
        <w:tc>
          <w:tcPr>
            <w:tcW w:w="856" w:type="pct"/>
            <w:vAlign w:val="center"/>
            <w:hideMark/>
          </w:tcPr>
          <w:p w14:paraId="1125ED1B" w14:textId="77777777" w:rsidR="006B403E" w:rsidRPr="00086565" w:rsidRDefault="006B403E" w:rsidP="0049295C">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9</w:t>
            </w:r>
          </w:p>
        </w:tc>
        <w:tc>
          <w:tcPr>
            <w:tcW w:w="624" w:type="pct"/>
            <w:vAlign w:val="bottom"/>
            <w:hideMark/>
          </w:tcPr>
          <w:p w14:paraId="7705DCB4"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555 600 </w:t>
            </w:r>
          </w:p>
        </w:tc>
        <w:tc>
          <w:tcPr>
            <w:tcW w:w="433" w:type="pct"/>
            <w:vAlign w:val="bottom"/>
            <w:hideMark/>
          </w:tcPr>
          <w:p w14:paraId="36F0D290"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13,4</w:t>
            </w:r>
          </w:p>
        </w:tc>
        <w:tc>
          <w:tcPr>
            <w:tcW w:w="758" w:type="pct"/>
            <w:vAlign w:val="bottom"/>
            <w:hideMark/>
          </w:tcPr>
          <w:p w14:paraId="4FCAAAD0"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13,7</w:t>
            </w:r>
          </w:p>
        </w:tc>
        <w:tc>
          <w:tcPr>
            <w:tcW w:w="762" w:type="pct"/>
            <w:vAlign w:val="bottom"/>
            <w:hideMark/>
          </w:tcPr>
          <w:p w14:paraId="2D07D8DC"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702 000 </w:t>
            </w:r>
          </w:p>
        </w:tc>
        <w:tc>
          <w:tcPr>
            <w:tcW w:w="559" w:type="pct"/>
            <w:vAlign w:val="bottom"/>
            <w:hideMark/>
          </w:tcPr>
          <w:p w14:paraId="21174DF6"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13,7</w:t>
            </w:r>
          </w:p>
        </w:tc>
        <w:tc>
          <w:tcPr>
            <w:tcW w:w="1007" w:type="pct"/>
            <w:vAlign w:val="bottom"/>
            <w:hideMark/>
          </w:tcPr>
          <w:p w14:paraId="16168846"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26,3 </w:t>
            </w:r>
          </w:p>
        </w:tc>
      </w:tr>
      <w:tr w:rsidR="006B403E" w:rsidRPr="00086565" w14:paraId="4E381D4F" w14:textId="77777777" w:rsidTr="00322A62">
        <w:trPr>
          <w:trHeight w:val="119"/>
        </w:trPr>
        <w:tc>
          <w:tcPr>
            <w:tcW w:w="856" w:type="pct"/>
            <w:tcBorders>
              <w:bottom w:val="single" w:sz="4" w:space="0" w:color="auto"/>
            </w:tcBorders>
            <w:vAlign w:val="center"/>
            <w:hideMark/>
          </w:tcPr>
          <w:p w14:paraId="55AC8FC3" w14:textId="77777777" w:rsidR="006B403E" w:rsidRPr="00086565" w:rsidRDefault="006B403E" w:rsidP="0049295C">
            <w:pPr>
              <w:spacing w:before="100" w:beforeAutospacing="1" w:after="100" w:afterAutospacing="1"/>
              <w:rPr>
                <w:rFonts w:ascii="Times New Roman" w:hAnsi="Times New Roman"/>
                <w:color w:val="000000"/>
                <w:spacing w:val="6"/>
                <w:sz w:val="20"/>
              </w:rPr>
            </w:pPr>
            <w:r w:rsidRPr="00086565">
              <w:rPr>
                <w:rFonts w:ascii="Times New Roman" w:hAnsi="Times New Roman"/>
                <w:color w:val="000000"/>
                <w:spacing w:val="6"/>
                <w:sz w:val="20"/>
              </w:rPr>
              <w:t>Desil 10</w:t>
            </w:r>
          </w:p>
        </w:tc>
        <w:tc>
          <w:tcPr>
            <w:tcW w:w="624" w:type="pct"/>
            <w:tcBorders>
              <w:bottom w:val="single" w:sz="4" w:space="0" w:color="auto"/>
            </w:tcBorders>
            <w:vAlign w:val="bottom"/>
            <w:hideMark/>
          </w:tcPr>
          <w:p w14:paraId="5814188F"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849 600 </w:t>
            </w:r>
          </w:p>
        </w:tc>
        <w:tc>
          <w:tcPr>
            <w:tcW w:w="433" w:type="pct"/>
            <w:tcBorders>
              <w:bottom w:val="single" w:sz="4" w:space="0" w:color="auto"/>
            </w:tcBorders>
            <w:vAlign w:val="bottom"/>
            <w:hideMark/>
          </w:tcPr>
          <w:p w14:paraId="15FF154C"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20,5</w:t>
            </w:r>
          </w:p>
        </w:tc>
        <w:tc>
          <w:tcPr>
            <w:tcW w:w="758" w:type="pct"/>
            <w:tcBorders>
              <w:bottom w:val="single" w:sz="4" w:space="0" w:color="auto"/>
            </w:tcBorders>
            <w:vAlign w:val="bottom"/>
            <w:hideMark/>
          </w:tcPr>
          <w:p w14:paraId="75E0B4EF"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20,8</w:t>
            </w:r>
          </w:p>
        </w:tc>
        <w:tc>
          <w:tcPr>
            <w:tcW w:w="762" w:type="pct"/>
            <w:tcBorders>
              <w:bottom w:val="single" w:sz="4" w:space="0" w:color="auto"/>
            </w:tcBorders>
            <w:vAlign w:val="bottom"/>
            <w:hideMark/>
          </w:tcPr>
          <w:p w14:paraId="488A3B18"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1 057 200 </w:t>
            </w:r>
          </w:p>
        </w:tc>
        <w:tc>
          <w:tcPr>
            <w:tcW w:w="559" w:type="pct"/>
            <w:tcBorders>
              <w:bottom w:val="single" w:sz="4" w:space="0" w:color="auto"/>
            </w:tcBorders>
            <w:vAlign w:val="bottom"/>
            <w:hideMark/>
          </w:tcPr>
          <w:p w14:paraId="7A09F4BC" w14:textId="77777777" w:rsidR="006B403E" w:rsidRPr="00D565C7" w:rsidRDefault="006B403E" w:rsidP="0049295C">
            <w:pPr>
              <w:spacing w:before="100" w:beforeAutospacing="1" w:after="100" w:afterAutospacing="1"/>
              <w:jc w:val="right"/>
              <w:rPr>
                <w:rFonts w:ascii="Times New Roman" w:hAnsi="Times New Roman"/>
                <w:sz w:val="20"/>
              </w:rPr>
            </w:pPr>
            <w:r w:rsidRPr="00D565C7">
              <w:rPr>
                <w:rFonts w:ascii="Times New Roman" w:hAnsi="Times New Roman"/>
                <w:sz w:val="20"/>
              </w:rPr>
              <w:t>20,7</w:t>
            </w:r>
          </w:p>
        </w:tc>
        <w:tc>
          <w:tcPr>
            <w:tcW w:w="1007" w:type="pct"/>
            <w:tcBorders>
              <w:bottom w:val="single" w:sz="4" w:space="0" w:color="auto"/>
            </w:tcBorders>
            <w:vAlign w:val="bottom"/>
            <w:hideMark/>
          </w:tcPr>
          <w:p w14:paraId="6AFEDB83" w14:textId="77777777" w:rsidR="006B403E" w:rsidRPr="00D565C7" w:rsidRDefault="006B403E" w:rsidP="0049295C">
            <w:pPr>
              <w:spacing w:before="100" w:beforeAutospacing="1" w:after="100" w:afterAutospacing="1"/>
              <w:rPr>
                <w:rFonts w:ascii="Times New Roman" w:hAnsi="Times New Roman"/>
                <w:sz w:val="20"/>
              </w:rPr>
            </w:pPr>
            <w:r w:rsidRPr="00D565C7">
              <w:rPr>
                <w:rFonts w:ascii="Times New Roman" w:hAnsi="Times New Roman"/>
                <w:sz w:val="20"/>
              </w:rPr>
              <w:t xml:space="preserve">          24,4 </w:t>
            </w:r>
          </w:p>
        </w:tc>
      </w:tr>
    </w:tbl>
    <w:p w14:paraId="59C94F1E" w14:textId="77777777" w:rsidR="008551D4" w:rsidRDefault="008551D4" w:rsidP="006E305B">
      <w:pPr>
        <w:pStyle w:val="tabell-noter"/>
        <w:numPr>
          <w:ilvl w:val="0"/>
          <w:numId w:val="47"/>
        </w:numPr>
        <w:spacing w:before="0" w:after="0"/>
      </w:pPr>
      <w:r w:rsidRPr="00F73919">
        <w:t>Gjennomsnittlig årslønn per september/oktober/desember</w:t>
      </w:r>
      <w:r>
        <w:t>.</w:t>
      </w:r>
      <w:r>
        <w:tab/>
      </w:r>
      <w:r>
        <w:tab/>
      </w:r>
      <w:r>
        <w:tab/>
      </w:r>
      <w:r>
        <w:tab/>
      </w:r>
    </w:p>
    <w:p w14:paraId="1AED0F90" w14:textId="77777777" w:rsidR="008551D4" w:rsidRDefault="008551D4" w:rsidP="006E305B">
      <w:pPr>
        <w:pStyle w:val="tabell-noter"/>
        <w:numPr>
          <w:ilvl w:val="0"/>
          <w:numId w:val="47"/>
        </w:numPr>
        <w:spacing w:after="0"/>
      </w:pPr>
      <w:r w:rsidRPr="00F73919">
        <w:t>Andel av samlet lønnssum i prosen</w:t>
      </w:r>
      <w:r>
        <w:t>t.</w:t>
      </w:r>
    </w:p>
    <w:p w14:paraId="137ABCBD" w14:textId="77777777" w:rsidR="008551D4" w:rsidRDefault="008551D4" w:rsidP="008551D4">
      <w:pPr>
        <w:pStyle w:val="Kilde"/>
      </w:pPr>
      <w:r w:rsidRPr="00F73919">
        <w:t>Kilde: Statistisk sentralbyrå</w:t>
      </w:r>
    </w:p>
    <w:p w14:paraId="66A765B1" w14:textId="77777777" w:rsidR="008551D4" w:rsidRDefault="008551D4" w:rsidP="008551D4">
      <w:pPr>
        <w:pStyle w:val="Kilde"/>
        <w:spacing w:after="0"/>
      </w:pPr>
      <w:r w:rsidRPr="00F73919">
        <w:tab/>
      </w:r>
    </w:p>
    <w:p w14:paraId="3EF518A2" w14:textId="77777777" w:rsidR="008551D4" w:rsidRPr="00965F60" w:rsidRDefault="009B4C44" w:rsidP="008551D4">
      <w:pPr>
        <w:spacing w:after="0"/>
      </w:pPr>
      <w:r>
        <w:rPr>
          <w:noProof/>
        </w:rPr>
        <w:drawing>
          <wp:inline distT="0" distB="0" distL="0" distR="0" wp14:anchorId="7BF8FF04" wp14:editId="1A5C47C0">
            <wp:extent cx="3400011" cy="2170706"/>
            <wp:effectExtent l="19050" t="0" r="0" b="0"/>
            <wp:docPr id="1" name="Bilde 7" descr="C:\Users\asd1311\AppData\Local\Microsoft\Windows\Temporary Internet Files\Content.Wor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d1311\AppData\Local\Microsoft\Windows\Temporary Internet Files\Content.Word\1-3.png"/>
                    <pic:cNvPicPr>
                      <a:picLocks noChangeAspect="1" noChangeArrowheads="1"/>
                    </pic:cNvPicPr>
                  </pic:nvPicPr>
                  <pic:blipFill>
                    <a:blip r:embed="rId16" cstate="print"/>
                    <a:srcRect/>
                    <a:stretch>
                      <a:fillRect/>
                    </a:stretch>
                  </pic:blipFill>
                  <pic:spPr bwMode="auto">
                    <a:xfrm>
                      <a:off x="0" y="0"/>
                      <a:ext cx="3409735" cy="2176914"/>
                    </a:xfrm>
                    <a:prstGeom prst="rect">
                      <a:avLst/>
                    </a:prstGeom>
                    <a:noFill/>
                    <a:ln w="9525">
                      <a:noFill/>
                      <a:miter lim="800000"/>
                      <a:headEnd/>
                      <a:tailEnd/>
                    </a:ln>
                  </pic:spPr>
                </pic:pic>
              </a:graphicData>
            </a:graphic>
          </wp:inline>
        </w:drawing>
      </w:r>
    </w:p>
    <w:p w14:paraId="5BBED6D1" w14:textId="77777777" w:rsidR="008551D4" w:rsidRPr="007A38C0" w:rsidRDefault="008551D4" w:rsidP="006E305B">
      <w:pPr>
        <w:pStyle w:val="figur-tittel"/>
        <w:numPr>
          <w:ilvl w:val="5"/>
          <w:numId w:val="43"/>
        </w:numPr>
      </w:pPr>
      <w:r w:rsidRPr="007A38C0">
        <w:t>Utviklingen i Gini-koeffisienten for lønnstakere. 1997-</w:t>
      </w:r>
      <w:r>
        <w:t>2014</w:t>
      </w:r>
      <w:r w:rsidRPr="007A38C0">
        <w:t xml:space="preserve">. </w:t>
      </w:r>
    </w:p>
    <w:p w14:paraId="4343F335" w14:textId="77777777" w:rsidR="008551D4" w:rsidRDefault="008551D4" w:rsidP="008551D4">
      <w:pPr>
        <w:pStyle w:val="Kilde"/>
      </w:pPr>
      <w:r w:rsidRPr="00CD302F">
        <w:t>Kilde: Statistisk sentralbyrå</w:t>
      </w:r>
    </w:p>
    <w:p w14:paraId="20D60595" w14:textId="77777777" w:rsidR="008551D4" w:rsidRPr="00DF0252" w:rsidRDefault="008551D4" w:rsidP="008551D4">
      <w:r>
        <w:t xml:space="preserve">Kvinner er i større grad enn menn i de laveste desilene. I 2014 var 11 prosent av kvinnene og 9 prosent av mennene i desil 1. Desil 10 omfattet 14 prosent av mennene og 5 prosent av kvinnene. I desilene 1-5 var 56 prosent av kvinnene og 45 prosent av mennene, se tabell </w:t>
      </w:r>
      <w:r w:rsidR="0025219E">
        <w:t>1.</w:t>
      </w:r>
      <w:r w:rsidR="00195AF5">
        <w:t>22</w:t>
      </w:r>
      <w:r>
        <w:t xml:space="preserve">. Fra </w:t>
      </w:r>
      <w:r w:rsidR="00655E7D">
        <w:t xml:space="preserve">2005 </w:t>
      </w:r>
      <w:r>
        <w:t>til 2014 har andelen av kvinnene i de tre laveste desilene gått ned.</w:t>
      </w:r>
    </w:p>
    <w:p w14:paraId="4DA0E9FD" w14:textId="77777777" w:rsidR="008551D4" w:rsidRDefault="008551D4" w:rsidP="006E305B">
      <w:pPr>
        <w:pStyle w:val="tabell-tittel"/>
        <w:numPr>
          <w:ilvl w:val="6"/>
          <w:numId w:val="43"/>
        </w:numPr>
      </w:pPr>
      <w:r w:rsidRPr="00F5055D">
        <w:t xml:space="preserve">Andelen av kvinner og menn i de ulike desilene. </w:t>
      </w:r>
      <w:r>
        <w:t xml:space="preserve">Lønnstakere. </w:t>
      </w:r>
      <w:r w:rsidR="00655E7D">
        <w:t>2005</w:t>
      </w:r>
      <w:r w:rsidR="00655E7D" w:rsidRPr="00F5055D">
        <w:t xml:space="preserve"> </w:t>
      </w:r>
      <w:r w:rsidRPr="00F5055D">
        <w:t>og 20</w:t>
      </w:r>
      <w:r>
        <w:t xml:space="preserve">14. Prosent </w:t>
      </w:r>
    </w:p>
    <w:tbl>
      <w:tblPr>
        <w:tblW w:w="5014" w:type="pct"/>
        <w:tblBorders>
          <w:bottom w:val="single" w:sz="4" w:space="0" w:color="auto"/>
        </w:tblBorders>
        <w:tblLook w:val="04A0" w:firstRow="1" w:lastRow="0" w:firstColumn="1" w:lastColumn="0" w:noHBand="0" w:noVBand="1"/>
      </w:tblPr>
      <w:tblGrid>
        <w:gridCol w:w="1886"/>
        <w:gridCol w:w="1886"/>
        <w:gridCol w:w="1883"/>
        <w:gridCol w:w="1883"/>
        <w:gridCol w:w="1557"/>
      </w:tblGrid>
      <w:tr w:rsidR="008551D4" w:rsidRPr="000B4E80" w14:paraId="226EAFDA" w14:textId="77777777" w:rsidTr="0049295C">
        <w:trPr>
          <w:trHeight w:val="285"/>
          <w:tblHeader/>
        </w:trPr>
        <w:tc>
          <w:tcPr>
            <w:tcW w:w="1037" w:type="pct"/>
            <w:tcBorders>
              <w:top w:val="single" w:sz="4" w:space="0" w:color="auto"/>
              <w:bottom w:val="single" w:sz="4" w:space="0" w:color="auto"/>
            </w:tcBorders>
            <w:noWrap/>
          </w:tcPr>
          <w:p w14:paraId="313D65FA" w14:textId="77777777" w:rsidR="008551D4" w:rsidRPr="000B4E80" w:rsidRDefault="008551D4" w:rsidP="0049295C">
            <w:pPr>
              <w:spacing w:after="0" w:line="276" w:lineRule="auto"/>
              <w:rPr>
                <w:rFonts w:ascii="Times New Roman" w:hAnsi="Times New Roman"/>
                <w:spacing w:val="6"/>
                <w:szCs w:val="24"/>
              </w:rPr>
            </w:pPr>
          </w:p>
        </w:tc>
        <w:tc>
          <w:tcPr>
            <w:tcW w:w="2072" w:type="pct"/>
            <w:gridSpan w:val="2"/>
            <w:tcBorders>
              <w:top w:val="single" w:sz="4" w:space="0" w:color="auto"/>
              <w:bottom w:val="single" w:sz="4" w:space="0" w:color="auto"/>
            </w:tcBorders>
            <w:noWrap/>
          </w:tcPr>
          <w:p w14:paraId="1B7E0436" w14:textId="77777777" w:rsidR="008551D4" w:rsidRPr="000B4E80" w:rsidRDefault="008551D4" w:rsidP="0049295C">
            <w:pPr>
              <w:spacing w:after="0" w:line="276" w:lineRule="auto"/>
              <w:jc w:val="center"/>
              <w:rPr>
                <w:rFonts w:ascii="Times New Roman" w:hAnsi="Times New Roman"/>
                <w:spacing w:val="6"/>
                <w:szCs w:val="24"/>
              </w:rPr>
            </w:pPr>
            <w:r w:rsidRPr="000B4E80">
              <w:rPr>
                <w:rFonts w:ascii="Times New Roman" w:hAnsi="Times New Roman"/>
                <w:spacing w:val="6"/>
                <w:szCs w:val="24"/>
              </w:rPr>
              <w:t>Menn</w:t>
            </w:r>
          </w:p>
        </w:tc>
        <w:tc>
          <w:tcPr>
            <w:tcW w:w="1891" w:type="pct"/>
            <w:gridSpan w:val="2"/>
            <w:tcBorders>
              <w:top w:val="single" w:sz="4" w:space="0" w:color="auto"/>
              <w:bottom w:val="single" w:sz="4" w:space="0" w:color="auto"/>
            </w:tcBorders>
            <w:noWrap/>
          </w:tcPr>
          <w:p w14:paraId="4C743DAB" w14:textId="77777777" w:rsidR="008551D4" w:rsidRPr="000B4E80" w:rsidRDefault="008551D4" w:rsidP="0049295C">
            <w:pPr>
              <w:spacing w:after="0" w:line="276" w:lineRule="auto"/>
              <w:jc w:val="center"/>
              <w:rPr>
                <w:rFonts w:ascii="Times New Roman" w:hAnsi="Times New Roman"/>
                <w:spacing w:val="6"/>
                <w:szCs w:val="24"/>
              </w:rPr>
            </w:pPr>
            <w:r w:rsidRPr="000B4E80">
              <w:rPr>
                <w:rFonts w:ascii="Times New Roman" w:hAnsi="Times New Roman"/>
                <w:spacing w:val="6"/>
                <w:szCs w:val="24"/>
              </w:rPr>
              <w:t>Kvinner</w:t>
            </w:r>
          </w:p>
        </w:tc>
      </w:tr>
      <w:tr w:rsidR="008551D4" w:rsidRPr="000B4E80" w14:paraId="50C803D7" w14:textId="77777777" w:rsidTr="0049295C">
        <w:trPr>
          <w:trHeight w:val="165"/>
          <w:tblHeader/>
        </w:trPr>
        <w:tc>
          <w:tcPr>
            <w:tcW w:w="1037" w:type="pct"/>
            <w:tcBorders>
              <w:top w:val="single" w:sz="4" w:space="0" w:color="auto"/>
              <w:bottom w:val="single" w:sz="4" w:space="0" w:color="auto"/>
            </w:tcBorders>
            <w:noWrap/>
          </w:tcPr>
          <w:p w14:paraId="0B5CF2CC" w14:textId="77777777" w:rsidR="008551D4" w:rsidRPr="000B4E80" w:rsidRDefault="008551D4" w:rsidP="0049295C">
            <w:pPr>
              <w:spacing w:after="0" w:line="276" w:lineRule="auto"/>
              <w:rPr>
                <w:rFonts w:ascii="Times New Roman" w:hAnsi="Times New Roman"/>
                <w:spacing w:val="6"/>
                <w:szCs w:val="24"/>
              </w:rPr>
            </w:pPr>
            <w:r w:rsidRPr="000B4E80">
              <w:rPr>
                <w:rFonts w:ascii="Times New Roman" w:hAnsi="Times New Roman"/>
                <w:spacing w:val="6"/>
                <w:szCs w:val="24"/>
              </w:rPr>
              <w:t>Desil</w:t>
            </w:r>
          </w:p>
        </w:tc>
        <w:tc>
          <w:tcPr>
            <w:tcW w:w="1037" w:type="pct"/>
            <w:tcBorders>
              <w:top w:val="single" w:sz="4" w:space="0" w:color="auto"/>
              <w:bottom w:val="single" w:sz="4" w:space="0" w:color="auto"/>
            </w:tcBorders>
            <w:noWrap/>
          </w:tcPr>
          <w:p w14:paraId="07DB4338" w14:textId="77777777" w:rsidR="008551D4" w:rsidRPr="000B4E80" w:rsidRDefault="00655E7D" w:rsidP="00655E7D">
            <w:pPr>
              <w:spacing w:after="0" w:line="276" w:lineRule="auto"/>
              <w:jc w:val="center"/>
              <w:rPr>
                <w:rFonts w:ascii="Times New Roman" w:hAnsi="Times New Roman"/>
                <w:spacing w:val="6"/>
                <w:szCs w:val="24"/>
              </w:rPr>
            </w:pPr>
            <w:r w:rsidRPr="000B4E80">
              <w:rPr>
                <w:rFonts w:ascii="Times New Roman" w:hAnsi="Times New Roman"/>
                <w:spacing w:val="6"/>
                <w:szCs w:val="24"/>
              </w:rPr>
              <w:t>200</w:t>
            </w:r>
            <w:r>
              <w:rPr>
                <w:rFonts w:ascii="Times New Roman" w:hAnsi="Times New Roman"/>
                <w:spacing w:val="6"/>
                <w:szCs w:val="24"/>
              </w:rPr>
              <w:t>5</w:t>
            </w:r>
          </w:p>
        </w:tc>
        <w:tc>
          <w:tcPr>
            <w:tcW w:w="1035" w:type="pct"/>
            <w:tcBorders>
              <w:top w:val="single" w:sz="4" w:space="0" w:color="auto"/>
              <w:bottom w:val="single" w:sz="4" w:space="0" w:color="auto"/>
            </w:tcBorders>
            <w:noWrap/>
          </w:tcPr>
          <w:p w14:paraId="01AE7D49" w14:textId="77777777" w:rsidR="008551D4" w:rsidRPr="000B4E80" w:rsidRDefault="008551D4" w:rsidP="0049295C">
            <w:pPr>
              <w:spacing w:after="0" w:line="276" w:lineRule="auto"/>
              <w:jc w:val="center"/>
              <w:rPr>
                <w:rFonts w:ascii="Times New Roman" w:hAnsi="Times New Roman"/>
                <w:spacing w:val="6"/>
                <w:szCs w:val="24"/>
              </w:rPr>
            </w:pPr>
            <w:r w:rsidRPr="000B4E80">
              <w:rPr>
                <w:rFonts w:ascii="Times New Roman" w:hAnsi="Times New Roman"/>
                <w:spacing w:val="6"/>
                <w:szCs w:val="24"/>
              </w:rPr>
              <w:t>201</w:t>
            </w:r>
            <w:r>
              <w:rPr>
                <w:rFonts w:ascii="Times New Roman" w:hAnsi="Times New Roman"/>
                <w:spacing w:val="6"/>
                <w:szCs w:val="24"/>
              </w:rPr>
              <w:t>4</w:t>
            </w:r>
          </w:p>
        </w:tc>
        <w:tc>
          <w:tcPr>
            <w:tcW w:w="1035" w:type="pct"/>
            <w:tcBorders>
              <w:top w:val="single" w:sz="4" w:space="0" w:color="auto"/>
              <w:bottom w:val="single" w:sz="4" w:space="0" w:color="auto"/>
            </w:tcBorders>
            <w:noWrap/>
          </w:tcPr>
          <w:p w14:paraId="1E090701" w14:textId="77777777" w:rsidR="008551D4" w:rsidRPr="000B4E80" w:rsidRDefault="00655E7D" w:rsidP="00655E7D">
            <w:pPr>
              <w:spacing w:after="0" w:line="276" w:lineRule="auto"/>
              <w:jc w:val="center"/>
              <w:rPr>
                <w:rFonts w:ascii="Times New Roman" w:hAnsi="Times New Roman"/>
                <w:spacing w:val="6"/>
                <w:szCs w:val="24"/>
              </w:rPr>
            </w:pPr>
            <w:r w:rsidRPr="000B4E80">
              <w:rPr>
                <w:rFonts w:ascii="Times New Roman" w:hAnsi="Times New Roman"/>
                <w:spacing w:val="6"/>
                <w:szCs w:val="24"/>
              </w:rPr>
              <w:t>200</w:t>
            </w:r>
            <w:r>
              <w:rPr>
                <w:rFonts w:ascii="Times New Roman" w:hAnsi="Times New Roman"/>
                <w:spacing w:val="6"/>
                <w:szCs w:val="24"/>
              </w:rPr>
              <w:t>5</w:t>
            </w:r>
          </w:p>
        </w:tc>
        <w:tc>
          <w:tcPr>
            <w:tcW w:w="856" w:type="pct"/>
            <w:tcBorders>
              <w:top w:val="single" w:sz="4" w:space="0" w:color="auto"/>
              <w:bottom w:val="single" w:sz="4" w:space="0" w:color="auto"/>
            </w:tcBorders>
            <w:noWrap/>
          </w:tcPr>
          <w:p w14:paraId="5B5E6EA8" w14:textId="77777777" w:rsidR="008551D4" w:rsidRPr="000B4E80" w:rsidRDefault="008551D4" w:rsidP="0049295C">
            <w:pPr>
              <w:spacing w:after="0" w:line="276" w:lineRule="auto"/>
              <w:jc w:val="center"/>
              <w:rPr>
                <w:rFonts w:ascii="Times New Roman" w:hAnsi="Times New Roman"/>
                <w:spacing w:val="6"/>
                <w:szCs w:val="24"/>
              </w:rPr>
            </w:pPr>
            <w:r w:rsidRPr="000B4E80">
              <w:rPr>
                <w:rFonts w:ascii="Times New Roman" w:hAnsi="Times New Roman"/>
                <w:spacing w:val="6"/>
                <w:szCs w:val="24"/>
              </w:rPr>
              <w:t>201</w:t>
            </w:r>
            <w:r>
              <w:rPr>
                <w:rFonts w:ascii="Times New Roman" w:hAnsi="Times New Roman"/>
                <w:spacing w:val="6"/>
                <w:szCs w:val="24"/>
              </w:rPr>
              <w:t>4</w:t>
            </w:r>
          </w:p>
        </w:tc>
      </w:tr>
      <w:tr w:rsidR="00655E7D" w:rsidRPr="000B4E80" w14:paraId="457B2247" w14:textId="77777777" w:rsidTr="0049295C">
        <w:trPr>
          <w:trHeight w:val="300"/>
        </w:trPr>
        <w:tc>
          <w:tcPr>
            <w:tcW w:w="1037" w:type="pct"/>
            <w:tcBorders>
              <w:top w:val="single" w:sz="4" w:space="0" w:color="auto"/>
            </w:tcBorders>
            <w:noWrap/>
          </w:tcPr>
          <w:p w14:paraId="24481CA9" w14:textId="77777777" w:rsidR="00655E7D" w:rsidRPr="000B4E80" w:rsidRDefault="00655E7D" w:rsidP="0049295C">
            <w:pPr>
              <w:spacing w:after="0" w:line="276" w:lineRule="auto"/>
              <w:rPr>
                <w:rFonts w:ascii="Times New Roman" w:hAnsi="Times New Roman"/>
                <w:spacing w:val="6"/>
                <w:szCs w:val="24"/>
              </w:rPr>
            </w:pPr>
            <w:r w:rsidRPr="000B4E80">
              <w:rPr>
                <w:rFonts w:ascii="Times New Roman" w:hAnsi="Times New Roman"/>
                <w:spacing w:val="6"/>
                <w:szCs w:val="24"/>
              </w:rPr>
              <w:t>1</w:t>
            </w:r>
          </w:p>
        </w:tc>
        <w:tc>
          <w:tcPr>
            <w:tcW w:w="1037" w:type="pct"/>
            <w:tcBorders>
              <w:top w:val="single" w:sz="4" w:space="0" w:color="auto"/>
            </w:tcBorders>
            <w:noWrap/>
            <w:vAlign w:val="bottom"/>
          </w:tcPr>
          <w:p w14:paraId="7D8032CB"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8</w:t>
            </w:r>
          </w:p>
        </w:tc>
        <w:tc>
          <w:tcPr>
            <w:tcW w:w="1035" w:type="pct"/>
            <w:tcBorders>
              <w:top w:val="single" w:sz="4" w:space="0" w:color="auto"/>
            </w:tcBorders>
            <w:noWrap/>
            <w:vAlign w:val="bottom"/>
          </w:tcPr>
          <w:p w14:paraId="3A2986D0"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9</w:t>
            </w:r>
          </w:p>
        </w:tc>
        <w:tc>
          <w:tcPr>
            <w:tcW w:w="1035" w:type="pct"/>
            <w:tcBorders>
              <w:top w:val="single" w:sz="4" w:space="0" w:color="auto"/>
            </w:tcBorders>
            <w:noWrap/>
            <w:vAlign w:val="bottom"/>
          </w:tcPr>
          <w:p w14:paraId="6625B725"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12</w:t>
            </w:r>
          </w:p>
        </w:tc>
        <w:tc>
          <w:tcPr>
            <w:tcW w:w="856" w:type="pct"/>
            <w:tcBorders>
              <w:top w:val="single" w:sz="4" w:space="0" w:color="auto"/>
            </w:tcBorders>
            <w:noWrap/>
            <w:vAlign w:val="bottom"/>
          </w:tcPr>
          <w:p w14:paraId="4FF0019F"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11</w:t>
            </w:r>
          </w:p>
        </w:tc>
      </w:tr>
      <w:tr w:rsidR="00655E7D" w:rsidRPr="000B4E80" w14:paraId="15136219" w14:textId="77777777" w:rsidTr="0049295C">
        <w:trPr>
          <w:trHeight w:val="300"/>
        </w:trPr>
        <w:tc>
          <w:tcPr>
            <w:tcW w:w="1037" w:type="pct"/>
            <w:noWrap/>
          </w:tcPr>
          <w:p w14:paraId="1FDEDEC1" w14:textId="77777777" w:rsidR="00655E7D" w:rsidRPr="000B4E80" w:rsidRDefault="00655E7D" w:rsidP="0049295C">
            <w:pPr>
              <w:spacing w:after="0" w:line="276" w:lineRule="auto"/>
              <w:rPr>
                <w:rFonts w:ascii="Times New Roman" w:hAnsi="Times New Roman"/>
                <w:spacing w:val="6"/>
                <w:szCs w:val="24"/>
              </w:rPr>
            </w:pPr>
            <w:r w:rsidRPr="000B4E80">
              <w:rPr>
                <w:rFonts w:ascii="Times New Roman" w:hAnsi="Times New Roman"/>
                <w:spacing w:val="6"/>
                <w:szCs w:val="24"/>
              </w:rPr>
              <w:t>2</w:t>
            </w:r>
          </w:p>
        </w:tc>
        <w:tc>
          <w:tcPr>
            <w:tcW w:w="1037" w:type="pct"/>
            <w:noWrap/>
            <w:vAlign w:val="bottom"/>
          </w:tcPr>
          <w:p w14:paraId="4414473D"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7</w:t>
            </w:r>
          </w:p>
        </w:tc>
        <w:tc>
          <w:tcPr>
            <w:tcW w:w="1035" w:type="pct"/>
            <w:noWrap/>
            <w:vAlign w:val="bottom"/>
          </w:tcPr>
          <w:p w14:paraId="58FDC0AE"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9</w:t>
            </w:r>
          </w:p>
        </w:tc>
        <w:tc>
          <w:tcPr>
            <w:tcW w:w="1035" w:type="pct"/>
            <w:noWrap/>
            <w:vAlign w:val="bottom"/>
          </w:tcPr>
          <w:p w14:paraId="19D5C508"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14</w:t>
            </w:r>
          </w:p>
        </w:tc>
        <w:tc>
          <w:tcPr>
            <w:tcW w:w="856" w:type="pct"/>
            <w:noWrap/>
            <w:vAlign w:val="bottom"/>
          </w:tcPr>
          <w:p w14:paraId="38F47403"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11</w:t>
            </w:r>
          </w:p>
        </w:tc>
      </w:tr>
      <w:tr w:rsidR="00655E7D" w:rsidRPr="000B4E80" w14:paraId="2813D0E8" w14:textId="77777777" w:rsidTr="0049295C">
        <w:trPr>
          <w:trHeight w:val="300"/>
        </w:trPr>
        <w:tc>
          <w:tcPr>
            <w:tcW w:w="1037" w:type="pct"/>
            <w:noWrap/>
          </w:tcPr>
          <w:p w14:paraId="23A705BE" w14:textId="77777777" w:rsidR="00655E7D" w:rsidRPr="000B4E80" w:rsidRDefault="00655E7D" w:rsidP="0049295C">
            <w:pPr>
              <w:spacing w:after="0" w:line="276" w:lineRule="auto"/>
              <w:rPr>
                <w:rFonts w:ascii="Times New Roman" w:hAnsi="Times New Roman"/>
                <w:spacing w:val="6"/>
                <w:szCs w:val="24"/>
              </w:rPr>
            </w:pPr>
            <w:r w:rsidRPr="000B4E80">
              <w:rPr>
                <w:rFonts w:ascii="Times New Roman" w:hAnsi="Times New Roman"/>
                <w:spacing w:val="6"/>
                <w:szCs w:val="24"/>
              </w:rPr>
              <w:t>3</w:t>
            </w:r>
          </w:p>
        </w:tc>
        <w:tc>
          <w:tcPr>
            <w:tcW w:w="1037" w:type="pct"/>
            <w:noWrap/>
            <w:vAlign w:val="bottom"/>
          </w:tcPr>
          <w:p w14:paraId="59940763"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9</w:t>
            </w:r>
          </w:p>
        </w:tc>
        <w:tc>
          <w:tcPr>
            <w:tcW w:w="1035" w:type="pct"/>
            <w:noWrap/>
            <w:vAlign w:val="bottom"/>
          </w:tcPr>
          <w:p w14:paraId="1EEC581A"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9</w:t>
            </w:r>
          </w:p>
        </w:tc>
        <w:tc>
          <w:tcPr>
            <w:tcW w:w="1035" w:type="pct"/>
            <w:noWrap/>
            <w:vAlign w:val="bottom"/>
          </w:tcPr>
          <w:p w14:paraId="6BFCAFF0"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12</w:t>
            </w:r>
          </w:p>
        </w:tc>
        <w:tc>
          <w:tcPr>
            <w:tcW w:w="856" w:type="pct"/>
            <w:noWrap/>
            <w:vAlign w:val="bottom"/>
          </w:tcPr>
          <w:p w14:paraId="57F689DD"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11</w:t>
            </w:r>
          </w:p>
        </w:tc>
      </w:tr>
      <w:tr w:rsidR="00655E7D" w:rsidRPr="000B4E80" w14:paraId="4E70A926" w14:textId="77777777" w:rsidTr="0049295C">
        <w:trPr>
          <w:trHeight w:val="300"/>
        </w:trPr>
        <w:tc>
          <w:tcPr>
            <w:tcW w:w="1037" w:type="pct"/>
            <w:noWrap/>
          </w:tcPr>
          <w:p w14:paraId="1B422428" w14:textId="77777777" w:rsidR="00655E7D" w:rsidRPr="000B4E80" w:rsidRDefault="00655E7D" w:rsidP="0049295C">
            <w:pPr>
              <w:spacing w:after="0" w:line="276" w:lineRule="auto"/>
              <w:rPr>
                <w:rFonts w:ascii="Times New Roman" w:hAnsi="Times New Roman"/>
                <w:spacing w:val="6"/>
                <w:szCs w:val="24"/>
              </w:rPr>
            </w:pPr>
            <w:r w:rsidRPr="000B4E80">
              <w:rPr>
                <w:rFonts w:ascii="Times New Roman" w:hAnsi="Times New Roman"/>
                <w:spacing w:val="6"/>
                <w:szCs w:val="24"/>
              </w:rPr>
              <w:t>4</w:t>
            </w:r>
          </w:p>
        </w:tc>
        <w:tc>
          <w:tcPr>
            <w:tcW w:w="1037" w:type="pct"/>
            <w:noWrap/>
            <w:vAlign w:val="bottom"/>
          </w:tcPr>
          <w:p w14:paraId="5371DE22"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9</w:t>
            </w:r>
          </w:p>
        </w:tc>
        <w:tc>
          <w:tcPr>
            <w:tcW w:w="1035" w:type="pct"/>
            <w:noWrap/>
            <w:vAlign w:val="bottom"/>
          </w:tcPr>
          <w:p w14:paraId="5263A2C1"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10</w:t>
            </w:r>
          </w:p>
        </w:tc>
        <w:tc>
          <w:tcPr>
            <w:tcW w:w="1035" w:type="pct"/>
            <w:noWrap/>
            <w:vAlign w:val="bottom"/>
          </w:tcPr>
          <w:p w14:paraId="5367AF3D"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11</w:t>
            </w:r>
          </w:p>
        </w:tc>
        <w:tc>
          <w:tcPr>
            <w:tcW w:w="856" w:type="pct"/>
            <w:noWrap/>
            <w:vAlign w:val="bottom"/>
          </w:tcPr>
          <w:p w14:paraId="4BBA8AEE"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11</w:t>
            </w:r>
          </w:p>
        </w:tc>
      </w:tr>
      <w:tr w:rsidR="00655E7D" w:rsidRPr="000B4E80" w14:paraId="63075BA2" w14:textId="77777777" w:rsidTr="0049295C">
        <w:trPr>
          <w:trHeight w:val="300"/>
        </w:trPr>
        <w:tc>
          <w:tcPr>
            <w:tcW w:w="1037" w:type="pct"/>
            <w:noWrap/>
          </w:tcPr>
          <w:p w14:paraId="5315E4BB" w14:textId="77777777" w:rsidR="00655E7D" w:rsidRPr="000B4E80" w:rsidRDefault="00655E7D" w:rsidP="0049295C">
            <w:pPr>
              <w:spacing w:after="0" w:line="276" w:lineRule="auto"/>
              <w:rPr>
                <w:rFonts w:ascii="Times New Roman" w:hAnsi="Times New Roman"/>
                <w:spacing w:val="6"/>
                <w:szCs w:val="24"/>
              </w:rPr>
            </w:pPr>
            <w:r w:rsidRPr="000B4E80">
              <w:rPr>
                <w:rFonts w:ascii="Times New Roman" w:hAnsi="Times New Roman"/>
                <w:spacing w:val="6"/>
                <w:szCs w:val="24"/>
              </w:rPr>
              <w:t>5</w:t>
            </w:r>
          </w:p>
        </w:tc>
        <w:tc>
          <w:tcPr>
            <w:tcW w:w="1037" w:type="pct"/>
            <w:noWrap/>
            <w:vAlign w:val="bottom"/>
          </w:tcPr>
          <w:p w14:paraId="09F4B02E"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9</w:t>
            </w:r>
          </w:p>
        </w:tc>
        <w:tc>
          <w:tcPr>
            <w:tcW w:w="1035" w:type="pct"/>
            <w:noWrap/>
            <w:vAlign w:val="bottom"/>
          </w:tcPr>
          <w:p w14:paraId="0B178AD0"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9</w:t>
            </w:r>
          </w:p>
        </w:tc>
        <w:tc>
          <w:tcPr>
            <w:tcW w:w="1035" w:type="pct"/>
            <w:noWrap/>
            <w:vAlign w:val="bottom"/>
          </w:tcPr>
          <w:p w14:paraId="21350696"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11</w:t>
            </w:r>
          </w:p>
        </w:tc>
        <w:tc>
          <w:tcPr>
            <w:tcW w:w="856" w:type="pct"/>
            <w:noWrap/>
            <w:vAlign w:val="bottom"/>
          </w:tcPr>
          <w:p w14:paraId="0A4A64BD"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12</w:t>
            </w:r>
          </w:p>
        </w:tc>
      </w:tr>
      <w:tr w:rsidR="00655E7D" w:rsidRPr="000B4E80" w14:paraId="269548C1" w14:textId="77777777" w:rsidTr="0049295C">
        <w:trPr>
          <w:trHeight w:val="300"/>
        </w:trPr>
        <w:tc>
          <w:tcPr>
            <w:tcW w:w="1037" w:type="pct"/>
            <w:noWrap/>
          </w:tcPr>
          <w:p w14:paraId="2C533FCD" w14:textId="77777777" w:rsidR="00655E7D" w:rsidRPr="000B4E80" w:rsidRDefault="00655E7D" w:rsidP="0049295C">
            <w:pPr>
              <w:spacing w:after="0" w:line="276" w:lineRule="auto"/>
              <w:rPr>
                <w:rFonts w:ascii="Times New Roman" w:hAnsi="Times New Roman"/>
                <w:spacing w:val="6"/>
                <w:szCs w:val="24"/>
              </w:rPr>
            </w:pPr>
            <w:r w:rsidRPr="000B4E80">
              <w:rPr>
                <w:rFonts w:ascii="Times New Roman" w:hAnsi="Times New Roman"/>
                <w:spacing w:val="6"/>
                <w:szCs w:val="24"/>
              </w:rPr>
              <w:t>6</w:t>
            </w:r>
          </w:p>
        </w:tc>
        <w:tc>
          <w:tcPr>
            <w:tcW w:w="1037" w:type="pct"/>
            <w:noWrap/>
            <w:vAlign w:val="bottom"/>
          </w:tcPr>
          <w:p w14:paraId="10C36F2C"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9</w:t>
            </w:r>
          </w:p>
        </w:tc>
        <w:tc>
          <w:tcPr>
            <w:tcW w:w="1035" w:type="pct"/>
            <w:noWrap/>
            <w:vAlign w:val="bottom"/>
          </w:tcPr>
          <w:p w14:paraId="348C9A57"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9</w:t>
            </w:r>
          </w:p>
        </w:tc>
        <w:tc>
          <w:tcPr>
            <w:tcW w:w="1035" w:type="pct"/>
            <w:noWrap/>
            <w:vAlign w:val="bottom"/>
          </w:tcPr>
          <w:p w14:paraId="1109CDA8"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11</w:t>
            </w:r>
          </w:p>
        </w:tc>
        <w:tc>
          <w:tcPr>
            <w:tcW w:w="856" w:type="pct"/>
            <w:noWrap/>
            <w:vAlign w:val="bottom"/>
          </w:tcPr>
          <w:p w14:paraId="40235589"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11</w:t>
            </w:r>
          </w:p>
        </w:tc>
      </w:tr>
      <w:tr w:rsidR="00655E7D" w:rsidRPr="000B4E80" w14:paraId="0E39B605" w14:textId="77777777" w:rsidTr="0049295C">
        <w:trPr>
          <w:trHeight w:val="300"/>
        </w:trPr>
        <w:tc>
          <w:tcPr>
            <w:tcW w:w="1037" w:type="pct"/>
            <w:noWrap/>
          </w:tcPr>
          <w:p w14:paraId="4814E1BD" w14:textId="77777777" w:rsidR="00655E7D" w:rsidRPr="000B4E80" w:rsidRDefault="00655E7D" w:rsidP="0049295C">
            <w:pPr>
              <w:spacing w:after="0" w:line="276" w:lineRule="auto"/>
              <w:rPr>
                <w:rFonts w:ascii="Times New Roman" w:hAnsi="Times New Roman"/>
                <w:spacing w:val="6"/>
                <w:szCs w:val="24"/>
              </w:rPr>
            </w:pPr>
            <w:r w:rsidRPr="000B4E80">
              <w:rPr>
                <w:rFonts w:ascii="Times New Roman" w:hAnsi="Times New Roman"/>
                <w:spacing w:val="6"/>
                <w:szCs w:val="24"/>
              </w:rPr>
              <w:t>7</w:t>
            </w:r>
          </w:p>
        </w:tc>
        <w:tc>
          <w:tcPr>
            <w:tcW w:w="1037" w:type="pct"/>
            <w:noWrap/>
            <w:vAlign w:val="bottom"/>
          </w:tcPr>
          <w:p w14:paraId="6424F064"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10</w:t>
            </w:r>
          </w:p>
        </w:tc>
        <w:tc>
          <w:tcPr>
            <w:tcW w:w="1035" w:type="pct"/>
            <w:noWrap/>
            <w:vAlign w:val="bottom"/>
          </w:tcPr>
          <w:p w14:paraId="78271945"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9</w:t>
            </w:r>
          </w:p>
        </w:tc>
        <w:tc>
          <w:tcPr>
            <w:tcW w:w="1035" w:type="pct"/>
            <w:noWrap/>
            <w:vAlign w:val="bottom"/>
          </w:tcPr>
          <w:p w14:paraId="0F017051"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10</w:t>
            </w:r>
          </w:p>
        </w:tc>
        <w:tc>
          <w:tcPr>
            <w:tcW w:w="856" w:type="pct"/>
            <w:noWrap/>
            <w:vAlign w:val="bottom"/>
          </w:tcPr>
          <w:p w14:paraId="453E9DD4"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11</w:t>
            </w:r>
          </w:p>
        </w:tc>
      </w:tr>
      <w:tr w:rsidR="00655E7D" w:rsidRPr="000B4E80" w14:paraId="6D35A3B7" w14:textId="77777777" w:rsidTr="0049295C">
        <w:trPr>
          <w:trHeight w:val="300"/>
        </w:trPr>
        <w:tc>
          <w:tcPr>
            <w:tcW w:w="1037" w:type="pct"/>
            <w:noWrap/>
          </w:tcPr>
          <w:p w14:paraId="570895C9" w14:textId="77777777" w:rsidR="00655E7D" w:rsidRPr="000B4E80" w:rsidRDefault="00655E7D" w:rsidP="0049295C">
            <w:pPr>
              <w:spacing w:after="0" w:line="276" w:lineRule="auto"/>
              <w:rPr>
                <w:rFonts w:ascii="Times New Roman" w:hAnsi="Times New Roman"/>
                <w:spacing w:val="6"/>
                <w:szCs w:val="24"/>
              </w:rPr>
            </w:pPr>
            <w:r w:rsidRPr="000B4E80">
              <w:rPr>
                <w:rFonts w:ascii="Times New Roman" w:hAnsi="Times New Roman"/>
                <w:spacing w:val="6"/>
                <w:szCs w:val="24"/>
              </w:rPr>
              <w:t>8</w:t>
            </w:r>
          </w:p>
        </w:tc>
        <w:tc>
          <w:tcPr>
            <w:tcW w:w="1037" w:type="pct"/>
            <w:noWrap/>
            <w:vAlign w:val="bottom"/>
          </w:tcPr>
          <w:p w14:paraId="7F673428"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11</w:t>
            </w:r>
          </w:p>
        </w:tc>
        <w:tc>
          <w:tcPr>
            <w:tcW w:w="1035" w:type="pct"/>
            <w:noWrap/>
            <w:vAlign w:val="bottom"/>
          </w:tcPr>
          <w:p w14:paraId="3548D134"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10</w:t>
            </w:r>
          </w:p>
        </w:tc>
        <w:tc>
          <w:tcPr>
            <w:tcW w:w="1035" w:type="pct"/>
            <w:noWrap/>
            <w:vAlign w:val="bottom"/>
          </w:tcPr>
          <w:p w14:paraId="458E764E"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9</w:t>
            </w:r>
          </w:p>
        </w:tc>
        <w:tc>
          <w:tcPr>
            <w:tcW w:w="856" w:type="pct"/>
            <w:noWrap/>
            <w:vAlign w:val="bottom"/>
          </w:tcPr>
          <w:p w14:paraId="055D73F1"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9</w:t>
            </w:r>
          </w:p>
        </w:tc>
      </w:tr>
      <w:tr w:rsidR="00655E7D" w:rsidRPr="000B4E80" w14:paraId="7F2137B4" w14:textId="77777777" w:rsidTr="0049295C">
        <w:trPr>
          <w:trHeight w:val="300"/>
        </w:trPr>
        <w:tc>
          <w:tcPr>
            <w:tcW w:w="1037" w:type="pct"/>
            <w:noWrap/>
          </w:tcPr>
          <w:p w14:paraId="3DD6820A" w14:textId="77777777" w:rsidR="00655E7D" w:rsidRPr="000B4E80" w:rsidRDefault="00655E7D" w:rsidP="0049295C">
            <w:pPr>
              <w:spacing w:after="0" w:line="276" w:lineRule="auto"/>
              <w:rPr>
                <w:rFonts w:ascii="Times New Roman" w:hAnsi="Times New Roman"/>
                <w:spacing w:val="6"/>
                <w:szCs w:val="24"/>
              </w:rPr>
            </w:pPr>
            <w:r w:rsidRPr="000B4E80">
              <w:rPr>
                <w:rFonts w:ascii="Times New Roman" w:hAnsi="Times New Roman"/>
                <w:spacing w:val="6"/>
                <w:szCs w:val="24"/>
              </w:rPr>
              <w:t>9</w:t>
            </w:r>
          </w:p>
        </w:tc>
        <w:tc>
          <w:tcPr>
            <w:tcW w:w="1037" w:type="pct"/>
            <w:noWrap/>
            <w:vAlign w:val="bottom"/>
          </w:tcPr>
          <w:p w14:paraId="69479C76"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13</w:t>
            </w:r>
          </w:p>
        </w:tc>
        <w:tc>
          <w:tcPr>
            <w:tcW w:w="1035" w:type="pct"/>
            <w:noWrap/>
            <w:vAlign w:val="bottom"/>
          </w:tcPr>
          <w:p w14:paraId="7B4A4B1B"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12</w:t>
            </w:r>
          </w:p>
        </w:tc>
        <w:tc>
          <w:tcPr>
            <w:tcW w:w="1035" w:type="pct"/>
            <w:noWrap/>
            <w:vAlign w:val="bottom"/>
          </w:tcPr>
          <w:p w14:paraId="6C304EC1"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7</w:t>
            </w:r>
          </w:p>
        </w:tc>
        <w:tc>
          <w:tcPr>
            <w:tcW w:w="856" w:type="pct"/>
            <w:noWrap/>
            <w:vAlign w:val="bottom"/>
          </w:tcPr>
          <w:p w14:paraId="144A3D60"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7</w:t>
            </w:r>
          </w:p>
        </w:tc>
      </w:tr>
      <w:tr w:rsidR="00655E7D" w:rsidRPr="000B4E80" w14:paraId="3108C848" w14:textId="77777777" w:rsidTr="0049295C">
        <w:trPr>
          <w:trHeight w:val="315"/>
        </w:trPr>
        <w:tc>
          <w:tcPr>
            <w:tcW w:w="1037" w:type="pct"/>
            <w:tcBorders>
              <w:bottom w:val="single" w:sz="4" w:space="0" w:color="auto"/>
            </w:tcBorders>
            <w:noWrap/>
          </w:tcPr>
          <w:p w14:paraId="3862FE8F" w14:textId="77777777" w:rsidR="00655E7D" w:rsidRPr="000B4E80" w:rsidRDefault="00655E7D" w:rsidP="0049295C">
            <w:pPr>
              <w:spacing w:after="0" w:line="276" w:lineRule="auto"/>
              <w:rPr>
                <w:rFonts w:ascii="Times New Roman" w:hAnsi="Times New Roman"/>
                <w:spacing w:val="6"/>
                <w:szCs w:val="24"/>
              </w:rPr>
            </w:pPr>
            <w:r w:rsidRPr="000B4E80">
              <w:rPr>
                <w:rFonts w:ascii="Times New Roman" w:hAnsi="Times New Roman"/>
                <w:spacing w:val="6"/>
                <w:szCs w:val="24"/>
              </w:rPr>
              <w:t>10</w:t>
            </w:r>
          </w:p>
        </w:tc>
        <w:tc>
          <w:tcPr>
            <w:tcW w:w="1037" w:type="pct"/>
            <w:tcBorders>
              <w:bottom w:val="single" w:sz="4" w:space="0" w:color="auto"/>
            </w:tcBorders>
            <w:noWrap/>
            <w:vAlign w:val="bottom"/>
          </w:tcPr>
          <w:p w14:paraId="48CC8BB1"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14</w:t>
            </w:r>
          </w:p>
        </w:tc>
        <w:tc>
          <w:tcPr>
            <w:tcW w:w="1035" w:type="pct"/>
            <w:tcBorders>
              <w:bottom w:val="single" w:sz="4" w:space="0" w:color="auto"/>
            </w:tcBorders>
            <w:noWrap/>
            <w:vAlign w:val="bottom"/>
          </w:tcPr>
          <w:p w14:paraId="6A17D3AC"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14</w:t>
            </w:r>
          </w:p>
        </w:tc>
        <w:tc>
          <w:tcPr>
            <w:tcW w:w="1035" w:type="pct"/>
            <w:tcBorders>
              <w:bottom w:val="single" w:sz="4" w:space="0" w:color="auto"/>
            </w:tcBorders>
            <w:noWrap/>
            <w:vAlign w:val="bottom"/>
          </w:tcPr>
          <w:p w14:paraId="2F206D8A" w14:textId="77777777" w:rsidR="00655E7D" w:rsidRPr="000B4E80" w:rsidRDefault="00655E7D" w:rsidP="0049295C">
            <w:pPr>
              <w:spacing w:after="0" w:line="276" w:lineRule="auto"/>
              <w:jc w:val="center"/>
              <w:rPr>
                <w:rFonts w:ascii="Times New Roman" w:hAnsi="Times New Roman"/>
                <w:spacing w:val="6"/>
                <w:szCs w:val="24"/>
              </w:rPr>
            </w:pPr>
            <w:r>
              <w:rPr>
                <w:rFonts w:ascii="Arial" w:hAnsi="Arial" w:cs="Arial"/>
                <w:sz w:val="20"/>
              </w:rPr>
              <w:t>4</w:t>
            </w:r>
          </w:p>
        </w:tc>
        <w:tc>
          <w:tcPr>
            <w:tcW w:w="856" w:type="pct"/>
            <w:tcBorders>
              <w:bottom w:val="single" w:sz="4" w:space="0" w:color="auto"/>
            </w:tcBorders>
            <w:noWrap/>
            <w:vAlign w:val="bottom"/>
          </w:tcPr>
          <w:p w14:paraId="0A170ADF" w14:textId="77777777" w:rsidR="00655E7D" w:rsidRPr="00131584" w:rsidRDefault="00655E7D" w:rsidP="0049295C">
            <w:pPr>
              <w:spacing w:after="0" w:line="276" w:lineRule="auto"/>
              <w:jc w:val="center"/>
              <w:rPr>
                <w:rFonts w:ascii="Times New Roman" w:hAnsi="Times New Roman"/>
                <w:spacing w:val="6"/>
                <w:szCs w:val="24"/>
              </w:rPr>
            </w:pPr>
            <w:r w:rsidRPr="00131584">
              <w:rPr>
                <w:rFonts w:ascii="Times New Roman" w:hAnsi="Times New Roman"/>
                <w:spacing w:val="6"/>
                <w:szCs w:val="24"/>
              </w:rPr>
              <w:t>5</w:t>
            </w:r>
          </w:p>
        </w:tc>
      </w:tr>
      <w:tr w:rsidR="008551D4" w:rsidRPr="000B4E80" w14:paraId="2F755463" w14:textId="77777777" w:rsidTr="0049295C">
        <w:trPr>
          <w:trHeight w:val="119"/>
        </w:trPr>
        <w:tc>
          <w:tcPr>
            <w:tcW w:w="1037" w:type="pct"/>
            <w:tcBorders>
              <w:top w:val="single" w:sz="4" w:space="0" w:color="auto"/>
              <w:bottom w:val="single" w:sz="4" w:space="0" w:color="auto"/>
            </w:tcBorders>
            <w:noWrap/>
          </w:tcPr>
          <w:p w14:paraId="38F83FA2" w14:textId="77777777" w:rsidR="008551D4" w:rsidRPr="000B4E80" w:rsidRDefault="008551D4" w:rsidP="0049295C">
            <w:pPr>
              <w:spacing w:after="0" w:line="276" w:lineRule="auto"/>
              <w:rPr>
                <w:rFonts w:ascii="Times New Roman" w:hAnsi="Times New Roman"/>
                <w:spacing w:val="6"/>
                <w:szCs w:val="24"/>
              </w:rPr>
            </w:pPr>
            <w:r w:rsidRPr="000B4E80">
              <w:rPr>
                <w:rFonts w:ascii="Times New Roman" w:hAnsi="Times New Roman"/>
                <w:spacing w:val="6"/>
                <w:szCs w:val="24"/>
              </w:rPr>
              <w:t>Alle</w:t>
            </w:r>
          </w:p>
        </w:tc>
        <w:tc>
          <w:tcPr>
            <w:tcW w:w="1037" w:type="pct"/>
            <w:tcBorders>
              <w:top w:val="single" w:sz="4" w:space="0" w:color="auto"/>
              <w:bottom w:val="single" w:sz="4" w:space="0" w:color="auto"/>
            </w:tcBorders>
            <w:noWrap/>
          </w:tcPr>
          <w:p w14:paraId="26ADFCA6" w14:textId="77777777" w:rsidR="008551D4" w:rsidRPr="000B4E80" w:rsidRDefault="008551D4" w:rsidP="0049295C">
            <w:pPr>
              <w:spacing w:after="0" w:line="276" w:lineRule="auto"/>
              <w:jc w:val="center"/>
              <w:rPr>
                <w:rFonts w:ascii="Times New Roman" w:hAnsi="Times New Roman"/>
                <w:spacing w:val="6"/>
                <w:szCs w:val="24"/>
              </w:rPr>
            </w:pPr>
            <w:r w:rsidRPr="000B4E80">
              <w:rPr>
                <w:rFonts w:ascii="Times New Roman" w:hAnsi="Times New Roman"/>
                <w:spacing w:val="6"/>
                <w:szCs w:val="24"/>
              </w:rPr>
              <w:t>100</w:t>
            </w:r>
          </w:p>
        </w:tc>
        <w:tc>
          <w:tcPr>
            <w:tcW w:w="1035" w:type="pct"/>
            <w:tcBorders>
              <w:top w:val="single" w:sz="4" w:space="0" w:color="auto"/>
              <w:bottom w:val="single" w:sz="4" w:space="0" w:color="auto"/>
            </w:tcBorders>
            <w:noWrap/>
          </w:tcPr>
          <w:p w14:paraId="7BC23B20" w14:textId="77777777" w:rsidR="008551D4" w:rsidRPr="000B4E80" w:rsidRDefault="008551D4" w:rsidP="0049295C">
            <w:pPr>
              <w:spacing w:after="0" w:line="276" w:lineRule="auto"/>
              <w:jc w:val="center"/>
              <w:rPr>
                <w:rFonts w:ascii="Times New Roman" w:hAnsi="Times New Roman"/>
                <w:spacing w:val="6"/>
                <w:szCs w:val="24"/>
              </w:rPr>
            </w:pPr>
            <w:r w:rsidRPr="000B4E80">
              <w:rPr>
                <w:rFonts w:ascii="Times New Roman" w:hAnsi="Times New Roman"/>
                <w:spacing w:val="6"/>
                <w:szCs w:val="24"/>
              </w:rPr>
              <w:t>100</w:t>
            </w:r>
          </w:p>
        </w:tc>
        <w:tc>
          <w:tcPr>
            <w:tcW w:w="1035" w:type="pct"/>
            <w:tcBorders>
              <w:top w:val="single" w:sz="4" w:space="0" w:color="auto"/>
              <w:bottom w:val="single" w:sz="4" w:space="0" w:color="auto"/>
            </w:tcBorders>
            <w:noWrap/>
          </w:tcPr>
          <w:p w14:paraId="65633E1F" w14:textId="77777777" w:rsidR="008551D4" w:rsidRPr="000B4E80" w:rsidRDefault="008551D4" w:rsidP="0049295C">
            <w:pPr>
              <w:spacing w:after="0" w:line="276" w:lineRule="auto"/>
              <w:jc w:val="center"/>
              <w:rPr>
                <w:rFonts w:ascii="Times New Roman" w:hAnsi="Times New Roman"/>
                <w:spacing w:val="6"/>
                <w:szCs w:val="24"/>
              </w:rPr>
            </w:pPr>
            <w:r w:rsidRPr="000B4E80">
              <w:rPr>
                <w:rFonts w:ascii="Times New Roman" w:hAnsi="Times New Roman"/>
                <w:spacing w:val="6"/>
                <w:szCs w:val="24"/>
              </w:rPr>
              <w:t>100</w:t>
            </w:r>
          </w:p>
        </w:tc>
        <w:tc>
          <w:tcPr>
            <w:tcW w:w="856" w:type="pct"/>
            <w:tcBorders>
              <w:top w:val="single" w:sz="4" w:space="0" w:color="auto"/>
              <w:bottom w:val="single" w:sz="4" w:space="0" w:color="auto"/>
            </w:tcBorders>
            <w:noWrap/>
          </w:tcPr>
          <w:p w14:paraId="2B532313" w14:textId="77777777" w:rsidR="008551D4" w:rsidRPr="000B4E80" w:rsidRDefault="008551D4" w:rsidP="0049295C">
            <w:pPr>
              <w:spacing w:after="0" w:line="276" w:lineRule="auto"/>
              <w:jc w:val="center"/>
              <w:rPr>
                <w:rFonts w:ascii="Times New Roman" w:hAnsi="Times New Roman"/>
                <w:spacing w:val="6"/>
                <w:szCs w:val="24"/>
              </w:rPr>
            </w:pPr>
            <w:r w:rsidRPr="000B4E80">
              <w:rPr>
                <w:rFonts w:ascii="Times New Roman" w:hAnsi="Times New Roman"/>
                <w:spacing w:val="6"/>
                <w:szCs w:val="24"/>
              </w:rPr>
              <w:t>100</w:t>
            </w:r>
          </w:p>
        </w:tc>
      </w:tr>
    </w:tbl>
    <w:p w14:paraId="4333348E" w14:textId="77777777" w:rsidR="008551D4" w:rsidRPr="00D80EB8" w:rsidRDefault="008551D4" w:rsidP="008551D4">
      <w:pPr>
        <w:pStyle w:val="Kilde"/>
        <w:rPr>
          <w:rFonts w:ascii="Arial" w:hAnsi="Arial" w:cs="Arial"/>
        </w:rPr>
      </w:pPr>
      <w:r>
        <w:t>Kilde: Statistisk sentralbyrå</w:t>
      </w:r>
      <w:r>
        <w:tab/>
      </w:r>
      <w:r>
        <w:rPr>
          <w:rFonts w:ascii="Arial" w:hAnsi="Arial" w:cs="Arial"/>
        </w:rPr>
        <w:tab/>
      </w:r>
    </w:p>
    <w:p w14:paraId="1E73F638" w14:textId="77777777" w:rsidR="008551D4" w:rsidRPr="00E55600" w:rsidRDefault="008551D4" w:rsidP="008551D4">
      <w:pPr>
        <w:pStyle w:val="avsnitt-tit"/>
        <w:spacing w:before="0" w:after="0"/>
      </w:pPr>
      <w:r w:rsidRPr="00E55600">
        <w:t>Lavlønn</w:t>
      </w:r>
    </w:p>
    <w:p w14:paraId="61B97285" w14:textId="77777777" w:rsidR="008551D4" w:rsidRDefault="008551D4" w:rsidP="008551D4">
      <w:r w:rsidRPr="00E55600">
        <w:t>I forbindelse med tariffoppgjørene har det vært benyttet ulike grenser for utmåling av lavlønnstillegg. Det har også vært brukt ulike prinsipper for omfanget av de lavlønnstillegg som er gitt. Ofte har avtaleområdets gjennomsnitt vært avgjørende, ved andre anledninger bedriftens eller den enkeltes lønnsnivå.</w:t>
      </w:r>
    </w:p>
    <w:p w14:paraId="226B50A7" w14:textId="77777777" w:rsidR="008551D4" w:rsidRDefault="008551D4" w:rsidP="008551D4">
      <w:r w:rsidRPr="00E55600">
        <w:t>En grense som også ble benyttet for den såkalte lav</w:t>
      </w:r>
      <w:r>
        <w:t>tlønnsgarantiordningen for LO-</w:t>
      </w:r>
      <w:r w:rsidRPr="00E55600">
        <w:t>NAF-området (nå LO</w:t>
      </w:r>
      <w:r>
        <w:t>-</w:t>
      </w:r>
      <w:r w:rsidRPr="00E55600">
        <w:t xml:space="preserve">NHO-området), var 85 prosent av industriarbeiders gjennomsnitt i dette tariffområdet. En slik definisjon av lavlønnsgrensen ville tilsvare kr </w:t>
      </w:r>
      <w:r w:rsidR="003F334F" w:rsidRPr="003F334F">
        <w:t>366 400</w:t>
      </w:r>
      <w:r>
        <w:t xml:space="preserve"> </w:t>
      </w:r>
      <w:r w:rsidRPr="00E55600">
        <w:t xml:space="preserve">for et fullt årsverk uten overtid i </w:t>
      </w:r>
      <w:r>
        <w:t>2014</w:t>
      </w:r>
      <w:r w:rsidRPr="00E55600">
        <w:t>.</w:t>
      </w:r>
    </w:p>
    <w:p w14:paraId="0A01E592" w14:textId="77777777" w:rsidR="008551D4" w:rsidRDefault="008551D4" w:rsidP="008551D4">
      <w:r w:rsidRPr="00E55600">
        <w:t>Med denne grensen for lavlønn var</w:t>
      </w:r>
      <w:r w:rsidR="003F334F">
        <w:t xml:space="preserve"> 17 </w:t>
      </w:r>
      <w:r w:rsidRPr="00E55600">
        <w:t xml:space="preserve">prosent av alle heltidsansatte lønnstakere lavlønte </w:t>
      </w:r>
      <w:r>
        <w:t>i 201</w:t>
      </w:r>
      <w:r w:rsidR="00FC493F">
        <w:t>4</w:t>
      </w:r>
      <w:r>
        <w:t xml:space="preserve">, uendret fra 2013, </w:t>
      </w:r>
      <w:r w:rsidRPr="00E55600">
        <w:t>jf. tabell 1.</w:t>
      </w:r>
      <w:r w:rsidR="00195AF5">
        <w:t>23</w:t>
      </w:r>
      <w:r w:rsidRPr="00E55600">
        <w:t xml:space="preserve">. </w:t>
      </w:r>
      <w:r>
        <w:t xml:space="preserve">For kvinner er andelen </w:t>
      </w:r>
      <w:r w:rsidR="003F334F">
        <w:t>20</w:t>
      </w:r>
      <w:r>
        <w:t xml:space="preserve"> prosent og for menn </w:t>
      </w:r>
      <w:r w:rsidR="003F334F">
        <w:t>16</w:t>
      </w:r>
      <w:r>
        <w:t xml:space="preserve"> prosent. Lavlønnsandelen har holdt seg </w:t>
      </w:r>
      <w:r w:rsidR="003F334F">
        <w:t xml:space="preserve">om lag </w:t>
      </w:r>
      <w:r>
        <w:t>uendret fra 201</w:t>
      </w:r>
      <w:r w:rsidR="003F334F">
        <w:t xml:space="preserve">3 </w:t>
      </w:r>
      <w:r>
        <w:t>til 201</w:t>
      </w:r>
      <w:r w:rsidR="003F334F">
        <w:t>4</w:t>
      </w:r>
      <w:r>
        <w:t xml:space="preserve"> for begge kjønn. Målt fra</w:t>
      </w:r>
      <w:r w:rsidRPr="00E55600">
        <w:t xml:space="preserve"> </w:t>
      </w:r>
      <w:r>
        <w:t>2005</w:t>
      </w:r>
      <w:r w:rsidRPr="00E55600">
        <w:t xml:space="preserve"> til </w:t>
      </w:r>
      <w:r>
        <w:t xml:space="preserve">2014 </w:t>
      </w:r>
      <w:r w:rsidRPr="003F334F">
        <w:t xml:space="preserve">har andelen lavlønte kvinner sunket, mens andelen lavlønte menn har </w:t>
      </w:r>
      <w:r w:rsidR="003F334F">
        <w:t>økt</w:t>
      </w:r>
      <w:r w:rsidRPr="003F334F">
        <w:t>.</w:t>
      </w:r>
    </w:p>
    <w:p w14:paraId="05D0CFC9" w14:textId="77777777" w:rsidR="001E07D8" w:rsidRDefault="008551D4" w:rsidP="008551D4">
      <w:r>
        <w:t>Lavlønnsg</w:t>
      </w:r>
      <w:r w:rsidRPr="00E55600">
        <w:t xml:space="preserve">rensen </w:t>
      </w:r>
      <w:r>
        <w:t xml:space="preserve">i 2014 på kr </w:t>
      </w:r>
      <w:r w:rsidR="000B3334" w:rsidRPr="000B3334">
        <w:t>366</w:t>
      </w:r>
      <w:r w:rsidR="000B3334">
        <w:t> </w:t>
      </w:r>
      <w:r w:rsidR="000B3334" w:rsidRPr="000B3334">
        <w:t>400</w:t>
      </w:r>
      <w:r w:rsidR="000B3334">
        <w:t xml:space="preserve"> </w:t>
      </w:r>
      <w:r w:rsidRPr="00E55600">
        <w:t xml:space="preserve">tilsvarer </w:t>
      </w:r>
      <w:r>
        <w:t xml:space="preserve">om lag </w:t>
      </w:r>
      <w:r w:rsidR="000B3334">
        <w:t>70</w:t>
      </w:r>
      <w:r w:rsidRPr="00E55600">
        <w:t xml:space="preserve"> prosent av gjennomsnittlig lønnsnivå for alle heltidsansatte (på kr</w:t>
      </w:r>
      <w:r>
        <w:t> </w:t>
      </w:r>
      <w:r w:rsidR="000B3334" w:rsidRPr="000B3334">
        <w:t>525 200</w:t>
      </w:r>
      <w:r w:rsidRPr="00E55600">
        <w:t>). Dette kan tilskrives flere forhold</w:t>
      </w:r>
      <w:r>
        <w:t>, blant annet variasjon i antall arbeidstimer for heltidsansatte</w:t>
      </w:r>
      <w:r w:rsidRPr="00D404C2">
        <w:t xml:space="preserve"> </w:t>
      </w:r>
      <w:r>
        <w:t>og at i</w:t>
      </w:r>
      <w:r w:rsidRPr="00E55600">
        <w:t>ndustriarbeidernes lønnsnivå er noe lav</w:t>
      </w:r>
      <w:r>
        <w:t>ere enn gjennomsnittet for alle lønnstakere. Tabell 1.2</w:t>
      </w:r>
      <w:r w:rsidR="001E07D8">
        <w:t>3</w:t>
      </w:r>
      <w:r>
        <w:t xml:space="preserve"> er best egnet til å vise utvikling i andel lavlønnede over tid.</w:t>
      </w:r>
    </w:p>
    <w:p w14:paraId="36BFF8E9" w14:textId="77777777" w:rsidR="001E07D8" w:rsidRDefault="001E07D8">
      <w:pPr>
        <w:spacing w:after="0"/>
      </w:pPr>
      <w:r>
        <w:br w:type="page"/>
      </w:r>
    </w:p>
    <w:p w14:paraId="7DBCC088" w14:textId="77777777" w:rsidR="008551D4" w:rsidRDefault="008551D4" w:rsidP="006E305B">
      <w:pPr>
        <w:pStyle w:val="tabell-tittel"/>
        <w:numPr>
          <w:ilvl w:val="6"/>
          <w:numId w:val="43"/>
        </w:numPr>
      </w:pPr>
      <w:r w:rsidRPr="002E0F22">
        <w:t>Andel lavtlønte</w:t>
      </w:r>
      <w:r w:rsidRPr="002E0F22">
        <w:rPr>
          <w:vertAlign w:val="superscript"/>
        </w:rPr>
        <w:t>1</w:t>
      </w:r>
      <w:r w:rsidRPr="002E0F22">
        <w:t>, beregnet lavlønnsnivå</w:t>
      </w:r>
      <w:r w:rsidRPr="002E0F22">
        <w:rPr>
          <w:vertAlign w:val="superscript"/>
        </w:rPr>
        <w:t>1</w:t>
      </w:r>
      <w:r w:rsidRPr="002E0F22">
        <w:t>, gjennomsnittlig årslønn og median</w:t>
      </w:r>
      <w:r w:rsidRPr="002E0F22">
        <w:rPr>
          <w:vertAlign w:val="superscript"/>
        </w:rPr>
        <w:t>2</w:t>
      </w:r>
      <w:r w:rsidRPr="002E0F22">
        <w:t xml:space="preserve"> årslønn for alle. </w:t>
      </w:r>
      <w:r>
        <w:t>2005</w:t>
      </w:r>
      <w:r w:rsidRPr="002E0F22">
        <w:t>-</w:t>
      </w:r>
      <w:r>
        <w:t>2014</w:t>
      </w:r>
      <w:r w:rsidRPr="002E0F22">
        <w:t>. Prosent og kroner.</w:t>
      </w:r>
    </w:p>
    <w:tbl>
      <w:tblPr>
        <w:tblW w:w="5000" w:type="pct"/>
        <w:tblBorders>
          <w:bottom w:val="single" w:sz="4" w:space="0" w:color="auto"/>
        </w:tblBorders>
        <w:tblLayout w:type="fixed"/>
        <w:tblCellMar>
          <w:left w:w="28" w:type="dxa"/>
          <w:right w:w="57" w:type="dxa"/>
        </w:tblCellMar>
        <w:tblLook w:val="04A0" w:firstRow="1" w:lastRow="0" w:firstColumn="1" w:lastColumn="0" w:noHBand="0" w:noVBand="1"/>
      </w:tblPr>
      <w:tblGrid>
        <w:gridCol w:w="1291"/>
        <w:gridCol w:w="903"/>
        <w:gridCol w:w="764"/>
        <w:gridCol w:w="764"/>
        <w:gridCol w:w="764"/>
        <w:gridCol w:w="764"/>
        <w:gridCol w:w="764"/>
        <w:gridCol w:w="764"/>
        <w:gridCol w:w="764"/>
        <w:gridCol w:w="764"/>
        <w:gridCol w:w="764"/>
      </w:tblGrid>
      <w:tr w:rsidR="008551D4" w:rsidRPr="006C15C9" w14:paraId="7D3A92DC" w14:textId="77777777" w:rsidTr="0049295C">
        <w:trPr>
          <w:trHeight w:val="404"/>
        </w:trPr>
        <w:tc>
          <w:tcPr>
            <w:tcW w:w="712" w:type="pct"/>
            <w:tcBorders>
              <w:top w:val="single" w:sz="4" w:space="0" w:color="auto"/>
              <w:bottom w:val="single" w:sz="4" w:space="0" w:color="auto"/>
            </w:tcBorders>
            <w:noWrap/>
            <w:vAlign w:val="bottom"/>
            <w:hideMark/>
          </w:tcPr>
          <w:p w14:paraId="4D3322F5" w14:textId="77777777" w:rsidR="008551D4" w:rsidRPr="006C15C9" w:rsidRDefault="008551D4" w:rsidP="0049295C">
            <w:pPr>
              <w:spacing w:after="0" w:line="276" w:lineRule="auto"/>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 </w:t>
            </w:r>
          </w:p>
        </w:tc>
        <w:tc>
          <w:tcPr>
            <w:tcW w:w="498" w:type="pct"/>
            <w:tcBorders>
              <w:top w:val="single" w:sz="4" w:space="0" w:color="auto"/>
              <w:bottom w:val="single" w:sz="4" w:space="0" w:color="auto"/>
            </w:tcBorders>
            <w:noWrap/>
            <w:vAlign w:val="bottom"/>
            <w:hideMark/>
          </w:tcPr>
          <w:p w14:paraId="3DD0ED17"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bCs/>
                <w:spacing w:val="6"/>
                <w:sz w:val="18"/>
                <w:szCs w:val="18"/>
              </w:rPr>
              <w:t>2005</w:t>
            </w:r>
          </w:p>
        </w:tc>
        <w:tc>
          <w:tcPr>
            <w:tcW w:w="421" w:type="pct"/>
            <w:tcBorders>
              <w:top w:val="single" w:sz="4" w:space="0" w:color="auto"/>
              <w:bottom w:val="single" w:sz="4" w:space="0" w:color="auto"/>
            </w:tcBorders>
            <w:noWrap/>
            <w:vAlign w:val="bottom"/>
            <w:hideMark/>
          </w:tcPr>
          <w:p w14:paraId="13246E44"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bCs/>
                <w:spacing w:val="6"/>
                <w:sz w:val="18"/>
                <w:szCs w:val="18"/>
              </w:rPr>
              <w:t>2006</w:t>
            </w:r>
          </w:p>
        </w:tc>
        <w:tc>
          <w:tcPr>
            <w:tcW w:w="421" w:type="pct"/>
            <w:tcBorders>
              <w:top w:val="single" w:sz="4" w:space="0" w:color="auto"/>
              <w:bottom w:val="single" w:sz="4" w:space="0" w:color="auto"/>
            </w:tcBorders>
            <w:noWrap/>
            <w:vAlign w:val="bottom"/>
            <w:hideMark/>
          </w:tcPr>
          <w:p w14:paraId="77A6D12F"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bCs/>
                <w:spacing w:val="6"/>
                <w:sz w:val="18"/>
                <w:szCs w:val="18"/>
              </w:rPr>
              <w:t>2007</w:t>
            </w:r>
          </w:p>
        </w:tc>
        <w:tc>
          <w:tcPr>
            <w:tcW w:w="421" w:type="pct"/>
            <w:tcBorders>
              <w:top w:val="single" w:sz="4" w:space="0" w:color="auto"/>
              <w:bottom w:val="single" w:sz="4" w:space="0" w:color="auto"/>
            </w:tcBorders>
            <w:noWrap/>
            <w:vAlign w:val="bottom"/>
            <w:hideMark/>
          </w:tcPr>
          <w:p w14:paraId="55B3F7E7"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bCs/>
                <w:spacing w:val="6"/>
                <w:sz w:val="18"/>
                <w:szCs w:val="18"/>
              </w:rPr>
              <w:t>2008</w:t>
            </w:r>
          </w:p>
        </w:tc>
        <w:tc>
          <w:tcPr>
            <w:tcW w:w="421" w:type="pct"/>
            <w:tcBorders>
              <w:top w:val="single" w:sz="4" w:space="0" w:color="auto"/>
              <w:bottom w:val="single" w:sz="4" w:space="0" w:color="auto"/>
            </w:tcBorders>
            <w:vAlign w:val="bottom"/>
            <w:hideMark/>
          </w:tcPr>
          <w:p w14:paraId="743A2E42"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bCs/>
                <w:spacing w:val="6"/>
                <w:sz w:val="18"/>
                <w:szCs w:val="18"/>
              </w:rPr>
              <w:t>2009</w:t>
            </w:r>
          </w:p>
        </w:tc>
        <w:tc>
          <w:tcPr>
            <w:tcW w:w="421" w:type="pct"/>
            <w:tcBorders>
              <w:top w:val="single" w:sz="4" w:space="0" w:color="auto"/>
              <w:bottom w:val="single" w:sz="4" w:space="0" w:color="auto"/>
            </w:tcBorders>
            <w:vAlign w:val="bottom"/>
            <w:hideMark/>
          </w:tcPr>
          <w:p w14:paraId="770D95E8"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bCs/>
                <w:spacing w:val="6"/>
                <w:sz w:val="18"/>
                <w:szCs w:val="18"/>
              </w:rPr>
              <w:t>2010</w:t>
            </w:r>
          </w:p>
        </w:tc>
        <w:tc>
          <w:tcPr>
            <w:tcW w:w="421" w:type="pct"/>
            <w:tcBorders>
              <w:top w:val="single" w:sz="4" w:space="0" w:color="auto"/>
              <w:bottom w:val="single" w:sz="4" w:space="0" w:color="auto"/>
            </w:tcBorders>
            <w:vAlign w:val="bottom"/>
            <w:hideMark/>
          </w:tcPr>
          <w:p w14:paraId="5F3CCFE7"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bCs/>
                <w:spacing w:val="6"/>
                <w:sz w:val="18"/>
                <w:szCs w:val="18"/>
              </w:rPr>
              <w:t>2011</w:t>
            </w:r>
          </w:p>
        </w:tc>
        <w:tc>
          <w:tcPr>
            <w:tcW w:w="421" w:type="pct"/>
            <w:tcBorders>
              <w:top w:val="single" w:sz="4" w:space="0" w:color="auto"/>
              <w:bottom w:val="single" w:sz="4" w:space="0" w:color="auto"/>
            </w:tcBorders>
            <w:vAlign w:val="bottom"/>
            <w:hideMark/>
          </w:tcPr>
          <w:p w14:paraId="3B00BD0A"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bCs/>
                <w:spacing w:val="6"/>
                <w:sz w:val="18"/>
                <w:szCs w:val="18"/>
              </w:rPr>
              <w:t>2012</w:t>
            </w:r>
          </w:p>
        </w:tc>
        <w:tc>
          <w:tcPr>
            <w:tcW w:w="421" w:type="pct"/>
            <w:tcBorders>
              <w:top w:val="single" w:sz="4" w:space="0" w:color="auto"/>
              <w:bottom w:val="single" w:sz="4" w:space="0" w:color="auto"/>
            </w:tcBorders>
            <w:vAlign w:val="bottom"/>
            <w:hideMark/>
          </w:tcPr>
          <w:p w14:paraId="26610698" w14:textId="77777777" w:rsidR="008551D4" w:rsidRPr="006C15C9" w:rsidRDefault="008551D4" w:rsidP="0049295C">
            <w:pPr>
              <w:spacing w:after="0" w:line="276" w:lineRule="auto"/>
              <w:jc w:val="right"/>
              <w:rPr>
                <w:rFonts w:ascii="Times New Roman" w:eastAsia="Times New Roman" w:hAnsi="Times New Roman"/>
                <w:bCs/>
                <w:spacing w:val="6"/>
                <w:sz w:val="18"/>
                <w:szCs w:val="18"/>
              </w:rPr>
            </w:pPr>
            <w:r w:rsidRPr="006C15C9">
              <w:rPr>
                <w:rFonts w:ascii="Times New Roman" w:eastAsia="Times New Roman" w:hAnsi="Times New Roman"/>
                <w:bCs/>
                <w:spacing w:val="6"/>
                <w:sz w:val="18"/>
                <w:szCs w:val="18"/>
              </w:rPr>
              <w:t>2013</w:t>
            </w:r>
          </w:p>
        </w:tc>
        <w:tc>
          <w:tcPr>
            <w:tcW w:w="421" w:type="pct"/>
            <w:tcBorders>
              <w:top w:val="single" w:sz="4" w:space="0" w:color="auto"/>
              <w:bottom w:val="single" w:sz="4" w:space="0" w:color="auto"/>
            </w:tcBorders>
            <w:vAlign w:val="bottom"/>
          </w:tcPr>
          <w:p w14:paraId="7346C683" w14:textId="77777777" w:rsidR="008551D4" w:rsidRPr="006C15C9" w:rsidRDefault="008551D4" w:rsidP="0049295C">
            <w:pPr>
              <w:spacing w:after="0" w:line="276" w:lineRule="auto"/>
              <w:jc w:val="right"/>
              <w:rPr>
                <w:rFonts w:ascii="Times New Roman" w:eastAsia="Times New Roman" w:hAnsi="Times New Roman"/>
                <w:bCs/>
                <w:spacing w:val="6"/>
                <w:sz w:val="18"/>
                <w:szCs w:val="18"/>
              </w:rPr>
            </w:pPr>
            <w:r w:rsidRPr="006C15C9">
              <w:rPr>
                <w:rFonts w:ascii="Times New Roman" w:eastAsia="Times New Roman" w:hAnsi="Times New Roman"/>
                <w:bCs/>
                <w:spacing w:val="6"/>
                <w:sz w:val="18"/>
                <w:szCs w:val="18"/>
              </w:rPr>
              <w:t>201</w:t>
            </w:r>
            <w:r>
              <w:rPr>
                <w:rFonts w:ascii="Times New Roman" w:eastAsia="Times New Roman" w:hAnsi="Times New Roman"/>
                <w:bCs/>
                <w:spacing w:val="6"/>
                <w:sz w:val="18"/>
                <w:szCs w:val="18"/>
              </w:rPr>
              <w:t>4</w:t>
            </w:r>
          </w:p>
        </w:tc>
      </w:tr>
      <w:tr w:rsidR="008551D4" w:rsidRPr="006C15C9" w14:paraId="2795F90E" w14:textId="77777777" w:rsidTr="0049295C">
        <w:trPr>
          <w:trHeight w:val="241"/>
        </w:trPr>
        <w:tc>
          <w:tcPr>
            <w:tcW w:w="712" w:type="pct"/>
            <w:tcBorders>
              <w:top w:val="single" w:sz="4" w:space="0" w:color="auto"/>
            </w:tcBorders>
            <w:noWrap/>
            <w:vAlign w:val="bottom"/>
            <w:hideMark/>
          </w:tcPr>
          <w:p w14:paraId="4B210B1D" w14:textId="77777777" w:rsidR="008551D4" w:rsidRPr="006C15C9" w:rsidRDefault="008551D4" w:rsidP="0049295C">
            <w:pPr>
              <w:spacing w:after="0" w:line="276" w:lineRule="auto"/>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I alt</w:t>
            </w:r>
          </w:p>
        </w:tc>
        <w:tc>
          <w:tcPr>
            <w:tcW w:w="498" w:type="pct"/>
            <w:tcBorders>
              <w:top w:val="single" w:sz="4" w:space="0" w:color="auto"/>
            </w:tcBorders>
            <w:noWrap/>
            <w:vAlign w:val="bottom"/>
            <w:hideMark/>
          </w:tcPr>
          <w:p w14:paraId="4DB447DA"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17</w:t>
            </w:r>
          </w:p>
        </w:tc>
        <w:tc>
          <w:tcPr>
            <w:tcW w:w="421" w:type="pct"/>
            <w:tcBorders>
              <w:top w:val="single" w:sz="4" w:space="0" w:color="auto"/>
            </w:tcBorders>
            <w:noWrap/>
            <w:vAlign w:val="bottom"/>
            <w:hideMark/>
          </w:tcPr>
          <w:p w14:paraId="18355AC0"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16</w:t>
            </w:r>
          </w:p>
        </w:tc>
        <w:tc>
          <w:tcPr>
            <w:tcW w:w="421" w:type="pct"/>
            <w:tcBorders>
              <w:top w:val="single" w:sz="4" w:space="0" w:color="auto"/>
            </w:tcBorders>
            <w:noWrap/>
            <w:vAlign w:val="bottom"/>
            <w:hideMark/>
          </w:tcPr>
          <w:p w14:paraId="51E74872"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17</w:t>
            </w:r>
          </w:p>
        </w:tc>
        <w:tc>
          <w:tcPr>
            <w:tcW w:w="421" w:type="pct"/>
            <w:tcBorders>
              <w:top w:val="single" w:sz="4" w:space="0" w:color="auto"/>
            </w:tcBorders>
            <w:noWrap/>
            <w:vAlign w:val="bottom"/>
            <w:hideMark/>
          </w:tcPr>
          <w:p w14:paraId="30D32F4E"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17</w:t>
            </w:r>
          </w:p>
        </w:tc>
        <w:tc>
          <w:tcPr>
            <w:tcW w:w="421" w:type="pct"/>
            <w:tcBorders>
              <w:top w:val="single" w:sz="4" w:space="0" w:color="auto"/>
            </w:tcBorders>
            <w:vAlign w:val="bottom"/>
            <w:hideMark/>
          </w:tcPr>
          <w:p w14:paraId="30CAA0C6"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18</w:t>
            </w:r>
          </w:p>
        </w:tc>
        <w:tc>
          <w:tcPr>
            <w:tcW w:w="421" w:type="pct"/>
            <w:tcBorders>
              <w:top w:val="single" w:sz="4" w:space="0" w:color="auto"/>
            </w:tcBorders>
            <w:vAlign w:val="bottom"/>
            <w:hideMark/>
          </w:tcPr>
          <w:p w14:paraId="688692CF"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17</w:t>
            </w:r>
          </w:p>
        </w:tc>
        <w:tc>
          <w:tcPr>
            <w:tcW w:w="421" w:type="pct"/>
            <w:tcBorders>
              <w:top w:val="single" w:sz="4" w:space="0" w:color="auto"/>
            </w:tcBorders>
            <w:vAlign w:val="bottom"/>
            <w:hideMark/>
          </w:tcPr>
          <w:p w14:paraId="0DBB08F6"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17</w:t>
            </w:r>
          </w:p>
        </w:tc>
        <w:tc>
          <w:tcPr>
            <w:tcW w:w="421" w:type="pct"/>
            <w:tcBorders>
              <w:top w:val="single" w:sz="4" w:space="0" w:color="auto"/>
            </w:tcBorders>
            <w:vAlign w:val="bottom"/>
            <w:hideMark/>
          </w:tcPr>
          <w:p w14:paraId="5B537F36"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17</w:t>
            </w:r>
          </w:p>
        </w:tc>
        <w:tc>
          <w:tcPr>
            <w:tcW w:w="421" w:type="pct"/>
            <w:tcBorders>
              <w:top w:val="single" w:sz="4" w:space="0" w:color="auto"/>
            </w:tcBorders>
            <w:vAlign w:val="bottom"/>
            <w:hideMark/>
          </w:tcPr>
          <w:p w14:paraId="2D441D26" w14:textId="77777777" w:rsidR="008551D4" w:rsidRPr="006C15C9" w:rsidRDefault="008551D4" w:rsidP="0049295C">
            <w:pPr>
              <w:spacing w:after="0" w:line="276" w:lineRule="auto"/>
              <w:jc w:val="right"/>
              <w:rPr>
                <w:rFonts w:ascii="Times New Roman" w:hAnsi="Times New Roman"/>
                <w:sz w:val="18"/>
                <w:szCs w:val="18"/>
              </w:rPr>
            </w:pPr>
            <w:r w:rsidRPr="006C15C9">
              <w:rPr>
                <w:rFonts w:ascii="Times New Roman" w:hAnsi="Times New Roman"/>
                <w:sz w:val="18"/>
                <w:szCs w:val="18"/>
              </w:rPr>
              <w:t>17</w:t>
            </w:r>
          </w:p>
        </w:tc>
        <w:tc>
          <w:tcPr>
            <w:tcW w:w="421" w:type="pct"/>
            <w:tcBorders>
              <w:top w:val="single" w:sz="4" w:space="0" w:color="auto"/>
            </w:tcBorders>
            <w:vAlign w:val="bottom"/>
          </w:tcPr>
          <w:p w14:paraId="291F0F2D" w14:textId="77777777" w:rsidR="008551D4" w:rsidRPr="006C15C9" w:rsidRDefault="003F334F" w:rsidP="0049295C">
            <w:pPr>
              <w:spacing w:after="0" w:line="276" w:lineRule="auto"/>
              <w:jc w:val="right"/>
              <w:rPr>
                <w:rFonts w:ascii="Times New Roman" w:hAnsi="Times New Roman"/>
                <w:sz w:val="18"/>
                <w:szCs w:val="18"/>
              </w:rPr>
            </w:pPr>
            <w:r>
              <w:rPr>
                <w:rFonts w:ascii="Times New Roman" w:hAnsi="Times New Roman"/>
                <w:sz w:val="18"/>
                <w:szCs w:val="18"/>
              </w:rPr>
              <w:t>17</w:t>
            </w:r>
          </w:p>
        </w:tc>
      </w:tr>
      <w:tr w:rsidR="008551D4" w:rsidRPr="006C15C9" w14:paraId="4FBF3D27" w14:textId="77777777" w:rsidTr="0049295C">
        <w:trPr>
          <w:trHeight w:val="241"/>
        </w:trPr>
        <w:tc>
          <w:tcPr>
            <w:tcW w:w="712" w:type="pct"/>
            <w:noWrap/>
            <w:vAlign w:val="bottom"/>
            <w:hideMark/>
          </w:tcPr>
          <w:p w14:paraId="3F806168" w14:textId="77777777" w:rsidR="008551D4" w:rsidRPr="006C15C9" w:rsidRDefault="008551D4" w:rsidP="0049295C">
            <w:pPr>
              <w:spacing w:after="0" w:line="276" w:lineRule="auto"/>
              <w:ind w:firstLineChars="100" w:firstLine="186"/>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Menn</w:t>
            </w:r>
          </w:p>
        </w:tc>
        <w:tc>
          <w:tcPr>
            <w:tcW w:w="498" w:type="pct"/>
            <w:noWrap/>
            <w:vAlign w:val="bottom"/>
            <w:hideMark/>
          </w:tcPr>
          <w:p w14:paraId="3B25AC05"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14</w:t>
            </w:r>
          </w:p>
        </w:tc>
        <w:tc>
          <w:tcPr>
            <w:tcW w:w="421" w:type="pct"/>
            <w:noWrap/>
            <w:vAlign w:val="bottom"/>
            <w:hideMark/>
          </w:tcPr>
          <w:p w14:paraId="2F452278"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14</w:t>
            </w:r>
          </w:p>
        </w:tc>
        <w:tc>
          <w:tcPr>
            <w:tcW w:w="421" w:type="pct"/>
            <w:noWrap/>
            <w:vAlign w:val="bottom"/>
            <w:hideMark/>
          </w:tcPr>
          <w:p w14:paraId="0A482998"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15</w:t>
            </w:r>
          </w:p>
        </w:tc>
        <w:tc>
          <w:tcPr>
            <w:tcW w:w="421" w:type="pct"/>
            <w:noWrap/>
            <w:vAlign w:val="bottom"/>
            <w:hideMark/>
          </w:tcPr>
          <w:p w14:paraId="0D705116"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15</w:t>
            </w:r>
          </w:p>
        </w:tc>
        <w:tc>
          <w:tcPr>
            <w:tcW w:w="421" w:type="pct"/>
            <w:vAlign w:val="bottom"/>
            <w:hideMark/>
          </w:tcPr>
          <w:p w14:paraId="28E37A8E"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16</w:t>
            </w:r>
          </w:p>
        </w:tc>
        <w:tc>
          <w:tcPr>
            <w:tcW w:w="421" w:type="pct"/>
            <w:vAlign w:val="bottom"/>
            <w:hideMark/>
          </w:tcPr>
          <w:p w14:paraId="39E170F4"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15</w:t>
            </w:r>
          </w:p>
        </w:tc>
        <w:tc>
          <w:tcPr>
            <w:tcW w:w="421" w:type="pct"/>
            <w:vAlign w:val="bottom"/>
            <w:hideMark/>
          </w:tcPr>
          <w:p w14:paraId="18B7128A"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15</w:t>
            </w:r>
          </w:p>
        </w:tc>
        <w:tc>
          <w:tcPr>
            <w:tcW w:w="421" w:type="pct"/>
            <w:vAlign w:val="bottom"/>
            <w:hideMark/>
          </w:tcPr>
          <w:p w14:paraId="424F0010"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16</w:t>
            </w:r>
          </w:p>
        </w:tc>
        <w:tc>
          <w:tcPr>
            <w:tcW w:w="421" w:type="pct"/>
            <w:vAlign w:val="bottom"/>
            <w:hideMark/>
          </w:tcPr>
          <w:p w14:paraId="6BC24E09" w14:textId="77777777" w:rsidR="008551D4" w:rsidRPr="006C15C9" w:rsidRDefault="008551D4" w:rsidP="0049295C">
            <w:pPr>
              <w:spacing w:after="0" w:line="276" w:lineRule="auto"/>
              <w:jc w:val="right"/>
              <w:rPr>
                <w:rFonts w:ascii="Times New Roman" w:hAnsi="Times New Roman"/>
                <w:sz w:val="18"/>
                <w:szCs w:val="18"/>
              </w:rPr>
            </w:pPr>
            <w:r w:rsidRPr="006C15C9">
              <w:rPr>
                <w:rFonts w:ascii="Times New Roman" w:hAnsi="Times New Roman"/>
                <w:sz w:val="18"/>
                <w:szCs w:val="18"/>
              </w:rPr>
              <w:t>16</w:t>
            </w:r>
          </w:p>
        </w:tc>
        <w:tc>
          <w:tcPr>
            <w:tcW w:w="421" w:type="pct"/>
            <w:vAlign w:val="bottom"/>
          </w:tcPr>
          <w:p w14:paraId="1838A283" w14:textId="77777777" w:rsidR="008551D4" w:rsidRPr="006C15C9" w:rsidRDefault="003F334F" w:rsidP="0049295C">
            <w:pPr>
              <w:spacing w:after="0" w:line="276" w:lineRule="auto"/>
              <w:jc w:val="right"/>
              <w:rPr>
                <w:rFonts w:ascii="Times New Roman" w:hAnsi="Times New Roman"/>
                <w:sz w:val="18"/>
                <w:szCs w:val="18"/>
              </w:rPr>
            </w:pPr>
            <w:r>
              <w:rPr>
                <w:rFonts w:ascii="Times New Roman" w:hAnsi="Times New Roman"/>
                <w:sz w:val="18"/>
                <w:szCs w:val="18"/>
              </w:rPr>
              <w:t>16</w:t>
            </w:r>
          </w:p>
        </w:tc>
      </w:tr>
      <w:tr w:rsidR="008551D4" w:rsidRPr="006C15C9" w14:paraId="2F0E6139" w14:textId="77777777" w:rsidTr="0049295C">
        <w:trPr>
          <w:trHeight w:val="257"/>
        </w:trPr>
        <w:tc>
          <w:tcPr>
            <w:tcW w:w="712" w:type="pct"/>
            <w:tcBorders>
              <w:bottom w:val="single" w:sz="4" w:space="0" w:color="auto"/>
            </w:tcBorders>
            <w:noWrap/>
            <w:vAlign w:val="bottom"/>
            <w:hideMark/>
          </w:tcPr>
          <w:p w14:paraId="7699D888" w14:textId="77777777" w:rsidR="008551D4" w:rsidRPr="006C15C9" w:rsidRDefault="008551D4" w:rsidP="0049295C">
            <w:pPr>
              <w:spacing w:after="0" w:line="276" w:lineRule="auto"/>
              <w:ind w:firstLineChars="100" w:firstLine="186"/>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Kvinner</w:t>
            </w:r>
          </w:p>
        </w:tc>
        <w:tc>
          <w:tcPr>
            <w:tcW w:w="498" w:type="pct"/>
            <w:tcBorders>
              <w:bottom w:val="single" w:sz="4" w:space="0" w:color="auto"/>
            </w:tcBorders>
            <w:noWrap/>
            <w:vAlign w:val="bottom"/>
            <w:hideMark/>
          </w:tcPr>
          <w:p w14:paraId="0714D1AC"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22</w:t>
            </w:r>
          </w:p>
        </w:tc>
        <w:tc>
          <w:tcPr>
            <w:tcW w:w="421" w:type="pct"/>
            <w:tcBorders>
              <w:bottom w:val="single" w:sz="4" w:space="0" w:color="auto"/>
            </w:tcBorders>
            <w:noWrap/>
            <w:vAlign w:val="bottom"/>
            <w:hideMark/>
          </w:tcPr>
          <w:p w14:paraId="44BC5521"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21</w:t>
            </w:r>
          </w:p>
        </w:tc>
        <w:tc>
          <w:tcPr>
            <w:tcW w:w="421" w:type="pct"/>
            <w:tcBorders>
              <w:bottom w:val="single" w:sz="4" w:space="0" w:color="auto"/>
            </w:tcBorders>
            <w:noWrap/>
            <w:vAlign w:val="bottom"/>
            <w:hideMark/>
          </w:tcPr>
          <w:p w14:paraId="081A9BD3"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22</w:t>
            </w:r>
          </w:p>
        </w:tc>
        <w:tc>
          <w:tcPr>
            <w:tcW w:w="421" w:type="pct"/>
            <w:tcBorders>
              <w:bottom w:val="single" w:sz="4" w:space="0" w:color="auto"/>
            </w:tcBorders>
            <w:noWrap/>
            <w:vAlign w:val="bottom"/>
            <w:hideMark/>
          </w:tcPr>
          <w:p w14:paraId="7FD8900A"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21</w:t>
            </w:r>
          </w:p>
        </w:tc>
        <w:tc>
          <w:tcPr>
            <w:tcW w:w="421" w:type="pct"/>
            <w:tcBorders>
              <w:bottom w:val="single" w:sz="4" w:space="0" w:color="auto"/>
            </w:tcBorders>
            <w:vAlign w:val="bottom"/>
            <w:hideMark/>
          </w:tcPr>
          <w:p w14:paraId="321ADE26"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21</w:t>
            </w:r>
          </w:p>
        </w:tc>
        <w:tc>
          <w:tcPr>
            <w:tcW w:w="421" w:type="pct"/>
            <w:tcBorders>
              <w:bottom w:val="single" w:sz="4" w:space="0" w:color="auto"/>
            </w:tcBorders>
            <w:vAlign w:val="bottom"/>
            <w:hideMark/>
          </w:tcPr>
          <w:p w14:paraId="4BC91DDD"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21</w:t>
            </w:r>
          </w:p>
        </w:tc>
        <w:tc>
          <w:tcPr>
            <w:tcW w:w="421" w:type="pct"/>
            <w:tcBorders>
              <w:bottom w:val="single" w:sz="4" w:space="0" w:color="auto"/>
            </w:tcBorders>
            <w:vAlign w:val="bottom"/>
            <w:hideMark/>
          </w:tcPr>
          <w:p w14:paraId="7D8B7AC0"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20</w:t>
            </w:r>
          </w:p>
        </w:tc>
        <w:tc>
          <w:tcPr>
            <w:tcW w:w="421" w:type="pct"/>
            <w:tcBorders>
              <w:bottom w:val="single" w:sz="4" w:space="0" w:color="auto"/>
            </w:tcBorders>
            <w:vAlign w:val="bottom"/>
            <w:hideMark/>
          </w:tcPr>
          <w:p w14:paraId="6AF1254A"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19</w:t>
            </w:r>
          </w:p>
        </w:tc>
        <w:tc>
          <w:tcPr>
            <w:tcW w:w="421" w:type="pct"/>
            <w:tcBorders>
              <w:bottom w:val="single" w:sz="4" w:space="0" w:color="auto"/>
            </w:tcBorders>
            <w:vAlign w:val="bottom"/>
            <w:hideMark/>
          </w:tcPr>
          <w:p w14:paraId="4030665E" w14:textId="77777777" w:rsidR="008551D4" w:rsidRPr="006C15C9" w:rsidRDefault="008551D4" w:rsidP="0049295C">
            <w:pPr>
              <w:spacing w:after="0" w:line="276" w:lineRule="auto"/>
              <w:jc w:val="right"/>
              <w:rPr>
                <w:rFonts w:ascii="Times New Roman" w:hAnsi="Times New Roman"/>
                <w:sz w:val="18"/>
                <w:szCs w:val="18"/>
              </w:rPr>
            </w:pPr>
            <w:r w:rsidRPr="006C15C9">
              <w:rPr>
                <w:rFonts w:ascii="Times New Roman" w:hAnsi="Times New Roman"/>
                <w:sz w:val="18"/>
                <w:szCs w:val="18"/>
              </w:rPr>
              <w:t>19</w:t>
            </w:r>
          </w:p>
        </w:tc>
        <w:tc>
          <w:tcPr>
            <w:tcW w:w="421" w:type="pct"/>
            <w:tcBorders>
              <w:bottom w:val="single" w:sz="4" w:space="0" w:color="auto"/>
            </w:tcBorders>
            <w:vAlign w:val="bottom"/>
          </w:tcPr>
          <w:p w14:paraId="1BD3FFF0" w14:textId="77777777" w:rsidR="008551D4" w:rsidRPr="006C15C9" w:rsidRDefault="003F334F" w:rsidP="0049295C">
            <w:pPr>
              <w:spacing w:after="0" w:line="276" w:lineRule="auto"/>
              <w:jc w:val="right"/>
              <w:rPr>
                <w:rFonts w:ascii="Times New Roman" w:hAnsi="Times New Roman"/>
                <w:sz w:val="18"/>
                <w:szCs w:val="18"/>
              </w:rPr>
            </w:pPr>
            <w:r>
              <w:rPr>
                <w:rFonts w:ascii="Times New Roman" w:hAnsi="Times New Roman"/>
                <w:sz w:val="18"/>
                <w:szCs w:val="18"/>
              </w:rPr>
              <w:t>20</w:t>
            </w:r>
          </w:p>
        </w:tc>
      </w:tr>
      <w:tr w:rsidR="008551D4" w:rsidRPr="006C15C9" w14:paraId="273CF1DF" w14:textId="77777777" w:rsidTr="0049295C">
        <w:trPr>
          <w:trHeight w:val="286"/>
        </w:trPr>
        <w:tc>
          <w:tcPr>
            <w:tcW w:w="712" w:type="pct"/>
            <w:tcBorders>
              <w:top w:val="single" w:sz="4" w:space="0" w:color="auto"/>
              <w:bottom w:val="single" w:sz="4" w:space="0" w:color="auto"/>
            </w:tcBorders>
            <w:noWrap/>
            <w:vAlign w:val="bottom"/>
            <w:hideMark/>
          </w:tcPr>
          <w:p w14:paraId="55B482AD" w14:textId="77777777" w:rsidR="008551D4" w:rsidRPr="006C15C9" w:rsidRDefault="008551D4" w:rsidP="0049295C">
            <w:pPr>
              <w:spacing w:after="0" w:line="276" w:lineRule="auto"/>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Lavtlønnsnivå</w:t>
            </w:r>
            <w:r w:rsidRPr="006C15C9">
              <w:rPr>
                <w:rFonts w:ascii="Times New Roman" w:eastAsia="Times New Roman" w:hAnsi="Times New Roman"/>
                <w:spacing w:val="6"/>
                <w:sz w:val="18"/>
                <w:szCs w:val="18"/>
                <w:vertAlign w:val="superscript"/>
              </w:rPr>
              <w:t>1</w:t>
            </w:r>
          </w:p>
        </w:tc>
        <w:tc>
          <w:tcPr>
            <w:tcW w:w="498" w:type="pct"/>
            <w:tcBorders>
              <w:top w:val="single" w:sz="4" w:space="0" w:color="auto"/>
              <w:bottom w:val="single" w:sz="4" w:space="0" w:color="auto"/>
            </w:tcBorders>
            <w:noWrap/>
            <w:vAlign w:val="bottom"/>
            <w:hideMark/>
          </w:tcPr>
          <w:p w14:paraId="0905FED1"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260 600</w:t>
            </w:r>
          </w:p>
        </w:tc>
        <w:tc>
          <w:tcPr>
            <w:tcW w:w="421" w:type="pct"/>
            <w:tcBorders>
              <w:top w:val="single" w:sz="4" w:space="0" w:color="auto"/>
              <w:bottom w:val="single" w:sz="4" w:space="0" w:color="auto"/>
            </w:tcBorders>
            <w:noWrap/>
            <w:vAlign w:val="bottom"/>
            <w:hideMark/>
          </w:tcPr>
          <w:p w14:paraId="460D54D8"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270 100</w:t>
            </w:r>
          </w:p>
        </w:tc>
        <w:tc>
          <w:tcPr>
            <w:tcW w:w="421" w:type="pct"/>
            <w:tcBorders>
              <w:top w:val="single" w:sz="4" w:space="0" w:color="auto"/>
              <w:bottom w:val="single" w:sz="4" w:space="0" w:color="auto"/>
            </w:tcBorders>
            <w:noWrap/>
            <w:vAlign w:val="bottom"/>
            <w:hideMark/>
          </w:tcPr>
          <w:p w14:paraId="087CAFCC"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284 600</w:t>
            </w:r>
          </w:p>
        </w:tc>
        <w:tc>
          <w:tcPr>
            <w:tcW w:w="421" w:type="pct"/>
            <w:tcBorders>
              <w:top w:val="single" w:sz="4" w:space="0" w:color="auto"/>
              <w:bottom w:val="single" w:sz="4" w:space="0" w:color="auto"/>
            </w:tcBorders>
            <w:noWrap/>
            <w:vAlign w:val="bottom"/>
            <w:hideMark/>
          </w:tcPr>
          <w:p w14:paraId="3270E9F8"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301 200</w:t>
            </w:r>
          </w:p>
        </w:tc>
        <w:tc>
          <w:tcPr>
            <w:tcW w:w="421" w:type="pct"/>
            <w:tcBorders>
              <w:top w:val="single" w:sz="4" w:space="0" w:color="auto"/>
              <w:bottom w:val="single" w:sz="4" w:space="0" w:color="auto"/>
            </w:tcBorders>
            <w:vAlign w:val="bottom"/>
            <w:hideMark/>
          </w:tcPr>
          <w:p w14:paraId="30CCA629"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312 300</w:t>
            </w:r>
          </w:p>
        </w:tc>
        <w:tc>
          <w:tcPr>
            <w:tcW w:w="421" w:type="pct"/>
            <w:tcBorders>
              <w:top w:val="single" w:sz="4" w:space="0" w:color="auto"/>
              <w:bottom w:val="single" w:sz="4" w:space="0" w:color="auto"/>
            </w:tcBorders>
            <w:vAlign w:val="bottom"/>
            <w:hideMark/>
          </w:tcPr>
          <w:p w14:paraId="360F4F48"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321 800</w:t>
            </w:r>
          </w:p>
        </w:tc>
        <w:tc>
          <w:tcPr>
            <w:tcW w:w="421" w:type="pct"/>
            <w:tcBorders>
              <w:top w:val="single" w:sz="4" w:space="0" w:color="auto"/>
              <w:bottom w:val="single" w:sz="4" w:space="0" w:color="auto"/>
            </w:tcBorders>
            <w:vAlign w:val="bottom"/>
            <w:hideMark/>
          </w:tcPr>
          <w:p w14:paraId="04615593"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332 900</w:t>
            </w:r>
          </w:p>
        </w:tc>
        <w:tc>
          <w:tcPr>
            <w:tcW w:w="421" w:type="pct"/>
            <w:tcBorders>
              <w:top w:val="single" w:sz="4" w:space="0" w:color="auto"/>
              <w:bottom w:val="single" w:sz="4" w:space="0" w:color="auto"/>
            </w:tcBorders>
            <w:vAlign w:val="bottom"/>
            <w:hideMark/>
          </w:tcPr>
          <w:p w14:paraId="251CA8C5"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345 400</w:t>
            </w:r>
          </w:p>
        </w:tc>
        <w:tc>
          <w:tcPr>
            <w:tcW w:w="421" w:type="pct"/>
            <w:tcBorders>
              <w:top w:val="single" w:sz="4" w:space="0" w:color="auto"/>
              <w:bottom w:val="single" w:sz="4" w:space="0" w:color="auto"/>
            </w:tcBorders>
            <w:vAlign w:val="bottom"/>
            <w:hideMark/>
          </w:tcPr>
          <w:p w14:paraId="5783422A" w14:textId="77777777" w:rsidR="008551D4" w:rsidRPr="006C15C9" w:rsidRDefault="008551D4"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356 800</w:t>
            </w:r>
          </w:p>
        </w:tc>
        <w:tc>
          <w:tcPr>
            <w:tcW w:w="421" w:type="pct"/>
            <w:tcBorders>
              <w:top w:val="single" w:sz="4" w:space="0" w:color="auto"/>
              <w:bottom w:val="single" w:sz="4" w:space="0" w:color="auto"/>
            </w:tcBorders>
            <w:vAlign w:val="bottom"/>
          </w:tcPr>
          <w:p w14:paraId="618E32BA" w14:textId="77777777" w:rsidR="008551D4" w:rsidRPr="006C15C9" w:rsidRDefault="0049295C" w:rsidP="0049295C">
            <w:pPr>
              <w:spacing w:after="0" w:line="276" w:lineRule="auto"/>
              <w:jc w:val="right"/>
              <w:rPr>
                <w:rFonts w:ascii="Times New Roman" w:eastAsia="Times New Roman" w:hAnsi="Times New Roman"/>
                <w:spacing w:val="6"/>
                <w:sz w:val="18"/>
                <w:szCs w:val="18"/>
              </w:rPr>
            </w:pPr>
            <w:r>
              <w:rPr>
                <w:rFonts w:ascii="Times New Roman" w:eastAsia="Times New Roman" w:hAnsi="Times New Roman"/>
                <w:spacing w:val="6"/>
                <w:sz w:val="18"/>
                <w:szCs w:val="18"/>
              </w:rPr>
              <w:t>366 400</w:t>
            </w:r>
          </w:p>
        </w:tc>
      </w:tr>
      <w:tr w:rsidR="0049295C" w:rsidRPr="006C15C9" w14:paraId="2E61827B" w14:textId="77777777" w:rsidTr="0049295C">
        <w:trPr>
          <w:trHeight w:val="271"/>
        </w:trPr>
        <w:tc>
          <w:tcPr>
            <w:tcW w:w="712" w:type="pct"/>
            <w:tcBorders>
              <w:top w:val="single" w:sz="4" w:space="0" w:color="auto"/>
              <w:bottom w:val="nil"/>
            </w:tcBorders>
            <w:noWrap/>
            <w:vAlign w:val="bottom"/>
            <w:hideMark/>
          </w:tcPr>
          <w:p w14:paraId="6817CBDB" w14:textId="77777777" w:rsidR="0049295C" w:rsidRPr="006C15C9" w:rsidRDefault="0049295C" w:rsidP="0049295C">
            <w:pPr>
              <w:spacing w:after="0" w:line="276" w:lineRule="auto"/>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Gj. sn. årslønn, alle</w:t>
            </w:r>
            <w:r w:rsidRPr="006C15C9">
              <w:rPr>
                <w:rFonts w:ascii="Times New Roman" w:eastAsia="Times New Roman" w:hAnsi="Times New Roman"/>
                <w:spacing w:val="6"/>
                <w:sz w:val="18"/>
                <w:szCs w:val="18"/>
                <w:vertAlign w:val="superscript"/>
              </w:rPr>
              <w:t>3</w:t>
            </w:r>
          </w:p>
        </w:tc>
        <w:tc>
          <w:tcPr>
            <w:tcW w:w="498" w:type="pct"/>
            <w:tcBorders>
              <w:top w:val="single" w:sz="4" w:space="0" w:color="auto"/>
              <w:bottom w:val="nil"/>
            </w:tcBorders>
            <w:noWrap/>
            <w:vAlign w:val="bottom"/>
            <w:hideMark/>
          </w:tcPr>
          <w:p w14:paraId="73F47436"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361 700</w:t>
            </w:r>
          </w:p>
        </w:tc>
        <w:tc>
          <w:tcPr>
            <w:tcW w:w="421" w:type="pct"/>
            <w:tcBorders>
              <w:top w:val="single" w:sz="4" w:space="0" w:color="auto"/>
              <w:bottom w:val="nil"/>
            </w:tcBorders>
            <w:noWrap/>
            <w:vAlign w:val="bottom"/>
            <w:hideMark/>
          </w:tcPr>
          <w:p w14:paraId="041B2BCA"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378 700</w:t>
            </w:r>
          </w:p>
        </w:tc>
        <w:tc>
          <w:tcPr>
            <w:tcW w:w="421" w:type="pct"/>
            <w:tcBorders>
              <w:top w:val="single" w:sz="4" w:space="0" w:color="auto"/>
              <w:bottom w:val="nil"/>
            </w:tcBorders>
            <w:noWrap/>
            <w:vAlign w:val="bottom"/>
            <w:hideMark/>
          </w:tcPr>
          <w:p w14:paraId="216B94B7" w14:textId="77777777" w:rsidR="0049295C" w:rsidRPr="006C15C9" w:rsidRDefault="0049295C" w:rsidP="0049295C">
            <w:pPr>
              <w:spacing w:after="0" w:line="276" w:lineRule="auto"/>
              <w:jc w:val="center"/>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400 600</w:t>
            </w:r>
          </w:p>
        </w:tc>
        <w:tc>
          <w:tcPr>
            <w:tcW w:w="421" w:type="pct"/>
            <w:tcBorders>
              <w:top w:val="single" w:sz="4" w:space="0" w:color="auto"/>
              <w:bottom w:val="nil"/>
            </w:tcBorders>
            <w:noWrap/>
            <w:vAlign w:val="bottom"/>
            <w:hideMark/>
          </w:tcPr>
          <w:p w14:paraId="3734EA07"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424 800</w:t>
            </w:r>
          </w:p>
        </w:tc>
        <w:tc>
          <w:tcPr>
            <w:tcW w:w="421" w:type="pct"/>
            <w:tcBorders>
              <w:top w:val="single" w:sz="4" w:space="0" w:color="auto"/>
              <w:bottom w:val="nil"/>
            </w:tcBorders>
            <w:vAlign w:val="bottom"/>
            <w:hideMark/>
          </w:tcPr>
          <w:p w14:paraId="0402D534"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439 000</w:t>
            </w:r>
          </w:p>
        </w:tc>
        <w:tc>
          <w:tcPr>
            <w:tcW w:w="421" w:type="pct"/>
            <w:tcBorders>
              <w:top w:val="single" w:sz="4" w:space="0" w:color="auto"/>
              <w:bottom w:val="nil"/>
            </w:tcBorders>
            <w:vAlign w:val="bottom"/>
            <w:hideMark/>
          </w:tcPr>
          <w:p w14:paraId="7BB9EA61"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456 800</w:t>
            </w:r>
          </w:p>
        </w:tc>
        <w:tc>
          <w:tcPr>
            <w:tcW w:w="421" w:type="pct"/>
            <w:tcBorders>
              <w:top w:val="single" w:sz="4" w:space="0" w:color="auto"/>
              <w:bottom w:val="nil"/>
            </w:tcBorders>
            <w:vAlign w:val="bottom"/>
            <w:hideMark/>
          </w:tcPr>
          <w:p w14:paraId="266177D0"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474 900</w:t>
            </w:r>
          </w:p>
        </w:tc>
        <w:tc>
          <w:tcPr>
            <w:tcW w:w="421" w:type="pct"/>
            <w:tcBorders>
              <w:top w:val="single" w:sz="4" w:space="0" w:color="auto"/>
              <w:bottom w:val="nil"/>
            </w:tcBorders>
            <w:vAlign w:val="bottom"/>
            <w:hideMark/>
          </w:tcPr>
          <w:p w14:paraId="043E21AF"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491 700</w:t>
            </w:r>
          </w:p>
        </w:tc>
        <w:tc>
          <w:tcPr>
            <w:tcW w:w="421" w:type="pct"/>
            <w:tcBorders>
              <w:top w:val="single" w:sz="4" w:space="0" w:color="auto"/>
              <w:bottom w:val="nil"/>
            </w:tcBorders>
            <w:vAlign w:val="bottom"/>
            <w:hideMark/>
          </w:tcPr>
          <w:p w14:paraId="5E9EF61D"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 xml:space="preserve">510 200 </w:t>
            </w:r>
          </w:p>
        </w:tc>
        <w:tc>
          <w:tcPr>
            <w:tcW w:w="421" w:type="pct"/>
            <w:tcBorders>
              <w:top w:val="single" w:sz="4" w:space="0" w:color="auto"/>
              <w:bottom w:val="nil"/>
            </w:tcBorders>
            <w:vAlign w:val="bottom"/>
          </w:tcPr>
          <w:p w14:paraId="13549193" w14:textId="77777777" w:rsidR="0049295C" w:rsidRPr="003F334F" w:rsidRDefault="0049295C" w:rsidP="003F334F">
            <w:pPr>
              <w:spacing w:after="0" w:line="276" w:lineRule="auto"/>
              <w:jc w:val="right"/>
              <w:rPr>
                <w:rFonts w:ascii="Times New Roman" w:eastAsia="Times New Roman" w:hAnsi="Times New Roman"/>
                <w:spacing w:val="6"/>
                <w:sz w:val="18"/>
                <w:szCs w:val="18"/>
              </w:rPr>
            </w:pPr>
            <w:r w:rsidRPr="003F334F">
              <w:rPr>
                <w:rFonts w:ascii="Times New Roman" w:eastAsia="Times New Roman" w:hAnsi="Times New Roman"/>
                <w:spacing w:val="6"/>
                <w:sz w:val="18"/>
                <w:szCs w:val="18"/>
              </w:rPr>
              <w:t xml:space="preserve"> 525 200 </w:t>
            </w:r>
          </w:p>
        </w:tc>
      </w:tr>
      <w:tr w:rsidR="0049295C" w:rsidRPr="006C15C9" w14:paraId="2EAB88A8" w14:textId="77777777" w:rsidTr="0049295C">
        <w:trPr>
          <w:trHeight w:val="257"/>
        </w:trPr>
        <w:tc>
          <w:tcPr>
            <w:tcW w:w="712" w:type="pct"/>
            <w:tcBorders>
              <w:top w:val="nil"/>
            </w:tcBorders>
            <w:noWrap/>
            <w:vAlign w:val="bottom"/>
            <w:hideMark/>
          </w:tcPr>
          <w:p w14:paraId="6DD7667F" w14:textId="77777777" w:rsidR="0049295C" w:rsidRPr="006C15C9" w:rsidRDefault="0049295C" w:rsidP="0049295C">
            <w:pPr>
              <w:spacing w:after="0" w:line="276" w:lineRule="auto"/>
              <w:rPr>
                <w:rFonts w:ascii="Times New Roman" w:eastAsia="Times New Roman" w:hAnsi="Times New Roman"/>
                <w:spacing w:val="6"/>
                <w:sz w:val="18"/>
                <w:szCs w:val="18"/>
              </w:rPr>
            </w:pPr>
            <w:r>
              <w:rPr>
                <w:rFonts w:ascii="Times New Roman" w:eastAsia="Times New Roman" w:hAnsi="Times New Roman"/>
                <w:spacing w:val="6"/>
                <w:sz w:val="18"/>
                <w:szCs w:val="18"/>
              </w:rPr>
              <w:t xml:space="preserve">Median årslønn, </w:t>
            </w:r>
            <w:r w:rsidRPr="006C15C9">
              <w:rPr>
                <w:rFonts w:ascii="Times New Roman" w:eastAsia="Times New Roman" w:hAnsi="Times New Roman"/>
                <w:spacing w:val="6"/>
                <w:sz w:val="18"/>
                <w:szCs w:val="18"/>
              </w:rPr>
              <w:t>alle</w:t>
            </w:r>
          </w:p>
        </w:tc>
        <w:tc>
          <w:tcPr>
            <w:tcW w:w="498" w:type="pct"/>
            <w:tcBorders>
              <w:top w:val="nil"/>
            </w:tcBorders>
            <w:noWrap/>
            <w:vAlign w:val="bottom"/>
            <w:hideMark/>
          </w:tcPr>
          <w:p w14:paraId="7B8410B7"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325 000</w:t>
            </w:r>
          </w:p>
        </w:tc>
        <w:tc>
          <w:tcPr>
            <w:tcW w:w="421" w:type="pct"/>
            <w:tcBorders>
              <w:top w:val="nil"/>
            </w:tcBorders>
            <w:noWrap/>
            <w:vAlign w:val="bottom"/>
            <w:hideMark/>
          </w:tcPr>
          <w:p w14:paraId="148242FB"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339 500</w:t>
            </w:r>
          </w:p>
        </w:tc>
        <w:tc>
          <w:tcPr>
            <w:tcW w:w="421" w:type="pct"/>
            <w:tcBorders>
              <w:top w:val="nil"/>
            </w:tcBorders>
            <w:noWrap/>
            <w:vAlign w:val="bottom"/>
            <w:hideMark/>
          </w:tcPr>
          <w:p w14:paraId="64504C75"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360 000</w:t>
            </w:r>
          </w:p>
        </w:tc>
        <w:tc>
          <w:tcPr>
            <w:tcW w:w="421" w:type="pct"/>
            <w:tcBorders>
              <w:top w:val="nil"/>
            </w:tcBorders>
            <w:noWrap/>
            <w:vAlign w:val="bottom"/>
            <w:hideMark/>
          </w:tcPr>
          <w:p w14:paraId="779203F6"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381 500</w:t>
            </w:r>
          </w:p>
        </w:tc>
        <w:tc>
          <w:tcPr>
            <w:tcW w:w="421" w:type="pct"/>
            <w:tcBorders>
              <w:top w:val="nil"/>
            </w:tcBorders>
            <w:vAlign w:val="bottom"/>
            <w:hideMark/>
          </w:tcPr>
          <w:p w14:paraId="37AEDDF1"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394 300</w:t>
            </w:r>
          </w:p>
        </w:tc>
        <w:tc>
          <w:tcPr>
            <w:tcW w:w="421" w:type="pct"/>
            <w:tcBorders>
              <w:top w:val="nil"/>
            </w:tcBorders>
            <w:vAlign w:val="bottom"/>
            <w:hideMark/>
          </w:tcPr>
          <w:p w14:paraId="4A853DD8"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410 400</w:t>
            </w:r>
          </w:p>
        </w:tc>
        <w:tc>
          <w:tcPr>
            <w:tcW w:w="421" w:type="pct"/>
            <w:tcBorders>
              <w:top w:val="nil"/>
            </w:tcBorders>
            <w:vAlign w:val="bottom"/>
            <w:hideMark/>
          </w:tcPr>
          <w:p w14:paraId="74A25265"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425 000</w:t>
            </w:r>
          </w:p>
        </w:tc>
        <w:tc>
          <w:tcPr>
            <w:tcW w:w="421" w:type="pct"/>
            <w:tcBorders>
              <w:top w:val="nil"/>
            </w:tcBorders>
            <w:vAlign w:val="bottom"/>
            <w:hideMark/>
          </w:tcPr>
          <w:p w14:paraId="123FDF1C"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442 000</w:t>
            </w:r>
          </w:p>
        </w:tc>
        <w:tc>
          <w:tcPr>
            <w:tcW w:w="421" w:type="pct"/>
            <w:tcBorders>
              <w:top w:val="nil"/>
            </w:tcBorders>
            <w:vAlign w:val="bottom"/>
            <w:hideMark/>
          </w:tcPr>
          <w:p w14:paraId="375EF6BC" w14:textId="77777777" w:rsidR="0049295C" w:rsidRPr="006C15C9" w:rsidRDefault="0049295C" w:rsidP="0049295C">
            <w:pPr>
              <w:spacing w:after="0" w:line="276" w:lineRule="auto"/>
              <w:jc w:val="right"/>
              <w:rPr>
                <w:rFonts w:ascii="Times New Roman" w:eastAsia="Times New Roman" w:hAnsi="Times New Roman"/>
                <w:spacing w:val="6"/>
                <w:sz w:val="18"/>
                <w:szCs w:val="18"/>
              </w:rPr>
            </w:pPr>
            <w:r w:rsidRPr="006C15C9">
              <w:rPr>
                <w:rFonts w:ascii="Times New Roman" w:eastAsia="Times New Roman" w:hAnsi="Times New Roman"/>
                <w:spacing w:val="6"/>
                <w:sz w:val="18"/>
                <w:szCs w:val="18"/>
              </w:rPr>
              <w:t xml:space="preserve">457 300 </w:t>
            </w:r>
          </w:p>
        </w:tc>
        <w:tc>
          <w:tcPr>
            <w:tcW w:w="421" w:type="pct"/>
            <w:tcBorders>
              <w:top w:val="nil"/>
            </w:tcBorders>
            <w:vAlign w:val="bottom"/>
          </w:tcPr>
          <w:p w14:paraId="512C61AA" w14:textId="77777777" w:rsidR="0049295C" w:rsidRPr="003F334F" w:rsidRDefault="0049295C" w:rsidP="003F334F">
            <w:pPr>
              <w:spacing w:after="0" w:line="276" w:lineRule="auto"/>
              <w:jc w:val="right"/>
              <w:rPr>
                <w:rFonts w:ascii="Times New Roman" w:eastAsia="Times New Roman" w:hAnsi="Times New Roman"/>
                <w:spacing w:val="6"/>
                <w:sz w:val="18"/>
                <w:szCs w:val="18"/>
              </w:rPr>
            </w:pPr>
            <w:r w:rsidRPr="003F334F">
              <w:rPr>
                <w:rFonts w:ascii="Times New Roman" w:eastAsia="Times New Roman" w:hAnsi="Times New Roman"/>
                <w:spacing w:val="6"/>
                <w:sz w:val="18"/>
                <w:szCs w:val="18"/>
              </w:rPr>
              <w:t xml:space="preserve">472 200 </w:t>
            </w:r>
          </w:p>
        </w:tc>
      </w:tr>
    </w:tbl>
    <w:p w14:paraId="05A65CF7" w14:textId="77777777" w:rsidR="008551D4" w:rsidRPr="008C39BB" w:rsidRDefault="008551D4" w:rsidP="006E305B">
      <w:pPr>
        <w:pStyle w:val="tabell-noter"/>
        <w:numPr>
          <w:ilvl w:val="0"/>
          <w:numId w:val="46"/>
        </w:numPr>
        <w:spacing w:after="0"/>
      </w:pPr>
      <w:r w:rsidRPr="008C39BB">
        <w:t>Definert som lønnsnivå lavere enn 85 prosent av gjennomsnittlig lønnsnivå for i</w:t>
      </w:r>
      <w:r>
        <w:t>ndustriarbeidere i LO-</w:t>
      </w:r>
      <w:r w:rsidRPr="008C39BB">
        <w:t>NHO-området</w:t>
      </w:r>
      <w:r>
        <w:t>.</w:t>
      </w:r>
    </w:p>
    <w:p w14:paraId="5A493197" w14:textId="77777777" w:rsidR="008551D4" w:rsidRPr="008C39BB" w:rsidRDefault="008551D4" w:rsidP="006E305B">
      <w:pPr>
        <w:pStyle w:val="tabell-noter"/>
        <w:numPr>
          <w:ilvl w:val="0"/>
          <w:numId w:val="46"/>
        </w:numPr>
        <w:spacing w:after="0"/>
      </w:pPr>
      <w:r w:rsidRPr="008C39BB">
        <w:t xml:space="preserve">Median årslønn finner en ved å sortere lønnen for lønnstakerne etter størrelse og så finne lønnsnivået for den personen som blir liggende i midten. </w:t>
      </w:r>
    </w:p>
    <w:p w14:paraId="45006118" w14:textId="77777777" w:rsidR="008551D4" w:rsidRPr="008C39BB" w:rsidRDefault="008551D4" w:rsidP="006E305B">
      <w:pPr>
        <w:pStyle w:val="tabell-noter"/>
        <w:numPr>
          <w:ilvl w:val="0"/>
          <w:numId w:val="46"/>
        </w:numPr>
        <w:spacing w:after="0"/>
      </w:pPr>
      <w:r w:rsidRPr="008C39BB">
        <w:t>Måneds</w:t>
      </w:r>
      <w:r>
        <w:t>lønnen</w:t>
      </w:r>
      <w:r w:rsidRPr="008C39BB">
        <w:t xml:space="preserve"> per september/oktober</w:t>
      </w:r>
      <w:r>
        <w:t>/desember</w:t>
      </w:r>
      <w:r w:rsidRPr="008C39BB">
        <w:t>*12</w:t>
      </w:r>
      <w:r>
        <w:t>.</w:t>
      </w:r>
    </w:p>
    <w:p w14:paraId="3A99BD7F" w14:textId="77777777" w:rsidR="008551D4" w:rsidRDefault="008551D4" w:rsidP="008551D4">
      <w:pPr>
        <w:pStyle w:val="Kilde"/>
      </w:pPr>
      <w:r w:rsidRPr="00390FD1">
        <w:t>Kilde: Statistisk sentralbyrå</w:t>
      </w:r>
    </w:p>
    <w:p w14:paraId="37077A91" w14:textId="77777777" w:rsidR="004B1A77" w:rsidRDefault="004B1A77" w:rsidP="004B1A77"/>
    <w:p w14:paraId="34F5E6D1" w14:textId="77777777" w:rsidR="00364674" w:rsidRDefault="00364674" w:rsidP="00364674">
      <w:pPr>
        <w:spacing w:after="0"/>
        <w:rPr>
          <w:sz w:val="18"/>
          <w:szCs w:val="18"/>
        </w:rPr>
        <w:sectPr w:rsidR="00364674" w:rsidSect="000C7E8F">
          <w:footerReference w:type="even" r:id="rId17"/>
          <w:footerReference w:type="default" r:id="rId18"/>
          <w:pgSz w:w="11906" w:h="16838"/>
          <w:pgMar w:top="1418" w:right="1418" w:bottom="1418" w:left="1418" w:header="709" w:footer="709" w:gutter="0"/>
          <w:cols w:space="708"/>
          <w:docGrid w:linePitch="360"/>
        </w:sectPr>
      </w:pPr>
    </w:p>
    <w:p w14:paraId="58A4A71B" w14:textId="77777777" w:rsidR="00FC493F" w:rsidRDefault="00FC493F" w:rsidP="0083271E">
      <w:pPr>
        <w:spacing w:after="0"/>
        <w:jc w:val="center"/>
        <w:rPr>
          <w:rFonts w:asciiTheme="majorHAnsi" w:hAnsiTheme="majorHAnsi"/>
          <w:sz w:val="48"/>
          <w:szCs w:val="48"/>
        </w:rPr>
      </w:pPr>
    </w:p>
    <w:p w14:paraId="3FABA614" w14:textId="77777777" w:rsidR="009B3D12" w:rsidRDefault="009B3D12" w:rsidP="009B3D12">
      <w:pPr>
        <w:pStyle w:val="Kilde"/>
      </w:pPr>
    </w:p>
    <w:p w14:paraId="370F1CFD" w14:textId="77777777" w:rsidR="001F07B3" w:rsidRDefault="001F07B3" w:rsidP="001F07B3">
      <w:pPr>
        <w:pStyle w:val="vedlegg-nr"/>
      </w:pPr>
      <w:bookmarkStart w:id="173" w:name="_Toc328084707"/>
      <w:bookmarkStart w:id="174" w:name="_Toc391030035"/>
    </w:p>
    <w:p w14:paraId="3CA5C5DD" w14:textId="77777777" w:rsidR="006E305B" w:rsidRPr="003B0D9F" w:rsidRDefault="006E305B" w:rsidP="006E305B">
      <w:pPr>
        <w:pStyle w:val="Overskrift1"/>
        <w:numPr>
          <w:ilvl w:val="0"/>
          <w:numId w:val="57"/>
        </w:numPr>
        <w:ind w:left="720" w:hanging="360"/>
        <w:jc w:val="center"/>
      </w:pPr>
      <w:bookmarkStart w:id="175" w:name="_Toc257462259"/>
      <w:bookmarkStart w:id="176" w:name="_Toc264645445"/>
      <w:bookmarkStart w:id="177" w:name="_Toc359263572"/>
      <w:bookmarkStart w:id="178" w:name="_Toc422226833"/>
      <w:bookmarkEnd w:id="173"/>
      <w:bookmarkEnd w:id="174"/>
      <w:r>
        <w:t xml:space="preserve">1 </w:t>
      </w:r>
      <w:r w:rsidRPr="003B0D9F">
        <w:t>Lønnsoppgjør i 20</w:t>
      </w:r>
      <w:bookmarkEnd w:id="175"/>
      <w:r>
        <w:t>1</w:t>
      </w:r>
      <w:bookmarkEnd w:id="176"/>
      <w:bookmarkEnd w:id="177"/>
      <w:r>
        <w:t>5</w:t>
      </w:r>
      <w:bookmarkEnd w:id="178"/>
    </w:p>
    <w:p w14:paraId="3EA470FF" w14:textId="77777777" w:rsidR="006E305B" w:rsidRPr="00F64A82" w:rsidRDefault="006E305B" w:rsidP="006E305B">
      <w:pPr>
        <w:spacing w:after="0"/>
      </w:pPr>
    </w:p>
    <w:p w14:paraId="458FCBF1" w14:textId="77777777" w:rsidR="006E305B" w:rsidRDefault="006E305B" w:rsidP="006E305B">
      <w:r>
        <w:t xml:space="preserve">For de fleste tariffområder ble det i 2014 inngått toårige avtaler med bestemmelser som ga adgang til forhandlinger om eventuelle lønnsreguleringer ved vanlig revisjonstidspunkt i 2015. </w:t>
      </w:r>
    </w:p>
    <w:p w14:paraId="388FA635" w14:textId="77777777" w:rsidR="006E305B" w:rsidRDefault="006E305B" w:rsidP="006E305B">
      <w:pPr>
        <w:spacing w:after="0"/>
      </w:pPr>
      <w:r>
        <w:t>I dette vedlegget gis en oversikt over avtalte lønnstillegg i en del store forhandlingsområder. I kapittel 1, avsnitt 1.4, er det gitt anslag på lønnsutviklingen fra 2014 til 2015 i disse områdene. For oversikt over lønnsoppgjør i 2014 vises det til vedlegg 1 i NOU 2015: 6.</w:t>
      </w:r>
    </w:p>
    <w:p w14:paraId="79E807EE" w14:textId="77777777" w:rsidR="006E305B" w:rsidRDefault="006E305B" w:rsidP="006E305B">
      <w:pPr>
        <w:spacing w:after="0"/>
      </w:pPr>
    </w:p>
    <w:p w14:paraId="55853D01" w14:textId="77777777" w:rsidR="006E305B" w:rsidRPr="00E91F19" w:rsidRDefault="006E305B" w:rsidP="006E305B">
      <w:pPr>
        <w:pStyle w:val="Overskrift2"/>
      </w:pPr>
      <w:bookmarkStart w:id="179" w:name="_Toc256681351"/>
      <w:bookmarkStart w:id="180" w:name="_Toc256684368"/>
      <w:bookmarkStart w:id="181" w:name="_Toc257118271"/>
      <w:bookmarkStart w:id="182" w:name="_Toc257201071"/>
      <w:bookmarkStart w:id="183" w:name="_Toc257462260"/>
      <w:bookmarkStart w:id="184" w:name="_Toc264463022"/>
      <w:bookmarkStart w:id="185" w:name="_Toc264645446"/>
      <w:bookmarkStart w:id="186" w:name="_Toc286073405"/>
      <w:bookmarkStart w:id="187" w:name="_Toc286074029"/>
      <w:bookmarkStart w:id="188" w:name="_Toc286075049"/>
      <w:bookmarkStart w:id="189" w:name="_Toc286075298"/>
      <w:bookmarkStart w:id="190" w:name="_Toc358202901"/>
      <w:bookmarkStart w:id="191" w:name="_Toc359263573"/>
      <w:bookmarkStart w:id="192" w:name="_Toc422226834"/>
      <w:r w:rsidRPr="00E91F19">
        <w:t xml:space="preserve">Vedtak foran </w:t>
      </w:r>
      <w:r>
        <w:t>mellom</w:t>
      </w:r>
      <w:r w:rsidRPr="00E91F19">
        <w:t>oppgjørene i 20</w:t>
      </w:r>
      <w:bookmarkEnd w:id="179"/>
      <w:bookmarkEnd w:id="180"/>
      <w:bookmarkEnd w:id="181"/>
      <w:bookmarkEnd w:id="182"/>
      <w:bookmarkEnd w:id="183"/>
      <w:r w:rsidRPr="00E91F19">
        <w:t>1</w:t>
      </w:r>
      <w:bookmarkEnd w:id="184"/>
      <w:bookmarkEnd w:id="185"/>
      <w:bookmarkEnd w:id="186"/>
      <w:bookmarkEnd w:id="187"/>
      <w:bookmarkEnd w:id="188"/>
      <w:bookmarkEnd w:id="189"/>
      <w:bookmarkEnd w:id="190"/>
      <w:bookmarkEnd w:id="191"/>
      <w:r>
        <w:t>5</w:t>
      </w:r>
      <w:bookmarkEnd w:id="192"/>
    </w:p>
    <w:p w14:paraId="73823FD4" w14:textId="77777777" w:rsidR="006E305B" w:rsidRDefault="006E305B" w:rsidP="006E305B">
      <w:pPr>
        <w:spacing w:after="0"/>
      </w:pPr>
      <w:r>
        <w:rPr>
          <w:i/>
          <w:iCs/>
        </w:rPr>
        <w:t>Representantskapet i LO</w:t>
      </w:r>
      <w:r>
        <w:t xml:space="preserve"> behandlet kravene foran mellomoppgjøret 17. februar. I vedtaket het det bl.a.: </w:t>
      </w:r>
    </w:p>
    <w:p w14:paraId="66D79A81" w14:textId="77777777" w:rsidR="006E305B" w:rsidRDefault="006E305B" w:rsidP="006E305B">
      <w:pPr>
        <w:spacing w:after="0"/>
        <w:ind w:left="426"/>
      </w:pPr>
      <w:r>
        <w:t>[…..]</w:t>
      </w:r>
    </w:p>
    <w:p w14:paraId="784F35AE" w14:textId="77777777" w:rsidR="006E305B" w:rsidRPr="007F7AB2" w:rsidRDefault="006E305B" w:rsidP="006E305B">
      <w:pPr>
        <w:rPr>
          <w:rFonts w:ascii="Times New Roman" w:hAnsi="Times New Roman"/>
          <w:szCs w:val="24"/>
        </w:rPr>
      </w:pPr>
      <w:r>
        <w:t>”</w:t>
      </w:r>
      <w:r w:rsidRPr="00EF36A1">
        <w:t xml:space="preserve"> </w:t>
      </w:r>
      <w:r w:rsidRPr="007F7AB2">
        <w:rPr>
          <w:rFonts w:ascii="Times New Roman" w:hAnsi="Times New Roman"/>
          <w:szCs w:val="24"/>
        </w:rPr>
        <w:t>De økonomiske utsikter for de nærmeste år fremstår som svært usikre. Vekstutsiktene internasjonalt er lavere enn det normale, og norsk økonomi vil bli sterkt preget av betydelig nedgang i oljeinvesteringene. Samtidig bedres konkurransesituasjonen for øvrig industri og annen konkurranseutsatt virksomhet dersom den gunstigere kronekursen varer ved. Usikkerhet er særlig knyttet til varigheten av disse trekkene og faren for nye tendenser til krise i eurosonen.</w:t>
      </w:r>
    </w:p>
    <w:p w14:paraId="6C29C89E" w14:textId="77777777" w:rsidR="000D2920" w:rsidRPr="000D2920" w:rsidRDefault="000D2920" w:rsidP="000D2920">
      <w:r w:rsidRPr="000D2920">
        <w:t>En hovedoppgave for LO er å medvirke til at det legges grunnlag for langsiktig holdbar jobbvekst, samtidig som arbeidstakerne sikres en rimelig del av verdiskapingen og at lønn og annen inntekt fordeles rettferdig.</w:t>
      </w:r>
    </w:p>
    <w:p w14:paraId="11CB46DB" w14:textId="1A0255D4" w:rsidR="006E305B" w:rsidRPr="007F7AB2" w:rsidRDefault="000D2920" w:rsidP="000D2920">
      <w:pPr>
        <w:spacing w:after="0"/>
        <w:rPr>
          <w:rFonts w:ascii="Times New Roman" w:hAnsi="Times New Roman"/>
          <w:szCs w:val="24"/>
        </w:rPr>
      </w:pPr>
      <w:r w:rsidRPr="007F7AB2">
        <w:rPr>
          <w:rFonts w:ascii="Times New Roman" w:hAnsi="Times New Roman"/>
          <w:szCs w:val="24"/>
        </w:rPr>
        <w:t xml:space="preserve"> </w:t>
      </w:r>
      <w:r w:rsidR="006E305B" w:rsidRPr="007F7AB2">
        <w:rPr>
          <w:rFonts w:ascii="Times New Roman" w:hAnsi="Times New Roman"/>
          <w:szCs w:val="24"/>
        </w:rPr>
        <w:t>[….]</w:t>
      </w:r>
    </w:p>
    <w:p w14:paraId="3E69EFBD" w14:textId="77777777" w:rsidR="006E305B" w:rsidRPr="007F7AB2" w:rsidRDefault="006E305B" w:rsidP="008B5EFE">
      <w:pPr>
        <w:rPr>
          <w:rFonts w:ascii="Times New Roman" w:hAnsi="Times New Roman"/>
          <w:szCs w:val="24"/>
        </w:rPr>
      </w:pPr>
      <w:r w:rsidRPr="007F7AB2">
        <w:rPr>
          <w:rFonts w:ascii="Times New Roman" w:hAnsi="Times New Roman"/>
          <w:szCs w:val="24"/>
        </w:rPr>
        <w:t xml:space="preserve">Økonomisk styring gjennom frontfagsmodellen er viktig for å sikre sysselsetting og langsiktig økonomisk bærekraft. Det er et problem om en økende del av arbeidstakerne unngår denne styringen. Næringer utsatt for internasjonal konkurranse må bestemme rammene for lønnsutviklingen. Men for å være bærekraftig må den også bidra til en rimelig fordeling. Det er etablert som prinsipp at alle grupper inngår i beregningene for lønnsveksten i frontfaget. Det skal gi rammer for hele arbeidslivet, men ikke være til hinder for at det kan gis kompensasjon til grupper som systematisk over tid er blitt hengende etter i lønnsutviklingen. </w:t>
      </w:r>
      <w:r w:rsidRPr="007F7AB2">
        <w:rPr>
          <w:rFonts w:ascii="Times New Roman" w:hAnsi="Times New Roman"/>
          <w:szCs w:val="24"/>
        </w:rPr>
        <w:br/>
        <w:t>[…]</w:t>
      </w:r>
    </w:p>
    <w:p w14:paraId="011EF7A3" w14:textId="77777777" w:rsidR="006E305B" w:rsidRPr="007F7AB2" w:rsidRDefault="006E305B" w:rsidP="006E305B">
      <w:pPr>
        <w:rPr>
          <w:rFonts w:ascii="Times New Roman" w:hAnsi="Times New Roman"/>
          <w:szCs w:val="24"/>
        </w:rPr>
      </w:pPr>
      <w:r w:rsidRPr="007F7AB2">
        <w:rPr>
          <w:rFonts w:ascii="Times New Roman" w:hAnsi="Times New Roman"/>
          <w:szCs w:val="24"/>
        </w:rPr>
        <w:t>Utjevningen mellom menn og kvinners gjennomsnittlige lønnsnivå går for langsomt, særlig som følge av et fortsatt svært kjønnsdelt arbeidsliv, der kvinner og menn jobber i ulike næringer, yrker og stillinger og der kvinner jobber langt oftere deltid enn menn. I tillegg til at lavlønnsproblemet i stor grad samtidig er et likelønnsspørsmål, er det klart at mange kvinnedominerte yrker gir lav uttelling for god kompetanse. Dette gjelder både offentlig og privat sektor.</w:t>
      </w:r>
    </w:p>
    <w:p w14:paraId="1C0ED0C1" w14:textId="77777777" w:rsidR="006E305B" w:rsidRPr="007F7AB2" w:rsidRDefault="006E305B" w:rsidP="006E305B">
      <w:pPr>
        <w:rPr>
          <w:rFonts w:ascii="Times New Roman" w:hAnsi="Times New Roman"/>
          <w:szCs w:val="24"/>
        </w:rPr>
      </w:pPr>
      <w:r w:rsidRPr="007F7AB2">
        <w:rPr>
          <w:rFonts w:ascii="Times New Roman" w:hAnsi="Times New Roman"/>
          <w:szCs w:val="24"/>
        </w:rPr>
        <w:t>Likelønnsprofil på sentral og lokalt avtalte tillegg må videreføres og understøttes av strukturelle tiltak mot kjønnsdelingen og for mer likestilling blant annet gjennom trepartssamarbeid rettet inn mot mekanismer i arbeidslivet. For enkelte grupper med høyere utdanning er det viktig at lønnsforskjellene mellom privat og offentlig sektor reduseres.</w:t>
      </w:r>
    </w:p>
    <w:p w14:paraId="7F6B39DA" w14:textId="77777777" w:rsidR="006E305B" w:rsidRPr="007F7AB2" w:rsidRDefault="006E305B" w:rsidP="006E305B">
      <w:pPr>
        <w:rPr>
          <w:rFonts w:ascii="Times New Roman" w:hAnsi="Times New Roman"/>
          <w:szCs w:val="24"/>
        </w:rPr>
      </w:pPr>
      <w:r w:rsidRPr="007F7AB2">
        <w:rPr>
          <w:rFonts w:ascii="Times New Roman" w:hAnsi="Times New Roman"/>
          <w:szCs w:val="24"/>
        </w:rPr>
        <w:t>I partenes og myndighetens arbeid for en samfunnsmessig fornuftig lønnsdannelse der hensynet til sysselsetting prioriteres, er det viktig at ikke enkeltgrupper profiterer på at flertallet viser kollektiv fornuft. I en tid der høyinntektsgrupper blir særlig tilgodesett i statsbudsjettet av stortingsflertallet er det viktig at lønnsdannelsen bidrar til å motvirke ytterligere skeivheter i inntektsfordelingen.</w:t>
      </w:r>
    </w:p>
    <w:p w14:paraId="4F975F4F" w14:textId="77777777" w:rsidR="006E305B" w:rsidRPr="007F7AB2" w:rsidRDefault="006E305B" w:rsidP="006E305B">
      <w:pPr>
        <w:spacing w:after="0"/>
        <w:rPr>
          <w:rFonts w:ascii="Times New Roman" w:hAnsi="Times New Roman"/>
          <w:szCs w:val="24"/>
        </w:rPr>
      </w:pPr>
      <w:r w:rsidRPr="007F7AB2">
        <w:rPr>
          <w:rFonts w:ascii="Times New Roman" w:hAnsi="Times New Roman"/>
          <w:szCs w:val="24"/>
        </w:rPr>
        <w:t>[….]</w:t>
      </w:r>
    </w:p>
    <w:p w14:paraId="7D304CB6" w14:textId="77777777" w:rsidR="006E305B" w:rsidRPr="007F7AB2" w:rsidRDefault="006E305B" w:rsidP="006E305B">
      <w:pPr>
        <w:spacing w:after="0"/>
        <w:rPr>
          <w:rFonts w:ascii="Times New Roman" w:hAnsi="Times New Roman"/>
          <w:szCs w:val="24"/>
        </w:rPr>
      </w:pPr>
      <w:r w:rsidRPr="007F7AB2">
        <w:rPr>
          <w:rFonts w:ascii="Times New Roman" w:hAnsi="Times New Roman"/>
          <w:szCs w:val="24"/>
        </w:rPr>
        <w:t>Kravet ved hovedoppgjøret som skal følges opp for annet avtaleår lød:</w:t>
      </w:r>
      <w:r w:rsidRPr="007F7AB2">
        <w:rPr>
          <w:rFonts w:ascii="Times New Roman" w:hAnsi="Times New Roman"/>
          <w:szCs w:val="24"/>
        </w:rPr>
        <w:br/>
        <w:t>”…å sikre medlemmenes kjøpekraft ved:</w:t>
      </w:r>
    </w:p>
    <w:p w14:paraId="40FBDB5A" w14:textId="77777777" w:rsidR="006E305B" w:rsidRPr="007F7AB2" w:rsidRDefault="006E305B" w:rsidP="006E305B">
      <w:pPr>
        <w:pStyle w:val="Listeavsnitt"/>
        <w:numPr>
          <w:ilvl w:val="0"/>
          <w:numId w:val="63"/>
        </w:numPr>
        <w:spacing w:before="0" w:line="240" w:lineRule="auto"/>
        <w:contextualSpacing/>
        <w:rPr>
          <w:rFonts w:cs="Times New Roman"/>
          <w:szCs w:val="24"/>
        </w:rPr>
      </w:pPr>
      <w:r w:rsidRPr="007F7AB2">
        <w:rPr>
          <w:rFonts w:cs="Times New Roman"/>
          <w:szCs w:val="24"/>
        </w:rPr>
        <w:t xml:space="preserve">En kombinasjon av egne sentrale tillegg, bedring av minstelønnssatser og garantiordninger som fremmer likelønn og motvirker lavlønn. </w:t>
      </w:r>
    </w:p>
    <w:p w14:paraId="191AE1A4" w14:textId="77777777" w:rsidR="006E305B" w:rsidRPr="007F7AB2" w:rsidRDefault="006E305B" w:rsidP="006E305B">
      <w:pPr>
        <w:pStyle w:val="Listeavsnitt"/>
        <w:numPr>
          <w:ilvl w:val="0"/>
          <w:numId w:val="63"/>
        </w:numPr>
        <w:spacing w:before="0" w:line="240" w:lineRule="auto"/>
        <w:contextualSpacing/>
        <w:rPr>
          <w:rFonts w:cs="Times New Roman"/>
          <w:szCs w:val="24"/>
        </w:rPr>
      </w:pPr>
      <w:r w:rsidRPr="007F7AB2">
        <w:rPr>
          <w:rFonts w:cs="Times New Roman"/>
          <w:szCs w:val="24"/>
        </w:rPr>
        <w:t xml:space="preserve">Prioritering av kvinnedominerte grupper innenfor sentralt avtalte rammer i offentlig sektor. </w:t>
      </w:r>
    </w:p>
    <w:p w14:paraId="374F112B" w14:textId="77777777" w:rsidR="006E305B" w:rsidRPr="007F7AB2" w:rsidRDefault="006E305B" w:rsidP="006E305B">
      <w:pPr>
        <w:pStyle w:val="Listeavsnitt"/>
        <w:numPr>
          <w:ilvl w:val="0"/>
          <w:numId w:val="63"/>
        </w:numPr>
        <w:spacing w:before="0" w:line="240" w:lineRule="auto"/>
        <w:ind w:left="714" w:hanging="357"/>
        <w:contextualSpacing/>
        <w:rPr>
          <w:rFonts w:cs="Times New Roman"/>
          <w:szCs w:val="24"/>
        </w:rPr>
      </w:pPr>
      <w:r w:rsidRPr="007F7AB2">
        <w:rPr>
          <w:rFonts w:cs="Times New Roman"/>
          <w:szCs w:val="24"/>
        </w:rPr>
        <w:t>Prioritering av likelønn i relevante bransjer i privat sektor.”</w:t>
      </w:r>
      <w:r w:rsidRPr="007F7AB2">
        <w:rPr>
          <w:rFonts w:cs="Times New Roman"/>
          <w:szCs w:val="24"/>
        </w:rPr>
        <w:br/>
      </w:r>
    </w:p>
    <w:p w14:paraId="6F526820" w14:textId="77777777" w:rsidR="006E305B" w:rsidRPr="007F7AB2" w:rsidRDefault="006E305B" w:rsidP="006E305B">
      <w:pPr>
        <w:rPr>
          <w:rStyle w:val="sitat"/>
          <w:rFonts w:ascii="Times New Roman" w:hAnsi="Times New Roman"/>
          <w:szCs w:val="24"/>
        </w:rPr>
      </w:pPr>
      <w:r w:rsidRPr="007F7AB2">
        <w:rPr>
          <w:rFonts w:ascii="Times New Roman" w:hAnsi="Times New Roman"/>
          <w:szCs w:val="24"/>
        </w:rPr>
        <w:t>Det foreløpige tallmaterialet fra TBU synes å bekrefte at kjøpekraften ble mer enn opprettholdt for LOs forhandlingsområder i 2014. Vi har ikke grunnlag ennå for å si at siktemålene for lavlønn og likelønn er like godt ivaretatt. Utsikt til svekket grunnlag for særnorsk reallønnsvekst, som hittil på 2000-tallet, innebærer dempet lønnsvekst. Tiltak for lavlønte og likelønnsutvikling er det som i videreføringen av hovedoppgjørets føringer bør gis prioritet”.</w:t>
      </w:r>
    </w:p>
    <w:p w14:paraId="477174BB" w14:textId="77777777" w:rsidR="006E305B" w:rsidRPr="007F7AB2" w:rsidRDefault="006E305B" w:rsidP="006E305B">
      <w:pPr>
        <w:pStyle w:val="NormalWeb"/>
        <w:spacing w:after="0"/>
        <w:rPr>
          <w:rFonts w:ascii="Times New Roman" w:hAnsi="Times New Roman"/>
        </w:rPr>
      </w:pPr>
      <w:r w:rsidRPr="007F7AB2">
        <w:rPr>
          <w:rFonts w:ascii="Times New Roman" w:hAnsi="Times New Roman"/>
        </w:rPr>
        <w:t>Representantskapet ga sekretariatet/forhandlingsutvalgene fullmakt til å utforme de endelige kravene på basis av de ovennevnte retningslinjene.</w:t>
      </w:r>
    </w:p>
    <w:p w14:paraId="6698135B" w14:textId="77777777" w:rsidR="006E305B" w:rsidRPr="007F7AB2" w:rsidRDefault="006E305B" w:rsidP="006E305B">
      <w:pPr>
        <w:spacing w:after="0"/>
        <w:rPr>
          <w:rFonts w:ascii="Times New Roman" w:hAnsi="Times New Roman"/>
          <w:szCs w:val="24"/>
        </w:rPr>
      </w:pPr>
    </w:p>
    <w:p w14:paraId="732B79B3" w14:textId="77777777" w:rsidR="006E305B" w:rsidRPr="007F7AB2" w:rsidRDefault="006E305B" w:rsidP="006E305B">
      <w:pPr>
        <w:spacing w:after="0"/>
        <w:rPr>
          <w:rFonts w:ascii="Times New Roman" w:hAnsi="Times New Roman"/>
          <w:szCs w:val="24"/>
        </w:rPr>
      </w:pPr>
      <w:r w:rsidRPr="007F7AB2">
        <w:rPr>
          <w:rFonts w:ascii="Times New Roman" w:hAnsi="Times New Roman"/>
          <w:i/>
          <w:iCs/>
          <w:szCs w:val="24"/>
        </w:rPr>
        <w:t>Representantskapet i NHO</w:t>
      </w:r>
      <w:r w:rsidRPr="007F7AB2">
        <w:rPr>
          <w:rFonts w:ascii="Times New Roman" w:hAnsi="Times New Roman"/>
          <w:szCs w:val="24"/>
        </w:rPr>
        <w:t xml:space="preserve"> vedtok 24.-25.februar forhandlingsfullmakten for mellomoppgjøret i 2015. I vedtaket heter det bl.a.:</w:t>
      </w:r>
    </w:p>
    <w:p w14:paraId="65E8BA97" w14:textId="77777777" w:rsidR="006E305B" w:rsidRPr="007F7AB2" w:rsidRDefault="006E305B" w:rsidP="006E305B">
      <w:pPr>
        <w:spacing w:after="0"/>
        <w:rPr>
          <w:rFonts w:ascii="Times New Roman" w:hAnsi="Times New Roman"/>
          <w:szCs w:val="24"/>
        </w:rPr>
      </w:pPr>
      <w:r w:rsidRPr="007F7AB2">
        <w:rPr>
          <w:rFonts w:ascii="Times New Roman" w:hAnsi="Times New Roman"/>
          <w:szCs w:val="24"/>
        </w:rPr>
        <w:t>[…..]</w:t>
      </w:r>
    </w:p>
    <w:p w14:paraId="2C4B28B8" w14:textId="77777777" w:rsidR="006E305B" w:rsidRPr="007F7AB2" w:rsidRDefault="006E305B" w:rsidP="006E305B">
      <w:pPr>
        <w:autoSpaceDE w:val="0"/>
        <w:autoSpaceDN w:val="0"/>
        <w:adjustRightInd w:val="0"/>
        <w:rPr>
          <w:rFonts w:ascii="Times New Roman" w:hAnsi="Times New Roman"/>
          <w:color w:val="000000" w:themeColor="text1"/>
          <w:szCs w:val="24"/>
        </w:rPr>
      </w:pPr>
      <w:r w:rsidRPr="007F7AB2">
        <w:rPr>
          <w:rFonts w:ascii="Times New Roman" w:hAnsi="Times New Roman"/>
          <w:color w:val="000000" w:themeColor="text1"/>
          <w:szCs w:val="24"/>
        </w:rPr>
        <w:t>”Fallet i oljeprisen er en viktig årsak til svakere vekst i norsk økonomi. Oljeprisutsiktene er betydelig lavere enn det vi har vært vant med. Som respons reduserte Norges Bank styringsrenten 11. desember i fjor, og varsler lav rente også fremover. De begrunner dette slik: "</w:t>
      </w:r>
      <w:r w:rsidRPr="007F7AB2">
        <w:rPr>
          <w:rFonts w:ascii="Times New Roman" w:hAnsi="Times New Roman"/>
          <w:i/>
          <w:iCs/>
          <w:color w:val="000000" w:themeColor="text1"/>
          <w:szCs w:val="24"/>
        </w:rPr>
        <w:t>En lavere rente kan isolert sett bidra til at boligpriser og gjeld fortsetter å vokse raskere enn husholdningenes inntekter. På den andre siden har oljeprisen falt kraftig, og utsiktene for norsk økonomi er svekket. Hovedstyret legger vekt på å motvirke faren for en markert nedgang i norsk økonomi.</w:t>
      </w:r>
      <w:r w:rsidRPr="007F7AB2">
        <w:rPr>
          <w:rFonts w:ascii="Times New Roman" w:hAnsi="Times New Roman"/>
          <w:color w:val="000000" w:themeColor="text1"/>
          <w:szCs w:val="24"/>
        </w:rPr>
        <w:t xml:space="preserve">" </w:t>
      </w:r>
    </w:p>
    <w:p w14:paraId="5A65E9F7" w14:textId="77777777" w:rsidR="006E305B" w:rsidRPr="007F7AB2" w:rsidRDefault="006E305B" w:rsidP="006E305B">
      <w:pPr>
        <w:autoSpaceDE w:val="0"/>
        <w:autoSpaceDN w:val="0"/>
        <w:adjustRightInd w:val="0"/>
        <w:rPr>
          <w:rFonts w:ascii="Times New Roman" w:hAnsi="Times New Roman"/>
          <w:color w:val="000000"/>
          <w:szCs w:val="24"/>
        </w:rPr>
      </w:pPr>
      <w:r w:rsidRPr="007F7AB2">
        <w:rPr>
          <w:rFonts w:ascii="Times New Roman" w:hAnsi="Times New Roman"/>
          <w:color w:val="000000"/>
          <w:szCs w:val="24"/>
        </w:rPr>
        <w:t xml:space="preserve">Investeringene i industrien ligger fortsatt om lag 20 prosent under nivået før finanskrisen. I 2015 vil den økonomiske veksten i Norge være markant svakere enn tidligere, og veksten vil være mer på linje med våre konkurrentland. BNP-veksten i Fastlands-Norge er anslått til en prosent, som er lik veksten i Eurosonen. I tillegg til nedgangen i petroleumsinvesteringene, vil lavere konsumvekst være en medvirkende årsak til at vekstbildet er svakere. </w:t>
      </w:r>
    </w:p>
    <w:p w14:paraId="12CDA1BE" w14:textId="77777777" w:rsidR="006E305B" w:rsidRPr="007F7AB2" w:rsidRDefault="006E305B" w:rsidP="006E305B">
      <w:pPr>
        <w:autoSpaceDE w:val="0"/>
        <w:autoSpaceDN w:val="0"/>
        <w:adjustRightInd w:val="0"/>
        <w:rPr>
          <w:rFonts w:ascii="Times New Roman" w:hAnsi="Times New Roman"/>
          <w:color w:val="000000"/>
          <w:szCs w:val="24"/>
        </w:rPr>
      </w:pPr>
      <w:r w:rsidRPr="007F7AB2">
        <w:rPr>
          <w:rFonts w:ascii="Times New Roman" w:hAnsi="Times New Roman"/>
          <w:color w:val="000000"/>
          <w:szCs w:val="24"/>
        </w:rPr>
        <w:t xml:space="preserve">Også arbeidsmarkedet er svakere. Sysselsettingsveksten har nesten stoppet opp og ledigheten vil øke i 2015. At ledigheten også øker innen ingeniør- og ikt-fag, bidrar til mindre lønnspress i økonomien. </w:t>
      </w:r>
    </w:p>
    <w:p w14:paraId="75C2B6E9" w14:textId="77777777" w:rsidR="006E305B" w:rsidRPr="007F7AB2" w:rsidRDefault="006E305B" w:rsidP="006E305B">
      <w:pPr>
        <w:autoSpaceDE w:val="0"/>
        <w:autoSpaceDN w:val="0"/>
        <w:adjustRightInd w:val="0"/>
        <w:rPr>
          <w:rFonts w:ascii="Times New Roman" w:hAnsi="Times New Roman"/>
          <w:color w:val="000000"/>
          <w:szCs w:val="24"/>
        </w:rPr>
      </w:pPr>
      <w:r w:rsidRPr="007F7AB2">
        <w:rPr>
          <w:rFonts w:ascii="Times New Roman" w:hAnsi="Times New Roman"/>
          <w:color w:val="000000"/>
          <w:szCs w:val="24"/>
        </w:rPr>
        <w:t xml:space="preserve">Det er uro i valutamarkedene. Erfaringer fra tidligere viser at utviklingen fort kan snu. Dagens kronekurs bør derfor ikke ha betydning for lønnsfastsettelsen. Bedre priser fra eksportmarkedene må brukes til å bedre virksomhetenes konkurransekraft og omstillingsevne. </w:t>
      </w:r>
    </w:p>
    <w:p w14:paraId="49EFEE06" w14:textId="77777777" w:rsidR="006E305B" w:rsidRPr="007F7AB2" w:rsidRDefault="006E305B" w:rsidP="006E305B">
      <w:pPr>
        <w:autoSpaceDE w:val="0"/>
        <w:autoSpaceDN w:val="0"/>
        <w:adjustRightInd w:val="0"/>
        <w:rPr>
          <w:rFonts w:ascii="Times New Roman" w:hAnsi="Times New Roman"/>
          <w:color w:val="000000"/>
          <w:szCs w:val="24"/>
        </w:rPr>
      </w:pPr>
      <w:r w:rsidRPr="007F7AB2">
        <w:rPr>
          <w:rFonts w:ascii="Times New Roman" w:hAnsi="Times New Roman"/>
          <w:color w:val="000000"/>
          <w:szCs w:val="24"/>
        </w:rPr>
        <w:t xml:space="preserve">NHO mener konkurranseutsatt sektor skal stimuleres, da må kostnadsveksten ned. Det langt høyere lønnskostnadsnivået vi har hatt sammenlignet med våre konkurrenter, har vi kunnet tåle fordi bytteforholdet har gjort det mulig. Utsiktene for bytteforholdet er negativt og gir ikke drahjelp for videre lønnsvekst. I Eurosonen er forventet lønnsvekst per ansatt 1,9 prosent og for OECD-området 2,5 prosent i 2015. </w:t>
      </w:r>
    </w:p>
    <w:p w14:paraId="148B2CE1" w14:textId="2B21845C" w:rsidR="006E305B" w:rsidRPr="007F7AB2" w:rsidRDefault="006E305B" w:rsidP="006E305B">
      <w:pPr>
        <w:pStyle w:val="Default"/>
      </w:pPr>
      <w:r w:rsidRPr="007F7AB2">
        <w:t xml:space="preserve">NHO mener at lønnsoppgjøret i 2015 må bli ytterst moderat og bidra til at omstillingsevnen og konkurransekraften i norsk næringsliv bedres. Lønnsdifferensiering etter den enkelte bedrifts økonomiske situasjon skal ivaretas gjennom lokale forhandlinger. Det skal </w:t>
      </w:r>
      <w:r w:rsidR="002E5608">
        <w:t>ut</w:t>
      </w:r>
      <w:r w:rsidR="000D2920">
        <w:t xml:space="preserve">vises </w:t>
      </w:r>
      <w:r w:rsidR="002E5608">
        <w:t xml:space="preserve">stor </w:t>
      </w:r>
      <w:r w:rsidR="000D2920">
        <w:t>forsiktighet med</w:t>
      </w:r>
      <w:r w:rsidRPr="007F7AB2">
        <w:t xml:space="preserve"> særskilt</w:t>
      </w:r>
      <w:r w:rsidR="002E5608">
        <w:t>e</w:t>
      </w:r>
      <w:r w:rsidRPr="007F7AB2">
        <w:t xml:space="preserve"> lavlønnstillegg i det sentrale oppgjøret.”</w:t>
      </w:r>
    </w:p>
    <w:p w14:paraId="17303124" w14:textId="77777777" w:rsidR="006E305B" w:rsidRPr="00870B06" w:rsidRDefault="006E305B" w:rsidP="007F7AB2">
      <w:pPr>
        <w:spacing w:after="0"/>
      </w:pPr>
    </w:p>
    <w:p w14:paraId="2ED9F8F6" w14:textId="77777777" w:rsidR="006E305B" w:rsidRDefault="006E305B" w:rsidP="006E305B">
      <w:pPr>
        <w:spacing w:after="0"/>
      </w:pPr>
      <w:r w:rsidRPr="001D464C">
        <w:rPr>
          <w:i/>
        </w:rPr>
        <w:t>Styret i Unio</w:t>
      </w:r>
      <w:r w:rsidRPr="004A6F6A">
        <w:t xml:space="preserve"> vedtok </w:t>
      </w:r>
      <w:r>
        <w:t>18</w:t>
      </w:r>
      <w:r w:rsidRPr="004A6F6A">
        <w:t>. mars 201</w:t>
      </w:r>
      <w:r>
        <w:t>5</w:t>
      </w:r>
      <w:r w:rsidRPr="004A6F6A">
        <w:t xml:space="preserve"> en inntektspolitisk uttalelse foran </w:t>
      </w:r>
      <w:r>
        <w:t>mellom</w:t>
      </w:r>
      <w:r w:rsidRPr="004A6F6A">
        <w:t xml:space="preserve">oppgjøret </w:t>
      </w:r>
      <w:r>
        <w:t xml:space="preserve">i </w:t>
      </w:r>
      <w:r w:rsidRPr="004A6F6A">
        <w:t>201</w:t>
      </w:r>
      <w:r>
        <w:t>5</w:t>
      </w:r>
      <w:r w:rsidRPr="004A6F6A">
        <w:t xml:space="preserve"> der det </w:t>
      </w:r>
      <w:r>
        <w:t>bl.a. heter:</w:t>
      </w:r>
    </w:p>
    <w:p w14:paraId="7B30C8C2" w14:textId="77777777" w:rsidR="006E305B" w:rsidRDefault="006E305B" w:rsidP="006E305B">
      <w:pPr>
        <w:ind w:left="426"/>
      </w:pPr>
      <w:r>
        <w:t>”Det kraftige oljeprisfallet stiller oss overfor store utfordringer. Oljevirksomheten vil ikke lenger gi norsk økonomi store vekstbidrag. Tradisjonell næringsvirksomhet og annen ressursbasert virksomhet må erstatte deler av aktivitetsbortfallet fra den oljerelaterte virksomheten. Dette stiller også politikken overfor nye krav. Forskning og næringspolitikk må gi økte bidrag til de nødvendige omstillingene. Arbeidsmarkedspolitikken og offentlige budsjetter må brukes aktivt for å holde arbeidsledigheten lav. Vi går inn i en periode hvor det vil være ekstra synlig at verdiskapingen i offentlig sektor er avgjørende for den samlede verdiskapingen i samfunnet.</w:t>
      </w:r>
    </w:p>
    <w:p w14:paraId="1992C10D" w14:textId="77777777" w:rsidR="006E305B" w:rsidRDefault="006E305B" w:rsidP="006E305B">
      <w:pPr>
        <w:spacing w:after="0"/>
        <w:ind w:left="426"/>
      </w:pPr>
      <w:r>
        <w:t>[….]</w:t>
      </w:r>
    </w:p>
    <w:p w14:paraId="2E04CBE4" w14:textId="77777777" w:rsidR="006E305B" w:rsidRDefault="006E305B" w:rsidP="006E305B">
      <w:pPr>
        <w:ind w:left="426"/>
      </w:pPr>
      <w:r>
        <w:t>Offentlig sektor må tilby konkurransedyktige lønns- og arbeidsvilkår og gode tjenestepensjonsordninger. Stat, kommune og helseforetak må i større grad verdsette utdanning, kompetanse og ansvar og kompensere for ulempe, belastning og risiko. Det er  store rekrutteringsutfordringer i offentlig sektor, særlig innen helse, utdanning og forskning. Offentlige arbeidsgivere har et stort ansvar for å bekjempe verdsettingsdiskriminering. Det trengs også tiltak på tvers av sektorer i arbeidslivet med tanke på å sikre likelønn mellom kvinner og menn. Dette er ikke minst et politisk ansvar.</w:t>
      </w:r>
    </w:p>
    <w:p w14:paraId="090EBE33" w14:textId="77777777" w:rsidR="006E305B" w:rsidRDefault="006E305B" w:rsidP="006E305B">
      <w:pPr>
        <w:spacing w:after="0"/>
        <w:ind w:left="426"/>
      </w:pPr>
      <w:r>
        <w:t>[….]</w:t>
      </w:r>
    </w:p>
    <w:p w14:paraId="15A3723D" w14:textId="77777777" w:rsidR="006E305B" w:rsidRDefault="006E305B" w:rsidP="006E305B">
      <w:pPr>
        <w:spacing w:after="0"/>
        <w:ind w:left="426"/>
      </w:pPr>
      <w:r>
        <w:t>Det ble lagt følgende føringer for oppgjøret</w:t>
      </w:r>
      <w:r w:rsidRPr="004A6F6A">
        <w:t xml:space="preserve">: </w:t>
      </w:r>
    </w:p>
    <w:p w14:paraId="3A623B1E" w14:textId="77777777" w:rsidR="006E305B" w:rsidRDefault="006E305B" w:rsidP="006E305B">
      <w:pPr>
        <w:pStyle w:val="Listeavsnitt"/>
        <w:numPr>
          <w:ilvl w:val="0"/>
          <w:numId w:val="64"/>
        </w:numPr>
        <w:spacing w:before="0" w:line="240" w:lineRule="auto"/>
        <w:contextualSpacing/>
      </w:pPr>
      <w:r>
        <w:t>Krav utformes med det inntektspolitiske dokumentet som felles grunnlag.</w:t>
      </w:r>
    </w:p>
    <w:p w14:paraId="6582C723" w14:textId="77777777" w:rsidR="006E305B" w:rsidRDefault="006E305B" w:rsidP="006E305B">
      <w:pPr>
        <w:pStyle w:val="Listeavsnitt"/>
        <w:numPr>
          <w:ilvl w:val="0"/>
          <w:numId w:val="64"/>
        </w:numPr>
        <w:spacing w:before="0" w:line="240" w:lineRule="auto"/>
        <w:contextualSpacing/>
      </w:pPr>
      <w:r>
        <w:t xml:space="preserve">Forhandlingene om økonomi skal ta utgangspunkt i et troverdig anslag på samlet lønnsvekst i industrien og kompensasjon for eventuelt etterslep. </w:t>
      </w:r>
    </w:p>
    <w:p w14:paraId="651E705D" w14:textId="77777777" w:rsidR="006E305B" w:rsidRDefault="006E305B" w:rsidP="006E305B">
      <w:pPr>
        <w:pStyle w:val="Listeavsnitt"/>
        <w:numPr>
          <w:ilvl w:val="0"/>
          <w:numId w:val="64"/>
        </w:numPr>
        <w:spacing w:before="0" w:line="240" w:lineRule="auto"/>
        <w:contextualSpacing/>
      </w:pPr>
      <w:r>
        <w:t xml:space="preserve">I hvert enkelt tariffområde forhandles det om rammer og innretning, med sikte på bedret reallønn for medlemmene. Grupper som systematisk over tid er blitt hengende etter i lønnsutvikling og lønnsnivå, kan kreves kompensert særskilt. </w:t>
      </w:r>
    </w:p>
    <w:p w14:paraId="5BC99A24" w14:textId="77777777" w:rsidR="006E305B" w:rsidRPr="00E57A83" w:rsidRDefault="006E305B" w:rsidP="006E305B">
      <w:pPr>
        <w:pStyle w:val="Listeavsnitt"/>
        <w:numPr>
          <w:ilvl w:val="0"/>
          <w:numId w:val="65"/>
        </w:numPr>
        <w:autoSpaceDE w:val="0"/>
        <w:autoSpaceDN w:val="0"/>
        <w:adjustRightInd w:val="0"/>
        <w:spacing w:before="0" w:line="240" w:lineRule="auto"/>
        <w:contextualSpacing/>
        <w:rPr>
          <w:szCs w:val="24"/>
        </w:rPr>
      </w:pPr>
      <w:r>
        <w:t xml:space="preserve">De enkelte forhandlingsutvalg har ansvaret for fordeling og prioritering innenfor den økonomiske ramma i eget tariffområde. </w:t>
      </w:r>
    </w:p>
    <w:p w14:paraId="602B48AB" w14:textId="77777777" w:rsidR="006E305B" w:rsidRPr="00E57A83" w:rsidRDefault="006E305B" w:rsidP="006E305B">
      <w:pPr>
        <w:pStyle w:val="Listeavsnitt"/>
        <w:numPr>
          <w:ilvl w:val="0"/>
          <w:numId w:val="65"/>
        </w:numPr>
        <w:autoSpaceDE w:val="0"/>
        <w:autoSpaceDN w:val="0"/>
        <w:adjustRightInd w:val="0"/>
        <w:spacing w:before="0" w:line="240" w:lineRule="auto"/>
        <w:contextualSpacing/>
        <w:rPr>
          <w:szCs w:val="24"/>
        </w:rPr>
      </w:pPr>
      <w:r>
        <w:t>Utdanning, kompetanse, ansvar og risiko, legges til grunn ved utforming av krav, der likelønn skal ivaretas og verdsettingsdiskriminering motvirkes. Det kreves målrettede sentrale tiltak i 2016.</w:t>
      </w:r>
      <w:r w:rsidRPr="00E57A83">
        <w:rPr>
          <w:szCs w:val="24"/>
        </w:rPr>
        <w:t>”</w:t>
      </w:r>
    </w:p>
    <w:p w14:paraId="778FB00B" w14:textId="77777777" w:rsidR="006E305B" w:rsidRDefault="006E305B" w:rsidP="006E305B">
      <w:pPr>
        <w:spacing w:after="0"/>
      </w:pPr>
    </w:p>
    <w:p w14:paraId="5E6193B9" w14:textId="77777777" w:rsidR="006E305B" w:rsidRDefault="006E305B" w:rsidP="006E305B">
      <w:pPr>
        <w:spacing w:after="0"/>
        <w:rPr>
          <w:rFonts w:cs="Arial"/>
          <w:sz w:val="22"/>
          <w:szCs w:val="22"/>
        </w:rPr>
      </w:pPr>
      <w:r>
        <w:rPr>
          <w:bCs/>
          <w:i/>
          <w:iCs/>
        </w:rPr>
        <w:t xml:space="preserve">Yrkesorganisasjonenes Sentralforbunds </w:t>
      </w:r>
      <w:r>
        <w:t xml:space="preserve">(YS) </w:t>
      </w:r>
      <w:r>
        <w:rPr>
          <w:rFonts w:cs="Arial"/>
          <w:sz w:val="22"/>
          <w:szCs w:val="22"/>
        </w:rPr>
        <w:t xml:space="preserve">vedtok i februar 2014 </w:t>
      </w:r>
      <w:r w:rsidRPr="00993B55">
        <w:rPr>
          <w:rFonts w:cs="Arial"/>
          <w:sz w:val="22"/>
          <w:szCs w:val="22"/>
        </w:rPr>
        <w:t>inntektspolitiske retningslin</w:t>
      </w:r>
      <w:r>
        <w:rPr>
          <w:rFonts w:cs="Arial"/>
          <w:sz w:val="22"/>
          <w:szCs w:val="22"/>
        </w:rPr>
        <w:t>jer for tariffperioden 2014</w:t>
      </w:r>
      <w:r w:rsidRPr="00993B55">
        <w:rPr>
          <w:rFonts w:cs="Arial"/>
          <w:sz w:val="22"/>
          <w:szCs w:val="22"/>
        </w:rPr>
        <w:t>-201</w:t>
      </w:r>
      <w:r>
        <w:rPr>
          <w:rFonts w:cs="Arial"/>
          <w:sz w:val="22"/>
          <w:szCs w:val="22"/>
        </w:rPr>
        <w:t>6</w:t>
      </w:r>
      <w:r w:rsidRPr="00993B55">
        <w:rPr>
          <w:rFonts w:cs="Arial"/>
          <w:sz w:val="22"/>
          <w:szCs w:val="22"/>
        </w:rPr>
        <w:t xml:space="preserve">. Ved mellomoppgjøret </w:t>
      </w:r>
      <w:r>
        <w:rPr>
          <w:rFonts w:cs="Arial"/>
          <w:sz w:val="22"/>
          <w:szCs w:val="22"/>
        </w:rPr>
        <w:t>2015 gjelder fortsatt disse retningslinjene, men er supplert med noen forutsetninger for mellomoppgjøret 2015. Det heter bl.a.:</w:t>
      </w:r>
    </w:p>
    <w:p w14:paraId="606D189D" w14:textId="77777777" w:rsidR="006E305B" w:rsidRDefault="006E305B" w:rsidP="006E305B">
      <w:pPr>
        <w:spacing w:after="0"/>
        <w:ind w:left="426"/>
      </w:pPr>
      <w:r>
        <w:t>[….]</w:t>
      </w:r>
    </w:p>
    <w:p w14:paraId="54563B44" w14:textId="77777777" w:rsidR="006E305B" w:rsidRPr="002A025E" w:rsidRDefault="006E305B" w:rsidP="006E305B">
      <w:pPr>
        <w:ind w:left="426"/>
      </w:pPr>
      <w:r w:rsidRPr="002A025E">
        <w:t xml:space="preserve">” YS har lenge støttet opp om prinsippene bak frontfagsmodellen. Det må være lønnsveksten i industrien for arbeidere og funksjonærer samlet som skal være normgivende for resten av økonomien. Modellen må være en norm og praktiseres på en måte som sikrer fortsatt legitimitet blant arbeidstakerne, slik Holden-III-utvalget også understreket. </w:t>
      </w:r>
    </w:p>
    <w:p w14:paraId="0B2C7FB1" w14:textId="05D62B6F" w:rsidR="006E305B" w:rsidRPr="002A025E" w:rsidRDefault="006E305B" w:rsidP="006E305B">
      <w:pPr>
        <w:ind w:left="426"/>
      </w:pPr>
      <w:r w:rsidRPr="002A025E">
        <w:t>Videre er det viktig at lønnsdannelsen er fleksibel nok til å gi rom for nødvendige strukturelle endringer. For eksempel anslår SSB gjennom Helsemod at Norge vil kunne mangle 58</w:t>
      </w:r>
      <w:r w:rsidR="00E863EF">
        <w:t xml:space="preserve"> </w:t>
      </w:r>
      <w:r w:rsidRPr="002A025E">
        <w:t xml:space="preserve">000 helsefagarbeidere i 2035. Norge står overfor store utfordringer knyttet til det fremtidige arbeidskraftbehov, og det må vilje og ressurser til for å løse dette.  YS mener frontfaget er viktig for en sunn utvikling i norsk økonomi, men at det ikke må hindre omstilling og rekruttering av rett kompetanse til samfunnsoppgaver vi vet vil øke i omfang fremover. </w:t>
      </w:r>
    </w:p>
    <w:p w14:paraId="452B5090" w14:textId="77777777" w:rsidR="006E305B" w:rsidRDefault="006E305B" w:rsidP="006E305B">
      <w:pPr>
        <w:ind w:left="426"/>
      </w:pPr>
      <w:r w:rsidRPr="002A025E">
        <w:t>YS vil gjennomføre årets lønnsoppgjør samordnet. Det er sentralt at medlemmene får sin rettmessige andel av verdiskapningen, og YS legger til grunn at det er rom for reallønnsvekst i 2015. Det må sikres særskilte tillegg til lavtlønte.”</w:t>
      </w:r>
    </w:p>
    <w:p w14:paraId="29BE850C" w14:textId="77777777" w:rsidR="006E305B" w:rsidRDefault="006E305B" w:rsidP="006E305B">
      <w:pPr>
        <w:spacing w:after="0"/>
      </w:pPr>
      <w:r w:rsidRPr="00A24F46">
        <w:t xml:space="preserve">Vedtakene i representantskapsmøtene i LO og YS </w:t>
      </w:r>
      <w:r>
        <w:t>gjaldt</w:t>
      </w:r>
      <w:r w:rsidRPr="00A24F46">
        <w:t xml:space="preserve"> også for offentlig sektor.  </w:t>
      </w:r>
    </w:p>
    <w:p w14:paraId="0D02E3F2" w14:textId="77777777" w:rsidR="006E305B" w:rsidRDefault="006E305B" w:rsidP="006E305B">
      <w:pPr>
        <w:spacing w:after="0"/>
      </w:pPr>
    </w:p>
    <w:p w14:paraId="42EF7270" w14:textId="77777777" w:rsidR="006E305B" w:rsidRDefault="006E305B" w:rsidP="006E305B">
      <w:pPr>
        <w:autoSpaceDE w:val="0"/>
        <w:autoSpaceDN w:val="0"/>
        <w:adjustRightInd w:val="0"/>
        <w:spacing w:after="0"/>
      </w:pPr>
      <w:r w:rsidRPr="00203A79">
        <w:rPr>
          <w:i/>
        </w:rPr>
        <w:t>Akademikerne</w:t>
      </w:r>
      <w:r w:rsidRPr="00203A79">
        <w:t xml:space="preserve"> </w:t>
      </w:r>
      <w:r>
        <w:t>la til grunn:</w:t>
      </w:r>
    </w:p>
    <w:p w14:paraId="7705FD03" w14:textId="77777777" w:rsidR="006E305B" w:rsidRPr="00A378AB" w:rsidRDefault="006E305B" w:rsidP="006E305B">
      <w:pPr>
        <w:pStyle w:val="Liste2"/>
        <w:numPr>
          <w:ilvl w:val="1"/>
          <w:numId w:val="62"/>
        </w:numPr>
        <w:spacing w:line="240" w:lineRule="auto"/>
        <w:ind w:left="709" w:hanging="284"/>
      </w:pPr>
      <w:r>
        <w:t>”</w:t>
      </w:r>
      <w:r w:rsidRPr="00A378AB">
        <w:t xml:space="preserve"> Inntektspolitikken skal være et fleksibelt virkemiddel som kan styrke konkurranseutsatt sektor og omstillingsevnen i norsk økonomi. I tillegg skal inntektspolitikken legge til rette for at den enkeltes kunnskap, kompetanse og ansvar lønnes på en riktig måte.</w:t>
      </w:r>
    </w:p>
    <w:p w14:paraId="3BC8637C" w14:textId="77777777" w:rsidR="006E305B" w:rsidRDefault="006E305B" w:rsidP="006E305B">
      <w:pPr>
        <w:pStyle w:val="Liste2"/>
        <w:numPr>
          <w:ilvl w:val="1"/>
          <w:numId w:val="62"/>
        </w:numPr>
        <w:spacing w:line="240" w:lineRule="auto"/>
        <w:ind w:left="709" w:hanging="284"/>
      </w:pPr>
      <w:r w:rsidRPr="00A378AB">
        <w:t xml:space="preserve">Akademikerne vil arbeide for en inntektspolitikk som sikrer nødvendig fleksibilitet og omstilling. I tillegg skal politikken bidra til at verdiskapingen blir høy og arbeidskraften utnyttes godt. Samtidig må politikken ivareta det offentliges evne til å rekruttere nødvendig arbeidskraft.  </w:t>
      </w:r>
    </w:p>
    <w:p w14:paraId="119D6E95" w14:textId="77777777" w:rsidR="006E305B" w:rsidRDefault="006E305B" w:rsidP="006E305B">
      <w:pPr>
        <w:pStyle w:val="Liste2"/>
        <w:numPr>
          <w:ilvl w:val="1"/>
          <w:numId w:val="62"/>
        </w:numPr>
        <w:spacing w:line="240" w:lineRule="auto"/>
        <w:ind w:left="709" w:hanging="284"/>
      </w:pPr>
      <w:r w:rsidRPr="00A378AB">
        <w:t>Akademikerne mener det inntektspolitiske samarbeidet skal bidra til at partene gjennom lønnsoppgjørene etablerer lønns- og forhandlingssystemer tilpasset en samfunnsutvikling som setter store krav til omstillinger og kompetanseoppbygging under skiftende rammebetingelser. Det inntektspolitiske samarbeidet må ikke munne ut i avtalemessige forpliktelser. Dette vil ikke være forenlig med en lang tradisjon om avtalefrihet og vil vanskeliggjøre nødvendige lokale tilpasninger</w:t>
      </w:r>
      <w:r>
        <w:t>”</w:t>
      </w:r>
      <w:r w:rsidRPr="00A378AB">
        <w:t>.</w:t>
      </w:r>
    </w:p>
    <w:p w14:paraId="5FA7F822" w14:textId="77777777" w:rsidR="006E305B" w:rsidRPr="0068212D" w:rsidRDefault="006E305B" w:rsidP="006E305B">
      <w:pPr>
        <w:pStyle w:val="Liste2"/>
        <w:numPr>
          <w:ilvl w:val="0"/>
          <w:numId w:val="0"/>
        </w:numPr>
        <w:spacing w:line="240" w:lineRule="auto"/>
        <w:ind w:left="709"/>
      </w:pPr>
    </w:p>
    <w:p w14:paraId="49E71E6C" w14:textId="77777777" w:rsidR="006E305B" w:rsidRPr="00C01AB0" w:rsidRDefault="006E305B" w:rsidP="006E305B">
      <w:pPr>
        <w:rPr>
          <w:rFonts w:ascii="Times New Roman" w:hAnsi="Times New Roman"/>
        </w:rPr>
      </w:pPr>
      <w:r w:rsidRPr="00C01AB0">
        <w:rPr>
          <w:rFonts w:ascii="Times New Roman" w:hAnsi="Times New Roman"/>
          <w:i/>
        </w:rPr>
        <w:t>Hovedstyret i KS</w:t>
      </w:r>
      <w:r w:rsidRPr="00C01AB0">
        <w:rPr>
          <w:rFonts w:ascii="Times New Roman" w:hAnsi="Times New Roman"/>
        </w:rPr>
        <w:t xml:space="preserve"> vedtok </w:t>
      </w:r>
      <w:r>
        <w:rPr>
          <w:rFonts w:ascii="Times New Roman" w:hAnsi="Times New Roman"/>
        </w:rPr>
        <w:t>9</w:t>
      </w:r>
      <w:r w:rsidRPr="00C01AB0">
        <w:rPr>
          <w:rFonts w:ascii="Times New Roman" w:hAnsi="Times New Roman"/>
        </w:rPr>
        <w:t>. april 201</w:t>
      </w:r>
      <w:r>
        <w:rPr>
          <w:rFonts w:ascii="Times New Roman" w:hAnsi="Times New Roman"/>
        </w:rPr>
        <w:t>5</w:t>
      </w:r>
      <w:r w:rsidRPr="00C01AB0">
        <w:rPr>
          <w:rFonts w:ascii="Times New Roman" w:hAnsi="Times New Roman"/>
        </w:rPr>
        <w:t xml:space="preserve"> mandatet for mellomoppgjøret i 201</w:t>
      </w:r>
      <w:r>
        <w:rPr>
          <w:rFonts w:ascii="Times New Roman" w:hAnsi="Times New Roman"/>
        </w:rPr>
        <w:t>5</w:t>
      </w:r>
      <w:r w:rsidRPr="00C01AB0">
        <w:rPr>
          <w:rFonts w:ascii="Times New Roman" w:hAnsi="Times New Roman"/>
        </w:rPr>
        <w:t xml:space="preserve">: </w:t>
      </w:r>
    </w:p>
    <w:p w14:paraId="4286E88E" w14:textId="77777777" w:rsidR="006E305B" w:rsidRPr="00D76916" w:rsidRDefault="006E305B" w:rsidP="006E305B">
      <w:pPr>
        <w:spacing w:after="0"/>
        <w:ind w:left="426"/>
        <w:rPr>
          <w:rFonts w:ascii="Times New Roman" w:hAnsi="Times New Roman"/>
          <w:color w:val="363636"/>
          <w:szCs w:val="24"/>
        </w:rPr>
      </w:pPr>
      <w:r>
        <w:t>“Administrasjonen gis fullmakt til å forhandle ved mellomoppgjøret pr. 1.5.2015 etter følgende hovedlinjer: Mellomoppgjøret i 2015 gjennomføres innenfor en økonomisk ramme som i tariffperioden gir en lønnsvekst på linje med sammenlignbare tariffområder.</w:t>
      </w:r>
      <w:r w:rsidRPr="002E24CE">
        <w:rPr>
          <w:rFonts w:ascii="Times New Roman" w:hAnsi="Times New Roman"/>
          <w:color w:val="363636"/>
          <w:szCs w:val="24"/>
        </w:rPr>
        <w:t>”</w:t>
      </w:r>
      <w:r>
        <w:rPr>
          <w:rFonts w:ascii="Times New Roman" w:hAnsi="Times New Roman"/>
          <w:color w:val="363636"/>
          <w:szCs w:val="24"/>
        </w:rPr>
        <w:br/>
      </w:r>
    </w:p>
    <w:p w14:paraId="4C9468D3" w14:textId="77777777" w:rsidR="006E305B" w:rsidRPr="00FF5812" w:rsidRDefault="006E305B" w:rsidP="006E305B">
      <w:pPr>
        <w:pStyle w:val="Brdtekst"/>
      </w:pPr>
      <w:r>
        <w:rPr>
          <w:i/>
        </w:rPr>
        <w:t>Virkes</w:t>
      </w:r>
      <w:r w:rsidRPr="00FF5812">
        <w:t xml:space="preserve"> tariffpolitiske dokument </w:t>
      </w:r>
      <w:r>
        <w:t>for perioden 2014-2015 la</w:t>
      </w:r>
      <w:r w:rsidRPr="00FF5812">
        <w:t xml:space="preserve"> rammene for Virkes materielle forhandlingsposisjon i hovedoppgjøret for 201</w:t>
      </w:r>
      <w:r>
        <w:t xml:space="preserve">4 og mellomoppgjøret for 2015. </w:t>
      </w:r>
      <w:r w:rsidRPr="00FF5812">
        <w:t xml:space="preserve">Virke legger følgende til grunn i sin tariffpolitikk: </w:t>
      </w:r>
    </w:p>
    <w:p w14:paraId="74864D4D" w14:textId="77777777" w:rsidR="006E305B" w:rsidRDefault="006E305B" w:rsidP="006E305B">
      <w:pPr>
        <w:pStyle w:val="Listeavsnitt"/>
        <w:spacing w:line="240" w:lineRule="auto"/>
        <w:ind w:left="720"/>
      </w:pPr>
      <w:r>
        <w:t>[……]</w:t>
      </w:r>
    </w:p>
    <w:p w14:paraId="5F507D54" w14:textId="77777777" w:rsidR="006E305B" w:rsidRPr="006A382C" w:rsidRDefault="006E305B" w:rsidP="006E305B">
      <w:pPr>
        <w:pStyle w:val="Listeavsnitt"/>
        <w:numPr>
          <w:ilvl w:val="0"/>
          <w:numId w:val="33"/>
        </w:numPr>
        <w:spacing w:line="240" w:lineRule="auto"/>
      </w:pPr>
      <w:r>
        <w:t>”</w:t>
      </w:r>
      <w:r w:rsidRPr="006A382C">
        <w:t xml:space="preserve"> Frontfagsmodellen er basert på at lønnsveksten i økonomien som helhet må være tilpasset hva konkurranseutsatt sektor kan tåle. Etter dagens forhandlingssystem betyr det utekonkurrerende industri som forhandler først. Den økonomiske rammen som settes innen dette området, danner normen for øvrige forhandlingsområder.  </w:t>
      </w:r>
    </w:p>
    <w:p w14:paraId="2DE4F12F" w14:textId="77777777" w:rsidR="006E305B" w:rsidRPr="006A382C" w:rsidRDefault="006E305B" w:rsidP="006E305B">
      <w:pPr>
        <w:pStyle w:val="Listeavsnitt"/>
        <w:numPr>
          <w:ilvl w:val="0"/>
          <w:numId w:val="33"/>
        </w:numPr>
        <w:spacing w:line="240" w:lineRule="auto"/>
      </w:pPr>
      <w:r w:rsidRPr="006A382C">
        <w:t xml:space="preserve">Virke støtter det inntektspolitiske samarbeidet og ser behovet for at nivået på lønnsveksten i ulike sektorer og områder koordineres. Virke vil arbeide for en mer forpliktende koordinering på arbeidsgiversiden. </w:t>
      </w:r>
    </w:p>
    <w:p w14:paraId="4305609B" w14:textId="77777777" w:rsidR="006E305B" w:rsidRPr="006A382C" w:rsidRDefault="006E305B" w:rsidP="006E305B">
      <w:pPr>
        <w:pStyle w:val="Listeavsnitt"/>
        <w:numPr>
          <w:ilvl w:val="0"/>
          <w:numId w:val="33"/>
        </w:numPr>
        <w:spacing w:line="240" w:lineRule="auto"/>
      </w:pPr>
      <w:r w:rsidRPr="006A382C">
        <w:t>Profilen på - og fordelingen mellom de ulike elementene i - lønnsdannelsen må bygge på de utfordringer den enkelte bransje/virksomhet står ovenfor. Sosiale reformer bør ikke implementeres gjennom forhandlinger om overenskomsters innhold. Sosiale reformer bør implementeres lovveien.</w:t>
      </w:r>
    </w:p>
    <w:p w14:paraId="4057ED8E" w14:textId="77777777" w:rsidR="006E305B" w:rsidRDefault="006E305B" w:rsidP="006E305B">
      <w:pPr>
        <w:pStyle w:val="Listeavsnitt"/>
        <w:numPr>
          <w:ilvl w:val="0"/>
          <w:numId w:val="33"/>
        </w:numPr>
        <w:spacing w:line="240" w:lineRule="auto"/>
      </w:pPr>
      <w:r w:rsidRPr="006A382C">
        <w:t>Kostnader som følge av materielle end</w:t>
      </w:r>
      <w:r>
        <w:t>r</w:t>
      </w:r>
      <w:r w:rsidRPr="006A382C">
        <w:t>inger i overenskomster, skal beregnes inn i rammen for et oppgjør.</w:t>
      </w:r>
    </w:p>
    <w:p w14:paraId="084132DC" w14:textId="77777777" w:rsidR="006E305B" w:rsidRDefault="006E305B" w:rsidP="006E305B">
      <w:pPr>
        <w:pStyle w:val="Listeavsnitt"/>
        <w:spacing w:line="240" w:lineRule="auto"/>
        <w:ind w:left="720"/>
      </w:pPr>
      <w:r>
        <w:t>[……]</w:t>
      </w:r>
    </w:p>
    <w:p w14:paraId="4848E655" w14:textId="77777777" w:rsidR="006E305B" w:rsidRDefault="006E305B" w:rsidP="006E305B">
      <w:pPr>
        <w:pStyle w:val="Listeavsnitt"/>
        <w:numPr>
          <w:ilvl w:val="0"/>
          <w:numId w:val="33"/>
        </w:numPr>
        <w:spacing w:line="240" w:lineRule="auto"/>
      </w:pPr>
      <w:r w:rsidRPr="00D12F7F">
        <w:t xml:space="preserve">Virke mener at lokal fastsettelse av lønn er en ønskelig forutsetning for at partene lokalt også skal kunne samhandle godt om andre spørsmål. Lønnsveksten og fordelingen av lønnsmidler må tilpasses virksomhetenes økonomiske og konkurransemessige og driftsmessige forutsetninger. Virke mener at lokale oppgjør gir de beste forutsetningene for å kunne ivareta partenes interesser. Det bør gjennomføres lokale lønnsforhandlinger og – vurderinger. </w:t>
      </w:r>
    </w:p>
    <w:p w14:paraId="2FB91E80" w14:textId="77777777" w:rsidR="006E305B" w:rsidRDefault="006E305B" w:rsidP="006E305B">
      <w:pPr>
        <w:numPr>
          <w:ilvl w:val="0"/>
          <w:numId w:val="61"/>
        </w:numPr>
        <w:spacing w:after="0"/>
      </w:pPr>
      <w:r w:rsidRPr="00D12F7F">
        <w:t>Størrelsen på de lokale tilleggene bør fastsettes med utgangspunkt i virksomhetenes økonomi, produktivitet, konkurranseevne, framtidsutsikter og den aktuelle arbeidskraftsituasjonen. Fastsettelsen av lokale tillegg bør videre ta hensyn til hvilke tillegg som er gitt sentralt. Prinsippet</w:t>
      </w:r>
      <w:r>
        <w:t xml:space="preserve"> </w:t>
      </w:r>
      <w:r w:rsidRPr="00D12F7F">
        <w:t>om lokale forhandlinger forutsetter at den sentrale rammen, herunder avsetningen til forventet lønnsglidning, er på et slikt nivå at det er rom for lokale tillegg. Dette vil sikre en koordinering av lønnsveksten. Hensynet til frontfagsmodellen krever at lokale lønnstillegg gis innenfor en forsvarlig økonomisk ramme, og dette krever disiplin hos arbeidsgivere med god lønnsevne</w:t>
      </w:r>
      <w:r>
        <w:t>”</w:t>
      </w:r>
      <w:r w:rsidRPr="00D12F7F">
        <w:t>.</w:t>
      </w:r>
    </w:p>
    <w:p w14:paraId="6BD3E33F" w14:textId="77777777" w:rsidR="006E305B" w:rsidRPr="00D76916" w:rsidRDefault="006E305B" w:rsidP="006E305B">
      <w:pPr>
        <w:spacing w:after="0"/>
        <w:rPr>
          <w:b/>
        </w:rPr>
      </w:pPr>
    </w:p>
    <w:p w14:paraId="3AC1E46B" w14:textId="77777777" w:rsidR="006E305B" w:rsidRPr="00BE35D9" w:rsidRDefault="006E305B" w:rsidP="006E305B">
      <w:pPr>
        <w:pStyle w:val="Overskrift2"/>
        <w:spacing w:before="120" w:after="0"/>
      </w:pPr>
      <w:bookmarkStart w:id="193" w:name="_Toc256681352"/>
      <w:bookmarkStart w:id="194" w:name="_Toc256684369"/>
      <w:bookmarkStart w:id="195" w:name="_Toc257118272"/>
      <w:bookmarkStart w:id="196" w:name="_Toc257201072"/>
      <w:bookmarkStart w:id="197" w:name="_Toc257462261"/>
      <w:bookmarkStart w:id="198" w:name="_Toc264463023"/>
      <w:bookmarkStart w:id="199" w:name="_Toc264645447"/>
      <w:bookmarkStart w:id="200" w:name="_Toc286073406"/>
      <w:bookmarkStart w:id="201" w:name="_Toc286074030"/>
      <w:bookmarkStart w:id="202" w:name="_Toc286075050"/>
      <w:bookmarkStart w:id="203" w:name="_Toc286075299"/>
      <w:bookmarkStart w:id="204" w:name="_Toc358202902"/>
      <w:bookmarkStart w:id="205" w:name="_Toc359263574"/>
      <w:bookmarkStart w:id="206" w:name="_Toc422226835"/>
      <w:r w:rsidRPr="00BE35D9">
        <w:t>Oppgjørene i privat sektor</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BE35D9">
        <w:br/>
      </w:r>
    </w:p>
    <w:p w14:paraId="3B64B284" w14:textId="77777777" w:rsidR="006E305B" w:rsidRPr="00BE35D9" w:rsidRDefault="006E305B" w:rsidP="006E305B">
      <w:pPr>
        <w:pStyle w:val="Overskrift3"/>
        <w:spacing w:before="120"/>
      </w:pPr>
      <w:bookmarkStart w:id="207" w:name="_Toc256681353"/>
      <w:bookmarkStart w:id="208" w:name="_Toc256684370"/>
      <w:bookmarkStart w:id="209" w:name="_Toc257118273"/>
      <w:bookmarkStart w:id="210" w:name="_Toc257201073"/>
      <w:bookmarkStart w:id="211" w:name="_Toc257462262"/>
      <w:bookmarkStart w:id="212" w:name="_Toc264463024"/>
      <w:bookmarkStart w:id="213" w:name="_Toc264645448"/>
      <w:bookmarkStart w:id="214" w:name="_Toc286073407"/>
      <w:bookmarkStart w:id="215" w:name="_Toc286074031"/>
      <w:bookmarkStart w:id="216" w:name="_Toc286075051"/>
      <w:bookmarkStart w:id="217" w:name="_Toc286075300"/>
      <w:bookmarkStart w:id="218" w:name="_Toc358202903"/>
      <w:bookmarkStart w:id="219" w:name="_Toc359263575"/>
      <w:bookmarkStart w:id="220" w:name="_Toc422226836"/>
      <w:r w:rsidRPr="00BE35D9">
        <w:t>LO-NHO-</w:t>
      </w:r>
      <w:bookmarkEnd w:id="207"/>
      <w:bookmarkEnd w:id="208"/>
      <w:bookmarkEnd w:id="209"/>
      <w:bookmarkEnd w:id="210"/>
      <w:bookmarkEnd w:id="211"/>
      <w:r w:rsidRPr="00BE35D9">
        <w:t>området</w:t>
      </w:r>
      <w:bookmarkEnd w:id="212"/>
      <w:bookmarkEnd w:id="213"/>
      <w:bookmarkEnd w:id="214"/>
      <w:bookmarkEnd w:id="215"/>
      <w:bookmarkEnd w:id="216"/>
      <w:bookmarkEnd w:id="217"/>
      <w:bookmarkEnd w:id="218"/>
      <w:bookmarkEnd w:id="219"/>
      <w:bookmarkEnd w:id="220"/>
    </w:p>
    <w:p w14:paraId="21213D09" w14:textId="77777777" w:rsidR="006E305B" w:rsidRDefault="006E305B" w:rsidP="006E305B">
      <w:r>
        <w:t>Som alltid i et mellomoppgjør ble f</w:t>
      </w:r>
      <w:r w:rsidRPr="008965E4">
        <w:t xml:space="preserve">orhandlingene </w:t>
      </w:r>
      <w:r>
        <w:t xml:space="preserve">ført </w:t>
      </w:r>
      <w:r w:rsidRPr="008965E4">
        <w:t xml:space="preserve">mellom LO og NHO. Forhandlingene startet opp </w:t>
      </w:r>
      <w:r>
        <w:t>16</w:t>
      </w:r>
      <w:r w:rsidRPr="008965E4">
        <w:t xml:space="preserve">. mars. Den </w:t>
      </w:r>
      <w:r>
        <w:t>26</w:t>
      </w:r>
      <w:r w:rsidRPr="008965E4">
        <w:t xml:space="preserve">. mars </w:t>
      </w:r>
      <w:r>
        <w:t xml:space="preserve">kom partene fram til en forhandlingsløsning som senere er vedtatt av partene. </w:t>
      </w:r>
    </w:p>
    <w:p w14:paraId="132F35E6" w14:textId="3FDF9A42" w:rsidR="006E305B" w:rsidRDefault="006E305B" w:rsidP="006E305B">
      <w:pPr>
        <w:pStyle w:val="Listeavsnitt"/>
        <w:spacing w:before="0" w:after="120" w:line="240" w:lineRule="auto"/>
        <w:ind w:left="0"/>
      </w:pPr>
      <w:r>
        <w:rPr>
          <w:color w:val="000000"/>
        </w:rPr>
        <w:t xml:space="preserve">Det ble ikke gitt generelle tillegg. Fra 1. april </w:t>
      </w:r>
      <w:r w:rsidR="00E863EF">
        <w:rPr>
          <w:color w:val="000000"/>
        </w:rPr>
        <w:t xml:space="preserve">2015 </w:t>
      </w:r>
      <w:r>
        <w:rPr>
          <w:color w:val="000000"/>
        </w:rPr>
        <w:t>ble det gitt et lønnstillegg på kr 1,75 per time til arbeidstakere på overenskomster med gjennomsnittslønn under 90 prosent av gjennomsnittlig industriarbeiderlønn i 2014 (</w:t>
      </w:r>
      <w:r w:rsidR="00FE286A">
        <w:rPr>
          <w:color w:val="000000"/>
        </w:rPr>
        <w:t>388 013</w:t>
      </w:r>
      <w:r>
        <w:rPr>
          <w:color w:val="000000"/>
        </w:rPr>
        <w:t xml:space="preserve"> kroner). </w:t>
      </w:r>
    </w:p>
    <w:p w14:paraId="153371CE" w14:textId="427C1BF9" w:rsidR="006E305B" w:rsidRDefault="006E305B" w:rsidP="006E305B">
      <w:r>
        <w:t xml:space="preserve">Om lokale forhandlinger heter det at de skal </w:t>
      </w:r>
      <w:r w:rsidR="00D124B1">
        <w:t xml:space="preserve">være reelle og </w:t>
      </w:r>
      <w:r>
        <w:t>føres på basis av de enkelte overenskomster og slik at tillegg gis på grunnlag av den enkelte bedrifts økonomiske virkelighet, dvs. bedriftens økonomi, produktivitet, framtidsutsikter og konkurranseevne.</w:t>
      </w:r>
      <w:r w:rsidRPr="006662D1">
        <w:t xml:space="preserve"> </w:t>
      </w:r>
    </w:p>
    <w:p w14:paraId="71A1969E" w14:textId="516620A2" w:rsidR="006E305B" w:rsidRDefault="006E305B" w:rsidP="006E305B">
      <w:r>
        <w:t xml:space="preserve">Det heter også at partene forutsetter at den samlede lønnsveksten som avtales sentralt og lokalt skal være normgivende både for ledere og andre grupper av arbeidstakere i bedriftene, og for hele arbeidsmarkedet for øvrig. </w:t>
      </w:r>
      <w:bookmarkStart w:id="221" w:name="_Toc256681354"/>
      <w:bookmarkStart w:id="222" w:name="_Toc256684371"/>
      <w:bookmarkStart w:id="223" w:name="_Toc257118274"/>
      <w:bookmarkStart w:id="224" w:name="_Toc257201074"/>
      <w:bookmarkStart w:id="225" w:name="_Toc257462263"/>
      <w:bookmarkStart w:id="226" w:name="_Toc264463025"/>
      <w:bookmarkStart w:id="227" w:name="_Toc264645449"/>
      <w:bookmarkStart w:id="228" w:name="_Toc286073408"/>
      <w:bookmarkStart w:id="229" w:name="_Toc286074032"/>
      <w:bookmarkStart w:id="230" w:name="_Toc286075052"/>
      <w:bookmarkStart w:id="231" w:name="_Toc286075301"/>
      <w:bookmarkStart w:id="232" w:name="_Toc358202904"/>
      <w:bookmarkStart w:id="233" w:name="_Toc359263576"/>
    </w:p>
    <w:p w14:paraId="5F1C20BC" w14:textId="002DB1D8" w:rsidR="006E305B" w:rsidRDefault="006E305B" w:rsidP="006E305B">
      <w:r>
        <w:t>Partene ble videre enige om en felles henvendelse til Regjeringen vedrørende lov om lønnsplikt under permittering. Brevet fra partene og statsmi</w:t>
      </w:r>
      <w:r w:rsidR="00452EFE">
        <w:t>n</w:t>
      </w:r>
      <w:r>
        <w:t>isterens svarbrev er gjengitt i undervedlegg 1.</w:t>
      </w:r>
    </w:p>
    <w:p w14:paraId="5520B785" w14:textId="77777777" w:rsidR="006E305B" w:rsidRDefault="006E305B" w:rsidP="006E305B">
      <w:r w:rsidRPr="00172E98">
        <w:t>På bakgrunn av vurderinger gjort av NHO, i forståelse med LO, anslås årslønnsveksten i industrien samlet i NHO</w:t>
      </w:r>
      <w:r>
        <w:t>-</w:t>
      </w:r>
      <w:r w:rsidRPr="00172E98">
        <w:t>området til 2,7 prosent i 2015</w:t>
      </w:r>
      <w:r>
        <w:t>, jf. boks 1.1</w:t>
      </w:r>
      <w:r w:rsidRPr="00172E98">
        <w:t>.</w:t>
      </w:r>
    </w:p>
    <w:p w14:paraId="632D4062" w14:textId="77777777" w:rsidR="006E305B" w:rsidRDefault="006E305B" w:rsidP="006E305B">
      <w:pPr>
        <w:spacing w:after="0"/>
      </w:pPr>
      <w:r>
        <w:br w:type="page"/>
      </w:r>
    </w:p>
    <w:p w14:paraId="5A0BCBFD" w14:textId="5F75A61D" w:rsidR="006E305B" w:rsidRDefault="006E305B" w:rsidP="006E305B">
      <w:pPr>
        <w:spacing w:after="0"/>
      </w:pPr>
      <w:r>
        <w:rPr>
          <w:noProof/>
        </w:rPr>
        <mc:AlternateContent>
          <mc:Choice Requires="wps">
            <w:drawing>
              <wp:anchor distT="0" distB="0" distL="114300" distR="114300" simplePos="0" relativeHeight="251671552" behindDoc="0" locked="0" layoutInCell="1" allowOverlap="1" wp14:anchorId="4789036A" wp14:editId="2C3823B3">
                <wp:simplePos x="0" y="0"/>
                <wp:positionH relativeFrom="column">
                  <wp:align>center</wp:align>
                </wp:positionH>
                <wp:positionV relativeFrom="paragraph">
                  <wp:posOffset>-101600</wp:posOffset>
                </wp:positionV>
                <wp:extent cx="5941695" cy="8886825"/>
                <wp:effectExtent l="0" t="0" r="20955" b="28575"/>
                <wp:wrapNone/>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8886825"/>
                        </a:xfrm>
                        <a:prstGeom prst="rect">
                          <a:avLst/>
                        </a:prstGeom>
                        <a:solidFill>
                          <a:srgbClr val="FFFFFF"/>
                        </a:solidFill>
                        <a:ln w="9525">
                          <a:solidFill>
                            <a:srgbClr val="000000"/>
                          </a:solidFill>
                          <a:miter lim="800000"/>
                          <a:headEnd/>
                          <a:tailEnd/>
                        </a:ln>
                      </wps:spPr>
                      <wps:txbx>
                        <w:txbxContent>
                          <w:p w14:paraId="67FF00F2" w14:textId="77777777" w:rsidR="009C4B1A" w:rsidRPr="00252FA9" w:rsidRDefault="009C4B1A" w:rsidP="006E305B">
                            <w:pPr>
                              <w:autoSpaceDE w:val="0"/>
                              <w:autoSpaceDN w:val="0"/>
                              <w:adjustRightInd w:val="0"/>
                              <w:jc w:val="center"/>
                              <w:rPr>
                                <w:b/>
                                <w:sz w:val="22"/>
                                <w:szCs w:val="22"/>
                              </w:rPr>
                            </w:pPr>
                            <w:r w:rsidRPr="00252FA9">
                              <w:rPr>
                                <w:b/>
                                <w:sz w:val="22"/>
                                <w:szCs w:val="22"/>
                              </w:rPr>
                              <w:t>Boks 1.1 Vurderinger rundt rammen, mellomoppgjøret 2015.</w:t>
                            </w:r>
                          </w:p>
                          <w:p w14:paraId="3CD42732" w14:textId="77777777" w:rsidR="009C4B1A" w:rsidRPr="00252FA9" w:rsidRDefault="009C4B1A" w:rsidP="006E305B">
                            <w:pPr>
                              <w:autoSpaceDE w:val="0"/>
                              <w:autoSpaceDN w:val="0"/>
                              <w:adjustRightInd w:val="0"/>
                              <w:rPr>
                                <w:sz w:val="22"/>
                                <w:szCs w:val="22"/>
                              </w:rPr>
                            </w:pPr>
                            <w:r w:rsidRPr="00252FA9">
                              <w:rPr>
                                <w:sz w:val="22"/>
                                <w:szCs w:val="22"/>
                              </w:rPr>
                              <w:t>Totalt sett peker forholdene i realøkonomien og behovet for omstilling i retning av at det blir lavere lønnsvekst i 2015 enn i 2014. NHO har, i forståelse med LO, lagt vekt på følgende utviklingstrekk i økonomien:</w:t>
                            </w:r>
                          </w:p>
                          <w:p w14:paraId="31F0767E" w14:textId="77777777" w:rsidR="009C4B1A" w:rsidRPr="00252FA9" w:rsidRDefault="009C4B1A" w:rsidP="006E305B">
                            <w:pPr>
                              <w:pStyle w:val="Listeavsnitt"/>
                              <w:numPr>
                                <w:ilvl w:val="0"/>
                                <w:numId w:val="66"/>
                              </w:numPr>
                              <w:autoSpaceDE w:val="0"/>
                              <w:autoSpaceDN w:val="0"/>
                              <w:adjustRightInd w:val="0"/>
                              <w:spacing w:before="0" w:line="240" w:lineRule="auto"/>
                              <w:ind w:left="426" w:hanging="426"/>
                              <w:contextualSpacing/>
                              <w:rPr>
                                <w:sz w:val="22"/>
                              </w:rPr>
                            </w:pPr>
                            <w:r w:rsidRPr="00252FA9">
                              <w:rPr>
                                <w:sz w:val="22"/>
                              </w:rPr>
                              <w:t>Summen av det som nå skjer innen oljesektoren gir negative ringvirkninger for norsk økonomi i 2015. Tilbakemeldingene fra Norges Banks regionale nettverk gjenspeiler også dette.</w:t>
                            </w:r>
                          </w:p>
                          <w:p w14:paraId="70FE84A1" w14:textId="77777777" w:rsidR="009C4B1A" w:rsidRPr="00252FA9" w:rsidRDefault="009C4B1A" w:rsidP="006E305B">
                            <w:pPr>
                              <w:pStyle w:val="Listeavsnitt"/>
                              <w:numPr>
                                <w:ilvl w:val="0"/>
                                <w:numId w:val="67"/>
                              </w:numPr>
                              <w:autoSpaceDE w:val="0"/>
                              <w:autoSpaceDN w:val="0"/>
                              <w:adjustRightInd w:val="0"/>
                              <w:spacing w:before="0" w:line="240" w:lineRule="auto"/>
                              <w:ind w:hanging="294"/>
                              <w:contextualSpacing/>
                              <w:rPr>
                                <w:sz w:val="22"/>
                              </w:rPr>
                            </w:pPr>
                            <w:r w:rsidRPr="00252FA9">
                              <w:rPr>
                                <w:sz w:val="22"/>
                              </w:rPr>
                              <w:t>Nedgangen i oljeprisen har ført til svakere kontantstrøm i oljeselskapene. Dette innebærer at vedlikeholdsmarkedet ventes å bli halvert fra 2013 til 2015. Store nedbemanninger har funnet sted og nye er under oppseiling.</w:t>
                            </w:r>
                          </w:p>
                          <w:p w14:paraId="6F3311EA" w14:textId="77777777" w:rsidR="009C4B1A" w:rsidRPr="00252FA9" w:rsidRDefault="009C4B1A" w:rsidP="006E305B">
                            <w:pPr>
                              <w:pStyle w:val="Listeavsnitt"/>
                              <w:numPr>
                                <w:ilvl w:val="0"/>
                                <w:numId w:val="68"/>
                              </w:numPr>
                              <w:autoSpaceDE w:val="0"/>
                              <w:autoSpaceDN w:val="0"/>
                              <w:adjustRightInd w:val="0"/>
                              <w:spacing w:before="0" w:line="240" w:lineRule="auto"/>
                              <w:ind w:hanging="294"/>
                              <w:contextualSpacing/>
                              <w:rPr>
                                <w:sz w:val="22"/>
                              </w:rPr>
                            </w:pPr>
                            <w:r w:rsidRPr="00252FA9">
                              <w:rPr>
                                <w:sz w:val="22"/>
                              </w:rPr>
                              <w:t>Dessuten faller investeringene i petroleumssektoren. Norges Bank anslår 15 prosent i år, ytterligere 10 prosent neste år og ytterligere 5 prosent i 2017. Også dette fører til nedbemanninger gjennom året og inn i neste år.</w:t>
                            </w:r>
                          </w:p>
                          <w:p w14:paraId="154340E9" w14:textId="77777777" w:rsidR="009C4B1A" w:rsidRPr="00252FA9" w:rsidRDefault="009C4B1A" w:rsidP="006E305B">
                            <w:pPr>
                              <w:pStyle w:val="Listeavsnitt"/>
                              <w:numPr>
                                <w:ilvl w:val="0"/>
                                <w:numId w:val="69"/>
                              </w:numPr>
                              <w:autoSpaceDE w:val="0"/>
                              <w:autoSpaceDN w:val="0"/>
                              <w:adjustRightInd w:val="0"/>
                              <w:spacing w:before="0" w:line="240" w:lineRule="auto"/>
                              <w:ind w:hanging="294"/>
                              <w:contextualSpacing/>
                              <w:rPr>
                                <w:sz w:val="22"/>
                              </w:rPr>
                            </w:pPr>
                            <w:r w:rsidRPr="00252FA9">
                              <w:rPr>
                                <w:sz w:val="22"/>
                              </w:rPr>
                              <w:t>Leverandørindustrien til olje- og gassvirksomheten har de siste ti årene blitt en av våre store eksportnæringer. Med omfattende kanselleringer av riggprosjekter og utbygginger også internasjonalt, forverres eksportmulighetene for mange bedrifter, hvorav mange allerede er i gang med nedbemanning.</w:t>
                            </w:r>
                          </w:p>
                          <w:p w14:paraId="501DEAB5" w14:textId="77777777" w:rsidR="009C4B1A" w:rsidRPr="00252FA9" w:rsidRDefault="009C4B1A" w:rsidP="006E305B">
                            <w:pPr>
                              <w:pStyle w:val="Listeavsnitt"/>
                              <w:numPr>
                                <w:ilvl w:val="0"/>
                                <w:numId w:val="70"/>
                              </w:numPr>
                              <w:autoSpaceDE w:val="0"/>
                              <w:autoSpaceDN w:val="0"/>
                              <w:adjustRightInd w:val="0"/>
                              <w:spacing w:before="0" w:line="240" w:lineRule="auto"/>
                              <w:ind w:left="426" w:hanging="426"/>
                              <w:contextualSpacing/>
                              <w:rPr>
                                <w:sz w:val="22"/>
                              </w:rPr>
                            </w:pPr>
                            <w:r w:rsidRPr="00252FA9">
                              <w:rPr>
                                <w:sz w:val="22"/>
                              </w:rPr>
                              <w:t>Kronekursen er svekket og bidrar til å styrke konkurranseevnen. Eksportbedrifter og bedrifter som konkurrerer på hjemmemarkedet får bedret inntjening. Dagens svake krone kan være av midlertidig karakter.</w:t>
                            </w:r>
                          </w:p>
                          <w:p w14:paraId="26C20735" w14:textId="77777777" w:rsidR="009C4B1A" w:rsidRPr="00252FA9" w:rsidRDefault="009C4B1A" w:rsidP="006E305B">
                            <w:pPr>
                              <w:pStyle w:val="Listeavsnitt"/>
                              <w:numPr>
                                <w:ilvl w:val="0"/>
                                <w:numId w:val="71"/>
                              </w:numPr>
                              <w:autoSpaceDE w:val="0"/>
                              <w:autoSpaceDN w:val="0"/>
                              <w:adjustRightInd w:val="0"/>
                              <w:spacing w:before="0" w:line="240" w:lineRule="auto"/>
                              <w:ind w:left="426" w:hanging="426"/>
                              <w:contextualSpacing/>
                              <w:rPr>
                                <w:sz w:val="22"/>
                              </w:rPr>
                            </w:pPr>
                            <w:r w:rsidRPr="00252FA9">
                              <w:rPr>
                                <w:sz w:val="22"/>
                              </w:rPr>
                              <w:t>Norsk økonomi har hatt store bytteforholdsgevinster på 2000-tallet. NHO og LO er som Holden-utvalget pekte på, bevisste på at de bytteforholdsgevinstene vi har hatt ikke er det normale. Utviklingen har snudd, og bytteforholdstapet økte gjennom fjoråret og inn i 2015.</w:t>
                            </w:r>
                          </w:p>
                          <w:p w14:paraId="7C9B53D7" w14:textId="77777777" w:rsidR="009C4B1A" w:rsidRPr="00252FA9" w:rsidRDefault="009C4B1A" w:rsidP="006E305B">
                            <w:pPr>
                              <w:pStyle w:val="Listeavsnitt"/>
                              <w:numPr>
                                <w:ilvl w:val="0"/>
                                <w:numId w:val="72"/>
                              </w:numPr>
                              <w:autoSpaceDE w:val="0"/>
                              <w:autoSpaceDN w:val="0"/>
                              <w:adjustRightInd w:val="0"/>
                              <w:spacing w:before="0" w:line="240" w:lineRule="auto"/>
                              <w:ind w:left="426" w:hanging="426"/>
                              <w:contextualSpacing/>
                              <w:rPr>
                                <w:sz w:val="22"/>
                              </w:rPr>
                            </w:pPr>
                            <w:r w:rsidRPr="00252FA9">
                              <w:rPr>
                                <w:sz w:val="22"/>
                              </w:rPr>
                              <w:t xml:space="preserve">Svakere valuta gjennom fjoråret bidro til en bedring på 6 prosent i den relative timelønnskostnadsveksten i industrien i Norge sammenliknet med handelspartnerne. Fortsatt er kronen svakere enn snittet i fjor. Holden III-utvalget vektla at </w:t>
                            </w:r>
                            <w:r w:rsidRPr="00252FA9">
                              <w:rPr>
                                <w:i/>
                                <w:sz w:val="22"/>
                              </w:rPr>
                              <w:t>"For å redusere risikoen for en sterk nedbygging av konkurranseutsatt sektor, bør den</w:t>
                            </w:r>
                            <w:r w:rsidRPr="00252FA9">
                              <w:rPr>
                                <w:i/>
                                <w:iCs/>
                                <w:sz w:val="22"/>
                              </w:rPr>
                              <w:t xml:space="preserve"> </w:t>
                            </w:r>
                            <w:r w:rsidRPr="00252FA9">
                              <w:rPr>
                                <w:i/>
                                <w:sz w:val="22"/>
                              </w:rPr>
                              <w:t>kostnadsmessige konkurranseevnen ikke svekkes. På lengre sikt er det trolig nødvendig med en forbedring, særlig dersom oljeprisen skulle falle markert. En moderat lønnsvekst vil bidra til bedre konkurranseevne både direkte, og indirekte gjennom lavere rente og svakere kronekurs. Det vil gi tryggere grunnlag for høy sysselsetting og lav arbeidsledighet framover."</w:t>
                            </w:r>
                            <w:r w:rsidRPr="00252FA9">
                              <w:rPr>
                                <w:sz w:val="22"/>
                              </w:rPr>
                              <w:t xml:space="preserve"> NHO og LO har i mellomoppgjøret lagt vekt på disse sammenhengene.</w:t>
                            </w:r>
                          </w:p>
                          <w:p w14:paraId="6DEC6C45" w14:textId="77777777" w:rsidR="009C4B1A" w:rsidRPr="00252FA9" w:rsidRDefault="009C4B1A" w:rsidP="006E305B">
                            <w:pPr>
                              <w:pStyle w:val="Listeavsnitt"/>
                              <w:numPr>
                                <w:ilvl w:val="0"/>
                                <w:numId w:val="72"/>
                              </w:numPr>
                              <w:autoSpaceDE w:val="0"/>
                              <w:autoSpaceDN w:val="0"/>
                              <w:adjustRightInd w:val="0"/>
                              <w:spacing w:before="0" w:line="240" w:lineRule="auto"/>
                              <w:ind w:left="426" w:hanging="426"/>
                              <w:contextualSpacing/>
                              <w:rPr>
                                <w:sz w:val="22"/>
                              </w:rPr>
                            </w:pPr>
                            <w:r w:rsidRPr="00252FA9">
                              <w:rPr>
                                <w:sz w:val="22"/>
                              </w:rPr>
                              <w:t xml:space="preserve">Anslag for veksten i BNP Fastlands-Norge for 2015 er gjennomgående lavere enn hva den var i 2014. SSB anslår en vekst i BNP Fastlands-Norge på 1,1 prosent mot 2,3 prosent i fjor. Ifølge Norges Banks regionale nettverk vurderes kapasitetsutnyttingen nå å være lavere enn det som kan anses å være et normalt nivå, og den forventes å avta fremover. </w:t>
                            </w:r>
                          </w:p>
                          <w:p w14:paraId="22027500" w14:textId="77777777" w:rsidR="009C4B1A" w:rsidRPr="00252FA9" w:rsidRDefault="009C4B1A" w:rsidP="006E305B">
                            <w:pPr>
                              <w:pStyle w:val="Listeavsnitt"/>
                              <w:numPr>
                                <w:ilvl w:val="0"/>
                                <w:numId w:val="72"/>
                              </w:numPr>
                              <w:autoSpaceDE w:val="0"/>
                              <w:autoSpaceDN w:val="0"/>
                              <w:adjustRightInd w:val="0"/>
                              <w:spacing w:before="0" w:line="240" w:lineRule="auto"/>
                              <w:ind w:left="426" w:hanging="426"/>
                              <w:contextualSpacing/>
                              <w:rPr>
                                <w:sz w:val="22"/>
                              </w:rPr>
                            </w:pPr>
                            <w:r w:rsidRPr="00252FA9">
                              <w:rPr>
                                <w:sz w:val="22"/>
                              </w:rPr>
                              <w:t>Også arbeidsmarkedet er svakere. Veksten i sysselsettingen ventes å nærmest stoppe opp i 2015 ifølge SSB. Arbeidsledigheten vil øke. Arbeidsmarkedet er mindre stramt enn tidligere, også for funksjonærgrupper som for eksempel ingeniører. Fortsatt redusert sysselsetting i oljerelatert virksomhet vil nå bidra til å dempe lønnsveksten.</w:t>
                            </w:r>
                          </w:p>
                          <w:p w14:paraId="534F440F" w14:textId="77777777" w:rsidR="009C4B1A" w:rsidRPr="00252FA9" w:rsidRDefault="009C4B1A" w:rsidP="006E305B">
                            <w:pPr>
                              <w:pStyle w:val="Listeavsnitt"/>
                              <w:numPr>
                                <w:ilvl w:val="0"/>
                                <w:numId w:val="72"/>
                              </w:numPr>
                              <w:autoSpaceDE w:val="0"/>
                              <w:autoSpaceDN w:val="0"/>
                              <w:adjustRightInd w:val="0"/>
                              <w:spacing w:before="0" w:line="240" w:lineRule="auto"/>
                              <w:ind w:left="426" w:hanging="426"/>
                              <w:contextualSpacing/>
                              <w:rPr>
                                <w:sz w:val="22"/>
                              </w:rPr>
                            </w:pPr>
                            <w:r w:rsidRPr="00252FA9">
                              <w:rPr>
                                <w:sz w:val="22"/>
                              </w:rPr>
                              <w:t>Lønnstendensen i industrien har vært avtakende for både arbeidere og funksjonærer etter 2011 ifølge lønnsstatistikken per 1. oktober. Det er viktig at alle grupper tilpasser de rammer som det er enighet om i frontfaget. Overhenget inn i 2015 er beregnet til 1 prosentpoeng for industriarbeidere og 1,3 prosentpoeng for industrifunksjonærer. Pågående nedbemanning av ingeniører og sivilingeniører i leverandørindustrien, samt nedskjæringer av frittstående konsulenter og innleide funksjonærer, vil bidra til å dempe lønnsveksten lokalt.</w:t>
                            </w:r>
                          </w:p>
                          <w:p w14:paraId="22F2E318" w14:textId="77777777" w:rsidR="009C4B1A" w:rsidRPr="00252FA9" w:rsidRDefault="009C4B1A" w:rsidP="006E305B">
                            <w:pPr>
                              <w:autoSpaceDE w:val="0"/>
                              <w:autoSpaceDN w:val="0"/>
                              <w:adjustRightInd w:val="0"/>
                              <w:rPr>
                                <w:rFonts w:ascii="Tahoma" w:hAnsi="Tahoma" w:cs="Tahoma"/>
                                <w:sz w:val="22"/>
                                <w:szCs w:val="22"/>
                              </w:rPr>
                            </w:pPr>
                          </w:p>
                          <w:p w14:paraId="5AFEDBEB" w14:textId="77777777" w:rsidR="009C4B1A" w:rsidRPr="00252FA9" w:rsidRDefault="009C4B1A" w:rsidP="006E305B">
                            <w:pPr>
                              <w:autoSpaceDE w:val="0"/>
                              <w:autoSpaceDN w:val="0"/>
                              <w:adjustRightInd w:val="0"/>
                              <w:rPr>
                                <w:rFonts w:ascii="Tahoma" w:hAnsi="Tahoma" w:cs="Tahoma"/>
                                <w:sz w:val="22"/>
                                <w:szCs w:val="22"/>
                              </w:rPr>
                            </w:pPr>
                            <w:r w:rsidRPr="00252FA9">
                              <w:rPr>
                                <w:rFonts w:ascii="Tahoma" w:hAnsi="Tahoma" w:cs="Tahoma"/>
                                <w:sz w:val="22"/>
                                <w:szCs w:val="22"/>
                              </w:rPr>
                              <w:t>Ramme</w:t>
                            </w:r>
                          </w:p>
                          <w:p w14:paraId="7E47BC28" w14:textId="2DE3D18E" w:rsidR="009C4B1A" w:rsidRPr="00252FA9" w:rsidRDefault="009C4B1A" w:rsidP="006E305B">
                            <w:pPr>
                              <w:autoSpaceDE w:val="0"/>
                              <w:autoSpaceDN w:val="0"/>
                              <w:adjustRightInd w:val="0"/>
                              <w:rPr>
                                <w:sz w:val="22"/>
                                <w:szCs w:val="22"/>
                              </w:rPr>
                            </w:pPr>
                            <w:r w:rsidRPr="00252FA9">
                              <w:rPr>
                                <w:sz w:val="22"/>
                                <w:szCs w:val="22"/>
                              </w:rPr>
                              <w:t>På bakgrunn av vurderinger gjort av NHO, i forståelse med LO, anslås årslønnsveksten i industrien samlet i NHO</w:t>
                            </w:r>
                            <w:r>
                              <w:rPr>
                                <w:sz w:val="22"/>
                                <w:szCs w:val="22"/>
                              </w:rPr>
                              <w:t>-</w:t>
                            </w:r>
                            <w:r w:rsidRPr="00252FA9">
                              <w:rPr>
                                <w:sz w:val="22"/>
                                <w:szCs w:val="22"/>
                              </w:rPr>
                              <w:t>området til 2,7 prosent i 2015. Rammen er basert på 1 prosentpoeng overheng i LO-NHO-området, 0,3 prosentpoeng bidrag fra tarifftillegg i LO-NHO-området og 1,3 prosentpoeng overheng for industrifunksjonærer. Partene har i utarbeidelsen av anslaget for lønnsrammen forsøkt å ta tilstrekkelig hensyn til de økonomiske utsiktene og behovet for omstilling.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9036A" id="Tekstboks 8" o:spid="_x0000_s1029" type="#_x0000_t202" style="position:absolute;margin-left:0;margin-top:-8pt;width:467.85pt;height:699.7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">
                <v:textbox>
                  <w:txbxContent>
                    <w:p w14:paraId="67FF00F2" w14:textId="77777777" w:rsidR="009C4B1A" w:rsidRPr="00252FA9" w:rsidRDefault="009C4B1A" w:rsidP="006E305B">
                      <w:pPr>
                        <w:autoSpaceDE w:val="0"/>
                        <w:autoSpaceDN w:val="0"/>
                        <w:adjustRightInd w:val="0"/>
                        <w:jc w:val="center"/>
                        <w:rPr>
                          <w:b/>
                          <w:sz w:val="22"/>
                          <w:szCs w:val="22"/>
                        </w:rPr>
                      </w:pPr>
                      <w:r w:rsidRPr="00252FA9">
                        <w:rPr>
                          <w:b/>
                          <w:sz w:val="22"/>
                          <w:szCs w:val="22"/>
                        </w:rPr>
                        <w:t>Boks 1.1 Vurderinger rundt rammen, mellomoppgjøret 2015.</w:t>
                      </w:r>
                    </w:p>
                    <w:p w14:paraId="3CD42732" w14:textId="77777777" w:rsidR="009C4B1A" w:rsidRPr="00252FA9" w:rsidRDefault="009C4B1A" w:rsidP="006E305B">
                      <w:pPr>
                        <w:autoSpaceDE w:val="0"/>
                        <w:autoSpaceDN w:val="0"/>
                        <w:adjustRightInd w:val="0"/>
                        <w:rPr>
                          <w:sz w:val="22"/>
                          <w:szCs w:val="22"/>
                        </w:rPr>
                      </w:pPr>
                      <w:r w:rsidRPr="00252FA9">
                        <w:rPr>
                          <w:sz w:val="22"/>
                          <w:szCs w:val="22"/>
                        </w:rPr>
                        <w:t>Totalt sett peker forholdene i realøkonomien og behovet for omstilling i retning av at det blir lavere lønnsvekst i 2015 enn i 2014. NHO har, i forståelse med LO, lagt vekt på følgende utviklingstrekk i økonomien:</w:t>
                      </w:r>
                    </w:p>
                    <w:p w14:paraId="31F0767E" w14:textId="77777777" w:rsidR="009C4B1A" w:rsidRPr="00252FA9" w:rsidRDefault="009C4B1A" w:rsidP="006E305B">
                      <w:pPr>
                        <w:pStyle w:val="Listeavsnitt"/>
                        <w:numPr>
                          <w:ilvl w:val="0"/>
                          <w:numId w:val="66"/>
                        </w:numPr>
                        <w:autoSpaceDE w:val="0"/>
                        <w:autoSpaceDN w:val="0"/>
                        <w:adjustRightInd w:val="0"/>
                        <w:spacing w:before="0" w:line="240" w:lineRule="auto"/>
                        <w:ind w:left="426" w:hanging="426"/>
                        <w:contextualSpacing/>
                        <w:rPr>
                          <w:sz w:val="22"/>
                        </w:rPr>
                      </w:pPr>
                      <w:r w:rsidRPr="00252FA9">
                        <w:rPr>
                          <w:sz w:val="22"/>
                        </w:rPr>
                        <w:t>Summen av det som nå skjer innen oljesektoren gir negative ringvirkninger for norsk økonomi i 2015. Tilbakemeldingene fra Norges Banks regionale nettverk gjenspeiler også dette.</w:t>
                      </w:r>
                    </w:p>
                    <w:p w14:paraId="70FE84A1" w14:textId="77777777" w:rsidR="009C4B1A" w:rsidRPr="00252FA9" w:rsidRDefault="009C4B1A" w:rsidP="006E305B">
                      <w:pPr>
                        <w:pStyle w:val="Listeavsnitt"/>
                        <w:numPr>
                          <w:ilvl w:val="0"/>
                          <w:numId w:val="67"/>
                        </w:numPr>
                        <w:autoSpaceDE w:val="0"/>
                        <w:autoSpaceDN w:val="0"/>
                        <w:adjustRightInd w:val="0"/>
                        <w:spacing w:before="0" w:line="240" w:lineRule="auto"/>
                        <w:ind w:hanging="294"/>
                        <w:contextualSpacing/>
                        <w:rPr>
                          <w:sz w:val="22"/>
                        </w:rPr>
                      </w:pPr>
                      <w:r w:rsidRPr="00252FA9">
                        <w:rPr>
                          <w:sz w:val="22"/>
                        </w:rPr>
                        <w:t>Nedgangen i oljeprisen har ført til svakere kontantstrøm i oljeselskapene. Dette innebærer at vedlikeholdsmarkedet ventes å bli halvert fra 2013 til 2015. Store nedbemanninger har funnet sted og nye er under oppseiling.</w:t>
                      </w:r>
                    </w:p>
                    <w:p w14:paraId="6F3311EA" w14:textId="77777777" w:rsidR="009C4B1A" w:rsidRPr="00252FA9" w:rsidRDefault="009C4B1A" w:rsidP="006E305B">
                      <w:pPr>
                        <w:pStyle w:val="Listeavsnitt"/>
                        <w:numPr>
                          <w:ilvl w:val="0"/>
                          <w:numId w:val="68"/>
                        </w:numPr>
                        <w:autoSpaceDE w:val="0"/>
                        <w:autoSpaceDN w:val="0"/>
                        <w:adjustRightInd w:val="0"/>
                        <w:spacing w:before="0" w:line="240" w:lineRule="auto"/>
                        <w:ind w:hanging="294"/>
                        <w:contextualSpacing/>
                        <w:rPr>
                          <w:sz w:val="22"/>
                        </w:rPr>
                      </w:pPr>
                      <w:r w:rsidRPr="00252FA9">
                        <w:rPr>
                          <w:sz w:val="22"/>
                        </w:rPr>
                        <w:t>Dessuten faller investeringene i petroleumssektoren. Norges Bank anslår 15 prosent i år, ytterligere 10 prosent neste år og ytterligere 5 prosent i 2017. Også dette fører til nedbemanninger gjennom året og inn i neste år.</w:t>
                      </w:r>
                    </w:p>
                    <w:p w14:paraId="154340E9" w14:textId="77777777" w:rsidR="009C4B1A" w:rsidRPr="00252FA9" w:rsidRDefault="009C4B1A" w:rsidP="006E305B">
                      <w:pPr>
                        <w:pStyle w:val="Listeavsnitt"/>
                        <w:numPr>
                          <w:ilvl w:val="0"/>
                          <w:numId w:val="69"/>
                        </w:numPr>
                        <w:autoSpaceDE w:val="0"/>
                        <w:autoSpaceDN w:val="0"/>
                        <w:adjustRightInd w:val="0"/>
                        <w:spacing w:before="0" w:line="240" w:lineRule="auto"/>
                        <w:ind w:hanging="294"/>
                        <w:contextualSpacing/>
                        <w:rPr>
                          <w:sz w:val="22"/>
                        </w:rPr>
                      </w:pPr>
                      <w:r w:rsidRPr="00252FA9">
                        <w:rPr>
                          <w:sz w:val="22"/>
                        </w:rPr>
                        <w:t>Leverandørindustrien til olje- og gassvirksomheten har de siste ti årene blitt en av våre store eksportnæringer. Med omfattende kanselleringer av riggprosjekter og utbygginger også internasjonalt, forverres eksportmulighetene for mange bedrifter, hvorav mange allerede er i gang med nedbemanning.</w:t>
                      </w:r>
                    </w:p>
                    <w:p w14:paraId="501DEAB5" w14:textId="77777777" w:rsidR="009C4B1A" w:rsidRPr="00252FA9" w:rsidRDefault="009C4B1A" w:rsidP="006E305B">
                      <w:pPr>
                        <w:pStyle w:val="Listeavsnitt"/>
                        <w:numPr>
                          <w:ilvl w:val="0"/>
                          <w:numId w:val="70"/>
                        </w:numPr>
                        <w:autoSpaceDE w:val="0"/>
                        <w:autoSpaceDN w:val="0"/>
                        <w:adjustRightInd w:val="0"/>
                        <w:spacing w:before="0" w:line="240" w:lineRule="auto"/>
                        <w:ind w:left="426" w:hanging="426"/>
                        <w:contextualSpacing/>
                        <w:rPr>
                          <w:sz w:val="22"/>
                        </w:rPr>
                      </w:pPr>
                      <w:r w:rsidRPr="00252FA9">
                        <w:rPr>
                          <w:sz w:val="22"/>
                        </w:rPr>
                        <w:t>Kronekursen er svekket og bidrar til å styrke konkurranseevnen. Eksportbedrifter og bedrifter som konkurrerer på hjemmemarkedet får bedret inntjening. Dagens svake krone kan være av midlertidig karakter.</w:t>
                      </w:r>
                    </w:p>
                    <w:p w14:paraId="26C20735" w14:textId="77777777" w:rsidR="009C4B1A" w:rsidRPr="00252FA9" w:rsidRDefault="009C4B1A" w:rsidP="006E305B">
                      <w:pPr>
                        <w:pStyle w:val="Listeavsnitt"/>
                        <w:numPr>
                          <w:ilvl w:val="0"/>
                          <w:numId w:val="71"/>
                        </w:numPr>
                        <w:autoSpaceDE w:val="0"/>
                        <w:autoSpaceDN w:val="0"/>
                        <w:adjustRightInd w:val="0"/>
                        <w:spacing w:before="0" w:line="240" w:lineRule="auto"/>
                        <w:ind w:left="426" w:hanging="426"/>
                        <w:contextualSpacing/>
                        <w:rPr>
                          <w:sz w:val="22"/>
                        </w:rPr>
                      </w:pPr>
                      <w:r w:rsidRPr="00252FA9">
                        <w:rPr>
                          <w:sz w:val="22"/>
                        </w:rPr>
                        <w:t>Norsk økonomi har hatt store bytteforholdsgevinster på 2000-tallet. NHO og LO er som Holden-utvalget pekte på, bevisste på at de bytteforholdsgevinstene vi har hatt ikke er det normale. Utviklingen har snudd, og bytteforholdstapet økte gjennom fjoråret og inn i 2015.</w:t>
                      </w:r>
                    </w:p>
                    <w:p w14:paraId="7C9B53D7" w14:textId="77777777" w:rsidR="009C4B1A" w:rsidRPr="00252FA9" w:rsidRDefault="009C4B1A" w:rsidP="006E305B">
                      <w:pPr>
                        <w:pStyle w:val="Listeavsnitt"/>
                        <w:numPr>
                          <w:ilvl w:val="0"/>
                          <w:numId w:val="72"/>
                        </w:numPr>
                        <w:autoSpaceDE w:val="0"/>
                        <w:autoSpaceDN w:val="0"/>
                        <w:adjustRightInd w:val="0"/>
                        <w:spacing w:before="0" w:line="240" w:lineRule="auto"/>
                        <w:ind w:left="426" w:hanging="426"/>
                        <w:contextualSpacing/>
                        <w:rPr>
                          <w:sz w:val="22"/>
                        </w:rPr>
                      </w:pPr>
                      <w:r w:rsidRPr="00252FA9">
                        <w:rPr>
                          <w:sz w:val="22"/>
                        </w:rPr>
                        <w:t xml:space="preserve">Svakere valuta gjennom fjoråret bidro til en bedring på 6 prosent i den relative timelønnskostnadsveksten i industrien i Norge sammenliknet med handelspartnerne. Fortsatt er kronen svakere enn snittet i fjor. Holden III-utvalget vektla at </w:t>
                      </w:r>
                      <w:r w:rsidRPr="00252FA9">
                        <w:rPr>
                          <w:i/>
                          <w:sz w:val="22"/>
                        </w:rPr>
                        <w:t>"For å redusere risikoen for en sterk nedbygging av konkurranseutsatt sektor, bør den</w:t>
                      </w:r>
                      <w:r w:rsidRPr="00252FA9">
                        <w:rPr>
                          <w:i/>
                          <w:iCs/>
                          <w:sz w:val="22"/>
                        </w:rPr>
                        <w:t xml:space="preserve"> </w:t>
                      </w:r>
                      <w:r w:rsidRPr="00252FA9">
                        <w:rPr>
                          <w:i/>
                          <w:sz w:val="22"/>
                        </w:rPr>
                        <w:t>kostnadsmessige konkurranseevnen ikke svekkes. På lengre sikt er det trolig nødvendig med en forbedring, særlig dersom oljeprisen skulle falle markert. En moderat lønnsvekst vil bidra til bedre konkurranseevne både direkte, og indirekte gjennom lavere rente og svakere kronekurs. Det vil gi tryggere grunnlag for høy sysselsetting og lav arbeidsledighet framover."</w:t>
                      </w:r>
                      <w:r w:rsidRPr="00252FA9">
                        <w:rPr>
                          <w:sz w:val="22"/>
                        </w:rPr>
                        <w:t xml:space="preserve"> NHO og LO har i mellomoppgjøret lagt vekt på disse sammenhengene.</w:t>
                      </w:r>
                    </w:p>
                    <w:p w14:paraId="6DEC6C45" w14:textId="77777777" w:rsidR="009C4B1A" w:rsidRPr="00252FA9" w:rsidRDefault="009C4B1A" w:rsidP="006E305B">
                      <w:pPr>
                        <w:pStyle w:val="Listeavsnitt"/>
                        <w:numPr>
                          <w:ilvl w:val="0"/>
                          <w:numId w:val="72"/>
                        </w:numPr>
                        <w:autoSpaceDE w:val="0"/>
                        <w:autoSpaceDN w:val="0"/>
                        <w:adjustRightInd w:val="0"/>
                        <w:spacing w:before="0" w:line="240" w:lineRule="auto"/>
                        <w:ind w:left="426" w:hanging="426"/>
                        <w:contextualSpacing/>
                        <w:rPr>
                          <w:sz w:val="22"/>
                        </w:rPr>
                      </w:pPr>
                      <w:r w:rsidRPr="00252FA9">
                        <w:rPr>
                          <w:sz w:val="22"/>
                        </w:rPr>
                        <w:t xml:space="preserve">Anslag for veksten i BNP Fastlands-Norge for 2015 er gjennomgående lavere enn hva den var i 2014. SSB anslår en vekst i BNP Fastlands-Norge på 1,1 prosent mot 2,3 prosent i fjor. Ifølge Norges Banks regionale nettverk vurderes kapasitetsutnyttingen nå å være lavere enn det som kan anses å være et normalt nivå, og den forventes å avta fremover. </w:t>
                      </w:r>
                    </w:p>
                    <w:p w14:paraId="22027500" w14:textId="77777777" w:rsidR="009C4B1A" w:rsidRPr="00252FA9" w:rsidRDefault="009C4B1A" w:rsidP="006E305B">
                      <w:pPr>
                        <w:pStyle w:val="Listeavsnitt"/>
                        <w:numPr>
                          <w:ilvl w:val="0"/>
                          <w:numId w:val="72"/>
                        </w:numPr>
                        <w:autoSpaceDE w:val="0"/>
                        <w:autoSpaceDN w:val="0"/>
                        <w:adjustRightInd w:val="0"/>
                        <w:spacing w:before="0" w:line="240" w:lineRule="auto"/>
                        <w:ind w:left="426" w:hanging="426"/>
                        <w:contextualSpacing/>
                        <w:rPr>
                          <w:sz w:val="22"/>
                        </w:rPr>
                      </w:pPr>
                      <w:r w:rsidRPr="00252FA9">
                        <w:rPr>
                          <w:sz w:val="22"/>
                        </w:rPr>
                        <w:t>Også arbeidsmarkedet er svakere. Veksten i sysselsettingen ventes å nærmest stoppe opp i 2015 ifølge SSB. Arbeidsledigheten vil øke. Arbeidsmarkedet er mindre stramt enn tidligere, også for funksjonærgrupper som for eksempel ingeniører. Fortsatt redusert sysselsetting i oljerelatert virksomhet vil nå bidra til å dempe lønnsveksten.</w:t>
                      </w:r>
                    </w:p>
                    <w:p w14:paraId="534F440F" w14:textId="77777777" w:rsidR="009C4B1A" w:rsidRPr="00252FA9" w:rsidRDefault="009C4B1A" w:rsidP="006E305B">
                      <w:pPr>
                        <w:pStyle w:val="Listeavsnitt"/>
                        <w:numPr>
                          <w:ilvl w:val="0"/>
                          <w:numId w:val="72"/>
                        </w:numPr>
                        <w:autoSpaceDE w:val="0"/>
                        <w:autoSpaceDN w:val="0"/>
                        <w:adjustRightInd w:val="0"/>
                        <w:spacing w:before="0" w:line="240" w:lineRule="auto"/>
                        <w:ind w:left="426" w:hanging="426"/>
                        <w:contextualSpacing/>
                        <w:rPr>
                          <w:sz w:val="22"/>
                        </w:rPr>
                      </w:pPr>
                      <w:r w:rsidRPr="00252FA9">
                        <w:rPr>
                          <w:sz w:val="22"/>
                        </w:rPr>
                        <w:t>Lønnstendensen i industrien har vært avtakende for både arbeidere og funksjonærer etter 2011 ifølge lønnsstatistikken per 1. oktober. Det er viktig at alle grupper tilpasser de rammer som det er enighet om i frontfaget. Overhenget inn i 2015 er beregnet til 1 prosentpoeng for industriarbeidere og 1,3 prosentpoeng for industrifunksjonærer. Pågående nedbemanning av ingeniører og sivilingeniører i leverandørindustrien, samt nedskjæringer av frittstående konsulenter og innleide funksjonærer, vil bidra til å dempe lønnsveksten lokalt.</w:t>
                      </w:r>
                    </w:p>
                    <w:p w14:paraId="22F2E318" w14:textId="77777777" w:rsidR="009C4B1A" w:rsidRPr="00252FA9" w:rsidRDefault="009C4B1A" w:rsidP="006E305B">
                      <w:pPr>
                        <w:autoSpaceDE w:val="0"/>
                        <w:autoSpaceDN w:val="0"/>
                        <w:adjustRightInd w:val="0"/>
                        <w:rPr>
                          <w:rFonts w:ascii="Tahoma" w:hAnsi="Tahoma" w:cs="Tahoma"/>
                          <w:sz w:val="22"/>
                          <w:szCs w:val="22"/>
                        </w:rPr>
                      </w:pPr>
                    </w:p>
                    <w:p w14:paraId="5AFEDBEB" w14:textId="77777777" w:rsidR="009C4B1A" w:rsidRPr="00252FA9" w:rsidRDefault="009C4B1A" w:rsidP="006E305B">
                      <w:pPr>
                        <w:autoSpaceDE w:val="0"/>
                        <w:autoSpaceDN w:val="0"/>
                        <w:adjustRightInd w:val="0"/>
                        <w:rPr>
                          <w:rFonts w:ascii="Tahoma" w:hAnsi="Tahoma" w:cs="Tahoma"/>
                          <w:sz w:val="22"/>
                          <w:szCs w:val="22"/>
                        </w:rPr>
                      </w:pPr>
                      <w:r w:rsidRPr="00252FA9">
                        <w:rPr>
                          <w:rFonts w:ascii="Tahoma" w:hAnsi="Tahoma" w:cs="Tahoma"/>
                          <w:sz w:val="22"/>
                          <w:szCs w:val="22"/>
                        </w:rPr>
                        <w:t>Ramme</w:t>
                      </w:r>
                    </w:p>
                    <w:p w14:paraId="7E47BC28" w14:textId="2DE3D18E" w:rsidR="009C4B1A" w:rsidRPr="00252FA9" w:rsidRDefault="009C4B1A" w:rsidP="006E305B">
                      <w:pPr>
                        <w:autoSpaceDE w:val="0"/>
                        <w:autoSpaceDN w:val="0"/>
                        <w:adjustRightInd w:val="0"/>
                        <w:rPr>
                          <w:sz w:val="22"/>
                          <w:szCs w:val="22"/>
                        </w:rPr>
                      </w:pPr>
                      <w:r w:rsidRPr="00252FA9">
                        <w:rPr>
                          <w:sz w:val="22"/>
                          <w:szCs w:val="22"/>
                        </w:rPr>
                        <w:t>På bakgrunn av vurderinger gjort av NHO, i forståelse med LO, anslås årslønnsveksten i industrien samlet i NHO</w:t>
                      </w:r>
                      <w:r>
                        <w:rPr>
                          <w:sz w:val="22"/>
                          <w:szCs w:val="22"/>
                        </w:rPr>
                        <w:t>-</w:t>
                      </w:r>
                      <w:r w:rsidRPr="00252FA9">
                        <w:rPr>
                          <w:sz w:val="22"/>
                          <w:szCs w:val="22"/>
                        </w:rPr>
                        <w:t>området til 2,7 prosent i 2015. Rammen er basert på 1 prosentpoeng overheng i LO-NHO-området, 0,3 prosentpoeng bidrag fra tarifftillegg i LO-NHO-området og 1,3 prosentpoeng overheng for industrifunksjonærer. Partene har i utarbeidelsen av anslaget for lønnsrammen forsøkt å ta tilstrekkelig hensyn til de økonomiske utsiktene og behovet for omstilling.</w:t>
                      </w:r>
                    </w:p>
                  </w:txbxContent>
                </v:textbox>
              </v:shape>
            </w:pict>
          </mc:Fallback>
        </mc:AlternateContent>
      </w:r>
      <w:r>
        <w:br w:type="page"/>
      </w:r>
    </w:p>
    <w:p w14:paraId="119D8154" w14:textId="77777777" w:rsidR="006E305B" w:rsidRDefault="006E305B" w:rsidP="006E305B">
      <w:pPr>
        <w:pStyle w:val="Overskrift3"/>
      </w:pPr>
      <w:bookmarkStart w:id="234" w:name="_Toc422226837"/>
      <w:r w:rsidRPr="007A1762">
        <w:t>Oppgjørene i privat sektor utenom LO-NHO-området</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27733E1" w14:textId="77777777" w:rsidR="006E305B" w:rsidRDefault="006E305B" w:rsidP="006E305B">
      <w:r>
        <w:t xml:space="preserve">Den 26. mars ble det også en forhandlingsløsning mellom </w:t>
      </w:r>
      <w:r w:rsidRPr="00B170D0">
        <w:rPr>
          <w:i/>
        </w:rPr>
        <w:t>YS og NHO</w:t>
      </w:r>
      <w:r>
        <w:rPr>
          <w:i/>
        </w:rPr>
        <w:t xml:space="preserve"> </w:t>
      </w:r>
      <w:r w:rsidRPr="00BB2C97">
        <w:t>som</w:t>
      </w:r>
      <w:r>
        <w:t xml:space="preserve"> senere er vedtatt av partene. </w:t>
      </w:r>
      <w:r w:rsidRPr="001E666E">
        <w:t>Det ble gitt samme lønnstillegg som i oppgjøret mellom LO og NHO.</w:t>
      </w:r>
      <w:r>
        <w:t xml:space="preserve"> </w:t>
      </w:r>
      <w:r w:rsidRPr="00B522DB">
        <w:t xml:space="preserve">YS og NHO har i fellesskap over 50 overenskomster. De fleste av disse er likelydende med </w:t>
      </w:r>
      <w:r>
        <w:t xml:space="preserve">større </w:t>
      </w:r>
      <w:r w:rsidRPr="00B522DB">
        <w:t>avtaler som LO har for tilsvarende områder og fikk samme forhandlingsresultat. De øvrige avtalene fikk et resultat innenfor rammen av frontfaget.</w:t>
      </w:r>
    </w:p>
    <w:p w14:paraId="120E19B4" w14:textId="55FED286" w:rsidR="006E305B" w:rsidRDefault="006E305B" w:rsidP="006E305B">
      <w:r>
        <w:t xml:space="preserve">Mellom </w:t>
      </w:r>
      <w:r>
        <w:rPr>
          <w:bCs/>
          <w:i/>
        </w:rPr>
        <w:t>Virke</w:t>
      </w:r>
      <w:r w:rsidRPr="000C3A00">
        <w:rPr>
          <w:bCs/>
          <w:i/>
        </w:rPr>
        <w:t xml:space="preserve"> og LO</w:t>
      </w:r>
      <w:r>
        <w:t xml:space="preserve"> og mellom </w:t>
      </w:r>
      <w:r>
        <w:rPr>
          <w:bCs/>
          <w:i/>
        </w:rPr>
        <w:t>Virke</w:t>
      </w:r>
      <w:r w:rsidRPr="000C3A00">
        <w:rPr>
          <w:bCs/>
          <w:i/>
        </w:rPr>
        <w:t xml:space="preserve"> og YS</w:t>
      </w:r>
      <w:r w:rsidRPr="000C3A00">
        <w:rPr>
          <w:i/>
        </w:rPr>
        <w:t xml:space="preserve"> </w:t>
      </w:r>
      <w:r>
        <w:t xml:space="preserve">foreligger det vedtatte forhandlingsresultater som blant annet omfatter varehandel, transport, reiseliv, renhold, IT og begravelsesbyråer med flere. Mellom LO og Virke ble det ikke gitt generelle tillegg, men til </w:t>
      </w:r>
      <w:r>
        <w:rPr>
          <w:color w:val="000000"/>
        </w:rPr>
        <w:t>arbeidstakere på overenskomster med gjennomsnittslønn under 90 prosent av gjennomsnittlig industriarbeiderlønn i 2014 (</w:t>
      </w:r>
      <w:r w:rsidR="00FE286A">
        <w:rPr>
          <w:color w:val="000000"/>
        </w:rPr>
        <w:t>388 013</w:t>
      </w:r>
      <w:r>
        <w:rPr>
          <w:color w:val="000000"/>
        </w:rPr>
        <w:t xml:space="preserve"> kroner) </w:t>
      </w:r>
      <w:r>
        <w:t xml:space="preserve">ble det gitt et lønnstillegg på kr 1,75 per time fra 1. april. Dette gjaldt bl.a. Landsoverenskomsten med bransjeavtaler (Handel og Kontor). </w:t>
      </w:r>
      <w:r w:rsidRPr="00DC3585">
        <w:rPr>
          <w:rFonts w:ascii="Times New Roman" w:eastAsia="Times New Roman" w:hAnsi="Times New Roman"/>
          <w:szCs w:val="24"/>
        </w:rPr>
        <w:t xml:space="preserve">Ut over </w:t>
      </w:r>
      <w:r>
        <w:rPr>
          <w:rFonts w:ascii="Times New Roman" w:eastAsia="Times New Roman" w:hAnsi="Times New Roman"/>
          <w:szCs w:val="24"/>
        </w:rPr>
        <w:t>dette ble de laveste minstelønnssatsene på denne overenskomsten, trinn</w:t>
      </w:r>
      <w:r w:rsidRPr="00DC3585">
        <w:rPr>
          <w:rFonts w:ascii="Times New Roman" w:eastAsia="Times New Roman" w:hAnsi="Times New Roman"/>
          <w:szCs w:val="24"/>
        </w:rPr>
        <w:t xml:space="preserve"> 1 – </w:t>
      </w:r>
      <w:r>
        <w:rPr>
          <w:rFonts w:ascii="Times New Roman" w:eastAsia="Times New Roman" w:hAnsi="Times New Roman"/>
          <w:szCs w:val="24"/>
        </w:rPr>
        <w:t>5,</w:t>
      </w:r>
      <w:r w:rsidRPr="00DC3585">
        <w:rPr>
          <w:rFonts w:ascii="Times New Roman" w:eastAsia="Times New Roman" w:hAnsi="Times New Roman"/>
          <w:szCs w:val="24"/>
        </w:rPr>
        <w:t xml:space="preserve"> </w:t>
      </w:r>
      <w:r>
        <w:rPr>
          <w:rFonts w:ascii="Times New Roman" w:eastAsia="Times New Roman" w:hAnsi="Times New Roman"/>
          <w:szCs w:val="24"/>
        </w:rPr>
        <w:t xml:space="preserve">økt </w:t>
      </w:r>
      <w:r w:rsidRPr="00DC3585">
        <w:rPr>
          <w:rFonts w:ascii="Times New Roman" w:eastAsia="Times New Roman" w:hAnsi="Times New Roman"/>
          <w:szCs w:val="24"/>
        </w:rPr>
        <w:t xml:space="preserve">med </w:t>
      </w:r>
      <w:r>
        <w:rPr>
          <w:rFonts w:ascii="Times New Roman" w:eastAsia="Times New Roman" w:hAnsi="Times New Roman"/>
          <w:szCs w:val="24"/>
        </w:rPr>
        <w:t xml:space="preserve">kr 2,50 per </w:t>
      </w:r>
      <w:r w:rsidRPr="00DC3585">
        <w:rPr>
          <w:rFonts w:ascii="Times New Roman" w:eastAsia="Times New Roman" w:hAnsi="Times New Roman"/>
          <w:szCs w:val="24"/>
        </w:rPr>
        <w:t>time</w:t>
      </w:r>
      <w:r w:rsidR="000F79AD">
        <w:rPr>
          <w:rFonts w:ascii="Times New Roman" w:eastAsia="Times New Roman" w:hAnsi="Times New Roman"/>
          <w:szCs w:val="24"/>
        </w:rPr>
        <w:t xml:space="preserve"> og den høyeste (trinn 6) med kr 0,50 per time</w:t>
      </w:r>
      <w:r>
        <w:rPr>
          <w:rFonts w:ascii="Times New Roman" w:eastAsia="Times New Roman" w:hAnsi="Times New Roman"/>
          <w:szCs w:val="24"/>
        </w:rPr>
        <w:t>.</w:t>
      </w:r>
      <w:r>
        <w:t xml:space="preserve"> </w:t>
      </w:r>
      <w:r w:rsidR="00452EFE">
        <w:t xml:space="preserve">For </w:t>
      </w:r>
      <w:r w:rsidR="00256C7F">
        <w:t xml:space="preserve">Grossistoverenskomsten </w:t>
      </w:r>
      <w:r w:rsidR="00452EFE">
        <w:t>(NTF) ble det ikke gitt tillegg fra 1. april, og også a</w:t>
      </w:r>
      <w:r>
        <w:t>ndre avtaler fulgte i stor grad modellen fra LO-NHO-oppgjøret</w:t>
      </w:r>
      <w:r w:rsidR="00452EFE">
        <w:t>.</w:t>
      </w:r>
    </w:p>
    <w:p w14:paraId="41FCD57F" w14:textId="2BDF3932" w:rsidR="006E305B" w:rsidRDefault="006E305B" w:rsidP="006E305B">
      <w:r>
        <w:t xml:space="preserve">Mellom </w:t>
      </w:r>
      <w:r w:rsidRPr="002C6FCC">
        <w:rPr>
          <w:i/>
        </w:rPr>
        <w:t xml:space="preserve">YS og </w:t>
      </w:r>
      <w:r>
        <w:rPr>
          <w:i/>
        </w:rPr>
        <w:t>Virke</w:t>
      </w:r>
      <w:r>
        <w:t xml:space="preserve"> ble det på Funksjonæravtalene og på Kontoroverenskomsten ikke gitt generelle tillegg, men til </w:t>
      </w:r>
      <w:r>
        <w:rPr>
          <w:color w:val="000000"/>
        </w:rPr>
        <w:t>arbeidstakere på overenskomster med gjennomsnittslønn under 90 prosent av gjennomsnittlig industriarbeiderlønn i 2014 (</w:t>
      </w:r>
      <w:r w:rsidR="00FE286A">
        <w:rPr>
          <w:color w:val="000000"/>
        </w:rPr>
        <w:t>388 013</w:t>
      </w:r>
      <w:r>
        <w:rPr>
          <w:color w:val="000000"/>
        </w:rPr>
        <w:t xml:space="preserve"> kroner) </w:t>
      </w:r>
      <w:r>
        <w:t xml:space="preserve">ble det gitt et lønnstillegg på kr 1,75 per time fra 1. april. </w:t>
      </w:r>
      <w:r w:rsidRPr="00DC3585">
        <w:rPr>
          <w:rFonts w:ascii="Times New Roman" w:eastAsia="Times New Roman" w:hAnsi="Times New Roman"/>
          <w:szCs w:val="24"/>
        </w:rPr>
        <w:t xml:space="preserve">Ut over </w:t>
      </w:r>
      <w:r>
        <w:rPr>
          <w:rFonts w:ascii="Times New Roman" w:eastAsia="Times New Roman" w:hAnsi="Times New Roman"/>
          <w:szCs w:val="24"/>
        </w:rPr>
        <w:t>dette ble de laveste minstelønnssatsene, trinn</w:t>
      </w:r>
      <w:r w:rsidRPr="00DC3585">
        <w:rPr>
          <w:rFonts w:ascii="Times New Roman" w:eastAsia="Times New Roman" w:hAnsi="Times New Roman"/>
          <w:szCs w:val="24"/>
        </w:rPr>
        <w:t xml:space="preserve"> 1 – </w:t>
      </w:r>
      <w:r>
        <w:rPr>
          <w:rFonts w:ascii="Times New Roman" w:eastAsia="Times New Roman" w:hAnsi="Times New Roman"/>
          <w:szCs w:val="24"/>
        </w:rPr>
        <w:t>5,</w:t>
      </w:r>
      <w:r w:rsidRPr="00DC3585">
        <w:rPr>
          <w:rFonts w:ascii="Times New Roman" w:eastAsia="Times New Roman" w:hAnsi="Times New Roman"/>
          <w:szCs w:val="24"/>
        </w:rPr>
        <w:t xml:space="preserve"> </w:t>
      </w:r>
      <w:r>
        <w:rPr>
          <w:rFonts w:ascii="Times New Roman" w:eastAsia="Times New Roman" w:hAnsi="Times New Roman"/>
          <w:szCs w:val="24"/>
        </w:rPr>
        <w:t xml:space="preserve">økt </w:t>
      </w:r>
      <w:r w:rsidRPr="00DC3585">
        <w:rPr>
          <w:rFonts w:ascii="Times New Roman" w:eastAsia="Times New Roman" w:hAnsi="Times New Roman"/>
          <w:szCs w:val="24"/>
        </w:rPr>
        <w:t xml:space="preserve">med </w:t>
      </w:r>
      <w:r>
        <w:rPr>
          <w:rFonts w:ascii="Times New Roman" w:eastAsia="Times New Roman" w:hAnsi="Times New Roman"/>
          <w:szCs w:val="24"/>
        </w:rPr>
        <w:t xml:space="preserve">2,50 kroner per </w:t>
      </w:r>
      <w:r w:rsidRPr="00DC3585">
        <w:rPr>
          <w:rFonts w:ascii="Times New Roman" w:eastAsia="Times New Roman" w:hAnsi="Times New Roman"/>
          <w:szCs w:val="24"/>
        </w:rPr>
        <w:t>time</w:t>
      </w:r>
      <w:r w:rsidR="000F79AD">
        <w:rPr>
          <w:rFonts w:ascii="Times New Roman" w:eastAsia="Times New Roman" w:hAnsi="Times New Roman"/>
          <w:szCs w:val="24"/>
        </w:rPr>
        <w:t xml:space="preserve"> og den høyeste (trinn 6) med kr 0,50 per time</w:t>
      </w:r>
      <w:r>
        <w:rPr>
          <w:rFonts w:ascii="Times New Roman" w:eastAsia="Times New Roman" w:hAnsi="Times New Roman"/>
          <w:szCs w:val="24"/>
        </w:rPr>
        <w:t>.</w:t>
      </w:r>
      <w:r>
        <w:t xml:space="preserve"> </w:t>
      </w:r>
      <w:r w:rsidR="00FA414C">
        <w:t xml:space="preserve">For </w:t>
      </w:r>
      <w:r w:rsidR="00256C7F">
        <w:t xml:space="preserve">Grossistoverenskomsten </w:t>
      </w:r>
      <w:r w:rsidR="00FA414C">
        <w:t>(Parat/YTF) ble det ikke gitt tillegg fra 1. april, og også andre avtaler fulgte i stor grad modellen fra YS-NHO-oppgjøret.</w:t>
      </w:r>
      <w:r>
        <w:t xml:space="preserve"> </w:t>
      </w:r>
    </w:p>
    <w:p w14:paraId="1B975170" w14:textId="77777777" w:rsidR="006E305B" w:rsidRDefault="006E305B" w:rsidP="006E305B">
      <w:r w:rsidRPr="003A6172">
        <w:t>Tillegget</w:t>
      </w:r>
      <w:r>
        <w:rPr>
          <w:i/>
        </w:rPr>
        <w:t xml:space="preserve"> </w:t>
      </w:r>
      <w:r w:rsidRPr="003A6172">
        <w:t>etter</w:t>
      </w:r>
      <w:r>
        <w:rPr>
          <w:i/>
        </w:rPr>
        <w:t xml:space="preserve"> g</w:t>
      </w:r>
      <w:r w:rsidRPr="005631DE">
        <w:rPr>
          <w:i/>
        </w:rPr>
        <w:t>arantiordningen</w:t>
      </w:r>
      <w:r w:rsidRPr="00BF774C">
        <w:t xml:space="preserve"> på Landsoverenskomsten mellom HK og </w:t>
      </w:r>
      <w:r>
        <w:t>Virke</w:t>
      </w:r>
      <w:r w:rsidRPr="00BF774C">
        <w:t xml:space="preserve"> </w:t>
      </w:r>
      <w:r>
        <w:t>ble benyttet til å øke minstelønnssatsen for trinn 6 med kr 404,- per måned eller kr 2,49 per time med virkning fra 1. februar 2015.</w:t>
      </w:r>
    </w:p>
    <w:p w14:paraId="171C0989" w14:textId="77777777" w:rsidR="006E305B" w:rsidRDefault="006E305B" w:rsidP="006E305B">
      <w:r>
        <w:t>Også innen YS-Virke-området ble det gitt samme tillegg fra 1. februar etter garantiordningen som i HK-Virke-området.</w:t>
      </w:r>
    </w:p>
    <w:p w14:paraId="750B519D" w14:textId="77777777" w:rsidR="006E305B" w:rsidRDefault="006E305B" w:rsidP="006E305B">
      <w:r>
        <w:t xml:space="preserve">På Grossistoverenskomsten ble partene LO/NTF og Virke i 2010 </w:t>
      </w:r>
      <w:r w:rsidRPr="000262CB">
        <w:t xml:space="preserve">enige om å gjøre endringer i de tekniske beregninger av </w:t>
      </w:r>
      <w:r w:rsidRPr="00367D6F">
        <w:rPr>
          <w:i/>
        </w:rPr>
        <w:t>lønnsgarantien</w:t>
      </w:r>
      <w:r w:rsidRPr="000262CB">
        <w:t xml:space="preserve">. Endringene </w:t>
      </w:r>
      <w:r>
        <w:t>skulle</w:t>
      </w:r>
      <w:r w:rsidRPr="000262CB">
        <w:t xml:space="preserve"> implementeres over fire år. Det nye beregningsgrunnlaget </w:t>
      </w:r>
      <w:r>
        <w:t xml:space="preserve">medførte </w:t>
      </w:r>
      <w:r w:rsidRPr="000262CB">
        <w:t xml:space="preserve">at tariffavtalens minstelønn </w:t>
      </w:r>
      <w:r>
        <w:t xml:space="preserve">for arbeidstakere over 18 år, ble </w:t>
      </w:r>
      <w:r w:rsidRPr="000262CB">
        <w:t>heve</w:t>
      </w:r>
      <w:r>
        <w:t>t</w:t>
      </w:r>
      <w:r w:rsidRPr="000262CB">
        <w:t xml:space="preserve"> med </w:t>
      </w:r>
      <w:r>
        <w:t>kr 8,72 til kr 195,26 per time fra 1. februar 2015. Tilsvarende endringer ble også gjennomført mellom Virke og YS.</w:t>
      </w:r>
    </w:p>
    <w:p w14:paraId="4E46F104" w14:textId="77777777" w:rsidR="006E305B" w:rsidRPr="001438F2" w:rsidRDefault="006E305B" w:rsidP="006E305B">
      <w:r>
        <w:t>I mellomoppgjøret i 2015</w:t>
      </w:r>
      <w:r w:rsidRPr="00CD59ED">
        <w:t xml:space="preserve"> innenfor </w:t>
      </w:r>
      <w:r w:rsidRPr="00DE7C65">
        <w:rPr>
          <w:i/>
        </w:rPr>
        <w:t>Virke-HUK</w:t>
      </w:r>
      <w:r w:rsidRPr="00EA1E84">
        <w:rPr>
          <w:rStyle w:val="Fotnotereferanse"/>
          <w:i/>
        </w:rPr>
        <w:footnoteReference w:id="8"/>
      </w:r>
      <w:r w:rsidRPr="00EA1E84">
        <w:rPr>
          <w:i/>
        </w:rPr>
        <w:t xml:space="preserve"> </w:t>
      </w:r>
      <w:r w:rsidRPr="00DE7C65">
        <w:rPr>
          <w:i/>
        </w:rPr>
        <w:t>-området</w:t>
      </w:r>
      <w:r w:rsidRPr="00CD59ED">
        <w:t xml:space="preserve"> kom</w:t>
      </w:r>
      <w:r>
        <w:t xml:space="preserve"> partene</w:t>
      </w:r>
      <w:r w:rsidRPr="00CD59ED">
        <w:t xml:space="preserve"> til enighet etter forhandlinger. ​</w:t>
      </w:r>
      <w:r>
        <w:t>O</w:t>
      </w:r>
      <w:r w:rsidRPr="00CD59ED">
        <w:t>ppgjøret omfattet forhandlinger om sju tariffavtaler med mellom 35 000 og 40 000 arbeidstakere innen helse, utdanning og kultur med over 30 arbeidsta</w:t>
      </w:r>
      <w:r>
        <w:t>k</w:t>
      </w:r>
      <w:r w:rsidRPr="00CD59ED">
        <w:t>erorganisasjoner. Virke forhandlet parallelt med LO, YS, Unio og Akademikerne.</w:t>
      </w:r>
      <w:r>
        <w:t xml:space="preserve"> </w:t>
      </w:r>
      <w:r w:rsidRPr="00CD59ED">
        <w:t xml:space="preserve">Forhandlingsresultatet innebærer økonomiske tillegg i form av generelle tillegg, justering av minstelønn og lokale forhandlinger. </w:t>
      </w:r>
      <w:r>
        <w:t xml:space="preserve">Tilleggene på de ulike overenskomstene fulgte resultatet i korresponderende områder. </w:t>
      </w:r>
      <w:r w:rsidRPr="00CD59ED">
        <w:t>Forhandlingsresultat</w:t>
      </w:r>
      <w:r>
        <w:t>et</w:t>
      </w:r>
      <w:r w:rsidRPr="00CD59ED">
        <w:t xml:space="preserve"> skal godkjennes av partene. Frist er satt til </w:t>
      </w:r>
      <w:r>
        <w:t>17</w:t>
      </w:r>
      <w:r w:rsidRPr="00CD59ED">
        <w:t>. juni</w:t>
      </w:r>
      <w:r>
        <w:t>.</w:t>
      </w:r>
    </w:p>
    <w:p w14:paraId="1298FF65" w14:textId="77777777" w:rsidR="006E305B" w:rsidRPr="00C73514" w:rsidRDefault="006E305B" w:rsidP="00FA414C">
      <w:pPr>
        <w:tabs>
          <w:tab w:val="num" w:pos="1440"/>
        </w:tabs>
        <w:rPr>
          <w:rFonts w:ascii="Times New Roman" w:hAnsi="Times New Roman"/>
        </w:rPr>
      </w:pPr>
      <w:r>
        <w:rPr>
          <w:rFonts w:ascii="Times New Roman" w:hAnsi="Times New Roman"/>
        </w:rPr>
        <w:t>Mellom LO</w:t>
      </w:r>
      <w:r w:rsidRPr="00C73514">
        <w:rPr>
          <w:rFonts w:ascii="Times New Roman" w:hAnsi="Times New Roman"/>
        </w:rPr>
        <w:t xml:space="preserve"> og Samfo (kooperasjonen) </w:t>
      </w:r>
      <w:r>
        <w:rPr>
          <w:rFonts w:ascii="Times New Roman" w:hAnsi="Times New Roman"/>
        </w:rPr>
        <w:t>ble det også en forhandlingsløsning som senere ble godtatt av partene. F</w:t>
      </w:r>
      <w:r w:rsidRPr="00C73514">
        <w:rPr>
          <w:rFonts w:ascii="Times New Roman" w:hAnsi="Times New Roman"/>
        </w:rPr>
        <w:t xml:space="preserve">or Landsoverenskomsten </w:t>
      </w:r>
      <w:r>
        <w:rPr>
          <w:rFonts w:ascii="Times New Roman" w:hAnsi="Times New Roman"/>
        </w:rPr>
        <w:t>(HK) ble det avtalt</w:t>
      </w:r>
      <w:r w:rsidRPr="00C73514">
        <w:rPr>
          <w:rFonts w:ascii="Times New Roman" w:hAnsi="Times New Roman"/>
        </w:rPr>
        <w:t xml:space="preserve"> samme tillegg som </w:t>
      </w:r>
      <w:r>
        <w:rPr>
          <w:rFonts w:ascii="Times New Roman" w:hAnsi="Times New Roman"/>
        </w:rPr>
        <w:t>for Landsoverenskomsten (HK) med Virke</w:t>
      </w:r>
      <w:r w:rsidRPr="00C73514">
        <w:rPr>
          <w:rFonts w:ascii="Times New Roman" w:hAnsi="Times New Roman"/>
        </w:rPr>
        <w:t xml:space="preserve">. Tillegget etter garantiordningen fra 1. februar </w:t>
      </w:r>
      <w:r>
        <w:rPr>
          <w:rFonts w:ascii="Times New Roman" w:hAnsi="Times New Roman"/>
        </w:rPr>
        <w:t xml:space="preserve">2015 </w:t>
      </w:r>
      <w:r w:rsidRPr="00C73514">
        <w:rPr>
          <w:rFonts w:ascii="Times New Roman" w:hAnsi="Times New Roman"/>
        </w:rPr>
        <w:t xml:space="preserve">var også det samme. </w:t>
      </w:r>
    </w:p>
    <w:p w14:paraId="68D53012" w14:textId="77777777" w:rsidR="006E305B" w:rsidRDefault="006E305B" w:rsidP="006E305B">
      <w:pPr>
        <w:spacing w:after="0"/>
      </w:pPr>
      <w:r>
        <w:t xml:space="preserve">For ansatte i </w:t>
      </w:r>
      <w:r w:rsidRPr="00BD76C4">
        <w:rPr>
          <w:i/>
        </w:rPr>
        <w:t>forretnings- og sparebanker og forsikringsvirksomhet</w:t>
      </w:r>
      <w:r>
        <w:t xml:space="preserve"> foreligger det et vedtatt forhandlingsresultat mellom </w:t>
      </w:r>
      <w:r w:rsidRPr="00BD76C4">
        <w:rPr>
          <w:bCs/>
        </w:rPr>
        <w:t xml:space="preserve">Finansforbundet og </w:t>
      </w:r>
      <w:r>
        <w:rPr>
          <w:bCs/>
        </w:rPr>
        <w:t xml:space="preserve">Finans Norge </w:t>
      </w:r>
      <w:r w:rsidRPr="00BD76C4">
        <w:rPr>
          <w:bCs/>
        </w:rPr>
        <w:t xml:space="preserve">og mellom </w:t>
      </w:r>
      <w:r w:rsidRPr="00BD76C4">
        <w:rPr>
          <w:bCs/>
          <w:color w:val="000000"/>
        </w:rPr>
        <w:t>LO/HK</w:t>
      </w:r>
      <w:r>
        <w:rPr>
          <w:bCs/>
          <w:color w:val="000000"/>
        </w:rPr>
        <w:t xml:space="preserve">/Postkom </w:t>
      </w:r>
      <w:r w:rsidRPr="00BD76C4">
        <w:rPr>
          <w:bCs/>
          <w:color w:val="000000"/>
        </w:rPr>
        <w:t xml:space="preserve">og </w:t>
      </w:r>
      <w:r>
        <w:rPr>
          <w:bCs/>
        </w:rPr>
        <w:t>Finans Norge. F</w:t>
      </w:r>
      <w:r w:rsidRPr="00F3297A">
        <w:rPr>
          <w:color w:val="000000"/>
        </w:rPr>
        <w:t>ra 1. mai 20</w:t>
      </w:r>
      <w:r>
        <w:rPr>
          <w:color w:val="000000"/>
        </w:rPr>
        <w:t>15 ble det på alle lønnstrinn på lønnsregulativet gitt et generelt tillegg på kr 3 100 per år.</w:t>
      </w:r>
      <w:r>
        <w:t xml:space="preserve"> </w:t>
      </w:r>
      <w:r>
        <w:br/>
      </w:r>
    </w:p>
    <w:p w14:paraId="55A212A1" w14:textId="77777777" w:rsidR="006E305B" w:rsidRDefault="006E305B" w:rsidP="006E305B">
      <w:pPr>
        <w:pStyle w:val="Overskrift2"/>
        <w:spacing w:before="240"/>
      </w:pPr>
      <w:bookmarkStart w:id="235" w:name="_Toc256681355"/>
      <w:bookmarkStart w:id="236" w:name="_Toc256684372"/>
      <w:bookmarkStart w:id="237" w:name="_Toc257118275"/>
      <w:bookmarkStart w:id="238" w:name="_Toc257201075"/>
      <w:bookmarkStart w:id="239" w:name="_Toc257462264"/>
      <w:bookmarkStart w:id="240" w:name="_Toc264463026"/>
      <w:bookmarkStart w:id="241" w:name="_Toc264645450"/>
      <w:bookmarkStart w:id="242" w:name="_Toc286073409"/>
      <w:bookmarkStart w:id="243" w:name="_Toc286074033"/>
      <w:bookmarkStart w:id="244" w:name="_Toc286075053"/>
      <w:bookmarkStart w:id="245" w:name="_Toc286075302"/>
      <w:bookmarkStart w:id="246" w:name="_Toc358202905"/>
      <w:bookmarkStart w:id="247" w:name="_Toc359263577"/>
      <w:bookmarkStart w:id="248" w:name="_Toc422226838"/>
      <w:r w:rsidRPr="005B54FA">
        <w:t>Oppgjørene i offentlig sektor</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5B1A080" w14:textId="741BC069" w:rsidR="006E305B" w:rsidRDefault="006E305B" w:rsidP="006E305B">
      <w:r w:rsidRPr="003F3680">
        <w:t xml:space="preserve">I det </w:t>
      </w:r>
      <w:r w:rsidRPr="003F3680">
        <w:rPr>
          <w:i/>
        </w:rPr>
        <w:t>statlige tariffområdet</w:t>
      </w:r>
      <w:r w:rsidRPr="003F3680">
        <w:t xml:space="preserve"> startet forhandlingene </w:t>
      </w:r>
      <w:r>
        <w:t>20</w:t>
      </w:r>
      <w:r w:rsidRPr="003F3680">
        <w:t xml:space="preserve">. april. Den </w:t>
      </w:r>
      <w:r>
        <w:t>30</w:t>
      </w:r>
      <w:r w:rsidRPr="003F3680">
        <w:t xml:space="preserve">. april </w:t>
      </w:r>
      <w:r>
        <w:t xml:space="preserve">kom </w:t>
      </w:r>
      <w:r w:rsidRPr="003F3680">
        <w:t>staten v/</w:t>
      </w:r>
      <w:r>
        <w:t>Kommunal- og moderniserings</w:t>
      </w:r>
      <w:r w:rsidRPr="003F3680">
        <w:t>departementet og LO Stat, YS Stat</w:t>
      </w:r>
      <w:r>
        <w:t>,</w:t>
      </w:r>
      <w:r w:rsidRPr="003F3680">
        <w:t xml:space="preserve"> Unio</w:t>
      </w:r>
      <w:r>
        <w:t xml:space="preserve"> og</w:t>
      </w:r>
      <w:r w:rsidRPr="003F3680">
        <w:t xml:space="preserve"> Akademikerne</w:t>
      </w:r>
      <w:r>
        <w:t xml:space="preserve"> til enighet i forhandlinger.</w:t>
      </w:r>
      <w:r w:rsidRPr="003F3680">
        <w:t xml:space="preserve"> </w:t>
      </w:r>
      <w:r>
        <w:t>Det ble enighet om et generelt tillegget fra 1. mai på 0,19 prosent</w:t>
      </w:r>
      <w:r w:rsidR="00C402E5">
        <w:t xml:space="preserve"> på hovedlønnstabellen</w:t>
      </w:r>
      <w:r>
        <w:t>. Fra og med lønnstrinn 19 til og med lønnstrinn 39 var tillegget kr 700 per år. D</w:t>
      </w:r>
      <w:r w:rsidRPr="00C11FFA">
        <w:t xml:space="preserve">et </w:t>
      </w:r>
      <w:r>
        <w:t xml:space="preserve">ble ikke avsatt penger </w:t>
      </w:r>
      <w:r w:rsidRPr="00C11FFA">
        <w:t>til lokale forhandlinger</w:t>
      </w:r>
      <w:r>
        <w:t xml:space="preserve">. </w:t>
      </w:r>
      <w:r w:rsidR="00B20500" w:rsidRPr="00B20500">
        <w:rPr>
          <w:iCs/>
        </w:rPr>
        <w:t>Det kan imidlertid føres lokale forhandlinger dersom arbeidsgiver lokalt avsetter økonomiske midler fra virksomheten iht. Hovedtariffavtalens pkt. 2.3.3, første ledd pkt. b.</w:t>
      </w:r>
      <w:r w:rsidRPr="00B20500">
        <w:t xml:space="preserve"> </w:t>
      </w:r>
      <w:r>
        <w:t>Med mindre partene lokalt ikke avtaler et annet tidspunkt, skal eventuelle lokale tillegg gis med virkning fra 1. august 2015.</w:t>
      </w:r>
    </w:p>
    <w:p w14:paraId="4A672B90" w14:textId="203E2599" w:rsidR="006E305B" w:rsidRDefault="006E305B" w:rsidP="006E305B">
      <w:r w:rsidRPr="009B5FE0">
        <w:rPr>
          <w:rFonts w:ascii="Times New Roman" w:hAnsi="Times New Roman"/>
          <w:szCs w:val="24"/>
        </w:rPr>
        <w:t xml:space="preserve">I det </w:t>
      </w:r>
      <w:r w:rsidRPr="009B5FE0">
        <w:rPr>
          <w:rFonts w:ascii="Times New Roman" w:hAnsi="Times New Roman"/>
          <w:bCs/>
          <w:i/>
          <w:szCs w:val="24"/>
        </w:rPr>
        <w:t>kommunale tariffområdet</w:t>
      </w:r>
      <w:r w:rsidRPr="009B5FE0">
        <w:rPr>
          <w:rFonts w:ascii="Times New Roman" w:hAnsi="Times New Roman"/>
          <w:szCs w:val="24"/>
        </w:rPr>
        <w:t xml:space="preserve"> startet forhandlingene i KS-området </w:t>
      </w:r>
      <w:r>
        <w:rPr>
          <w:rFonts w:ascii="Times New Roman" w:hAnsi="Times New Roman"/>
          <w:szCs w:val="24"/>
        </w:rPr>
        <w:t>23</w:t>
      </w:r>
      <w:r w:rsidRPr="009B5FE0">
        <w:rPr>
          <w:rFonts w:ascii="Times New Roman" w:hAnsi="Times New Roman"/>
          <w:szCs w:val="24"/>
        </w:rPr>
        <w:t>. april. Den 30. april kom KS og LO Kommune, Unio,</w:t>
      </w:r>
      <w:r w:rsidRPr="009B5FE0">
        <w:rPr>
          <w:rFonts w:ascii="Times New Roman" w:hAnsi="Times New Roman"/>
          <w:b/>
          <w:bCs/>
          <w:szCs w:val="24"/>
        </w:rPr>
        <w:t xml:space="preserve"> </w:t>
      </w:r>
      <w:r w:rsidRPr="009B5FE0">
        <w:rPr>
          <w:rFonts w:ascii="Times New Roman" w:hAnsi="Times New Roman"/>
          <w:szCs w:val="24"/>
        </w:rPr>
        <w:t xml:space="preserve">YS Kommune og Akademikerne til enighet </w:t>
      </w:r>
      <w:r>
        <w:rPr>
          <w:rFonts w:ascii="Times New Roman" w:hAnsi="Times New Roman"/>
          <w:szCs w:val="24"/>
        </w:rPr>
        <w:t xml:space="preserve">om at det ikke gis sentrale tillegg i 2015 utover de som ble avtalt i oppgjøret i 2014. </w:t>
      </w:r>
      <w:r>
        <w:t>I KS-området ble det for stillinger med hovedsakelig sentral lønnsdannelse i oppgjøret i 2014 avtalt lønnstillegg fra 1. mai 2015 på 1,4 prosent. Tilleggene varierer med ansiennitets- og kompetansekrav, jf. tabell 1.1. Videre skal a</w:t>
      </w:r>
      <w:r>
        <w:rPr>
          <w:szCs w:val="24"/>
        </w:rPr>
        <w:t>rbeidstakere med minimum</w:t>
      </w:r>
      <w:r w:rsidRPr="007C629C">
        <w:rPr>
          <w:szCs w:val="24"/>
        </w:rPr>
        <w:t xml:space="preserve"> 20 års ansiennitet </w:t>
      </w:r>
      <w:r>
        <w:rPr>
          <w:szCs w:val="24"/>
        </w:rPr>
        <w:t>ikke ha lavere grunnlønn per 1. mai 2015 enn kr 377 400 i 100 prosent stilling. Dette utgjør 0,2 prosent per 1. mai.</w:t>
      </w:r>
      <w:r>
        <w:t xml:space="preserve"> </w:t>
      </w:r>
      <w:r w:rsidRPr="00FF2B5D">
        <w:t xml:space="preserve">Det </w:t>
      </w:r>
      <w:r>
        <w:t xml:space="preserve">ble i 2014 avtalt å </w:t>
      </w:r>
      <w:r w:rsidRPr="00FF2B5D">
        <w:t>innfør</w:t>
      </w:r>
      <w:r>
        <w:t>e</w:t>
      </w:r>
      <w:r w:rsidRPr="00FF2B5D">
        <w:t xml:space="preserve"> et nytt lønnssystem fra 1. mai </w:t>
      </w:r>
      <w:r>
        <w:t xml:space="preserve">2015, se boks 1.2. </w:t>
      </w:r>
    </w:p>
    <w:p w14:paraId="72FEFDB7" w14:textId="77777777" w:rsidR="006E305B" w:rsidRPr="00EE1F43" w:rsidRDefault="006E305B" w:rsidP="006E305B">
      <w:r>
        <w:t>Videre er p</w:t>
      </w:r>
      <w:r w:rsidRPr="00EE1F43">
        <w:t xml:space="preserve">artene enige om behovet for en god og felles offentlig tjenestepensjon og at nødvendige endringer må utredes nærmere. Blant annet er regelverket for yngre årskull ikke ferdig. Partene er på denne bakgrunn enige om å starte opp et arbeid med å avklare relevante pensjonsspørsmål i KS-området for å legge premisser for den varslede prosessen fra myndighetene. </w:t>
      </w:r>
    </w:p>
    <w:p w14:paraId="3B583D7B" w14:textId="77777777" w:rsidR="006E305B" w:rsidRDefault="006E305B" w:rsidP="006E305B">
      <w:r w:rsidRPr="00C64926">
        <w:t xml:space="preserve">I </w:t>
      </w:r>
      <w:r w:rsidRPr="00C64926">
        <w:rPr>
          <w:i/>
        </w:rPr>
        <w:t>Oslo kommune</w:t>
      </w:r>
      <w:r w:rsidRPr="00C64926">
        <w:t xml:space="preserve"> </w:t>
      </w:r>
      <w:r>
        <w:t>kom</w:t>
      </w:r>
      <w:r w:rsidRPr="00C64926">
        <w:t xml:space="preserve"> partene </w:t>
      </w:r>
      <w:r>
        <w:t xml:space="preserve">30. april til enighet </w:t>
      </w:r>
      <w:r w:rsidRPr="00C64926">
        <w:t xml:space="preserve">om et </w:t>
      </w:r>
      <w:r>
        <w:t>forhandlingsresultat</w:t>
      </w:r>
      <w:r w:rsidRPr="00C64926">
        <w:t xml:space="preserve"> som ga </w:t>
      </w:r>
      <w:r>
        <w:t>et lønnstillegg fra 1. mai 2015 på 1,7 prosent eller minst kr 6 500 per år.</w:t>
      </w:r>
      <w:r w:rsidRPr="00C64926">
        <w:t xml:space="preserve"> </w:t>
      </w:r>
    </w:p>
    <w:p w14:paraId="433B7605" w14:textId="30C4A95F" w:rsidR="006E305B" w:rsidRDefault="006E305B" w:rsidP="006E305B">
      <w:pPr>
        <w:spacing w:after="0"/>
        <w:rPr>
          <w:b/>
          <w:noProof/>
        </w:rPr>
      </w:pPr>
      <w:r>
        <w:rPr>
          <w:b/>
          <w:noProof/>
        </w:rPr>
        <mc:AlternateContent>
          <mc:Choice Requires="wps">
            <w:drawing>
              <wp:inline distT="0" distB="0" distL="0" distR="0" wp14:anchorId="6E54CC3A" wp14:editId="57E0E01D">
                <wp:extent cx="5971540" cy="4967785"/>
                <wp:effectExtent l="0" t="0" r="10160" b="23495"/>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967785"/>
                        </a:xfrm>
                        <a:prstGeom prst="rect">
                          <a:avLst/>
                        </a:prstGeom>
                        <a:solidFill>
                          <a:srgbClr val="FFFFFF"/>
                        </a:solidFill>
                        <a:ln w="9525">
                          <a:solidFill>
                            <a:srgbClr val="000000"/>
                          </a:solidFill>
                          <a:miter lim="800000"/>
                          <a:headEnd/>
                          <a:tailEnd/>
                        </a:ln>
                      </wps:spPr>
                      <wps:txbx>
                        <w:txbxContent>
                          <w:p w14:paraId="210A390D" w14:textId="77777777" w:rsidR="009C4B1A" w:rsidRDefault="009C4B1A" w:rsidP="006E305B">
                            <w:pPr>
                              <w:autoSpaceDE w:val="0"/>
                              <w:autoSpaceDN w:val="0"/>
                              <w:adjustRightInd w:val="0"/>
                              <w:jc w:val="center"/>
                              <w:rPr>
                                <w:rFonts w:ascii="Times New Roman" w:hAnsi="Times New Roman"/>
                                <w:b/>
                                <w:bCs/>
                                <w:szCs w:val="24"/>
                              </w:rPr>
                            </w:pPr>
                            <w:r>
                              <w:rPr>
                                <w:rFonts w:ascii="Times New Roman" w:hAnsi="Times New Roman"/>
                                <w:b/>
                                <w:bCs/>
                                <w:szCs w:val="24"/>
                              </w:rPr>
                              <w:t>Boks 1.3 Nytt lønnssystem i KS-området fra 1. mai 2015</w:t>
                            </w:r>
                          </w:p>
                          <w:p w14:paraId="203B7E91" w14:textId="77777777" w:rsidR="009C4B1A" w:rsidRPr="00280C86" w:rsidRDefault="009C4B1A" w:rsidP="006E305B">
                            <w:pPr>
                              <w:autoSpaceDE w:val="0"/>
                              <w:autoSpaceDN w:val="0"/>
                              <w:adjustRightInd w:val="0"/>
                              <w:rPr>
                                <w:szCs w:val="24"/>
                              </w:rPr>
                            </w:pPr>
                            <w:r w:rsidRPr="00280C86">
                              <w:rPr>
                                <w:rFonts w:ascii="Times New Roman" w:hAnsi="Times New Roman"/>
                                <w:szCs w:val="24"/>
                              </w:rPr>
                              <w:t>I hovedoppgjøret 2014 ble det blitt avtalt et nytt lønnssystem med virkning fra 1. mai 2015. Dette skal være et garantilønnssystem som skal forhindre at lokale lønnstillegg blir utlignet ved ansiennitetsopprykk. Det ble også lagt inn to nye ansiennitetstrinn ved 2 og 6 år.</w:t>
                            </w:r>
                          </w:p>
                          <w:p w14:paraId="25734829" w14:textId="77777777" w:rsidR="009C4B1A" w:rsidRPr="00F746C6" w:rsidRDefault="009C4B1A" w:rsidP="006E305B">
                            <w:pPr>
                              <w:pStyle w:val="Listeavsnitt"/>
                              <w:numPr>
                                <w:ilvl w:val="0"/>
                                <w:numId w:val="34"/>
                              </w:numPr>
                              <w:autoSpaceDE w:val="0"/>
                              <w:autoSpaceDN w:val="0"/>
                              <w:adjustRightInd w:val="0"/>
                              <w:ind w:left="284" w:hanging="284"/>
                              <w:rPr>
                                <w:bCs/>
                                <w:i/>
                                <w:szCs w:val="24"/>
                              </w:rPr>
                            </w:pPr>
                            <w:r w:rsidRPr="00F746C6">
                              <w:rPr>
                                <w:bCs/>
                                <w:i/>
                                <w:szCs w:val="24"/>
                              </w:rPr>
                              <w:t xml:space="preserve">Prinsipper i nytt lønnssystem </w:t>
                            </w:r>
                          </w:p>
                          <w:p w14:paraId="52A40B4F"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I HTA kapittel 4 innføres pr. 1.5.2015 garantilønn og sentrale lønnstillegg ved hhv. 2, 4, 6, 8 og 10/16 års ansiennitet. </w:t>
                            </w:r>
                          </w:p>
                          <w:p w14:paraId="7A52BB4C"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Garantilønn (0 år) og lønnstillegg for ansiennitet forhandles sentralt. Tilleggene fastsettes i prosent av garantilønn (0 år) og utregnes i kronebeløp. Laveste årslønn på hvert ansiennitetstrinn utregnes i kronebeløp. </w:t>
                            </w:r>
                          </w:p>
                          <w:p w14:paraId="52E85E80"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Ansiennitetstillegget legges i sin helhet til den enkeltes årslønn. </w:t>
                            </w:r>
                          </w:p>
                          <w:p w14:paraId="377E3323"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Laveste årslønn er lik garantilønn (0 år) pluss sum av prosentvise ansiennitetstillegg. </w:t>
                            </w:r>
                          </w:p>
                          <w:p w14:paraId="7F7C88FF"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Dersom de sentrale parter i senere sentrale oppgjør endrer ansiennitetstillegg på et gitt ansiennitetstrinn, er arbeidstakere på dette ansiennitetstrinnet omfattet av endringen. </w:t>
                            </w:r>
                          </w:p>
                          <w:p w14:paraId="67A0A32F" w14:textId="77777777" w:rsidR="009C4B1A" w:rsidRPr="00F746C6" w:rsidRDefault="009C4B1A" w:rsidP="006E305B">
                            <w:pPr>
                              <w:pStyle w:val="Listeavsnitt"/>
                              <w:numPr>
                                <w:ilvl w:val="0"/>
                                <w:numId w:val="34"/>
                              </w:numPr>
                              <w:autoSpaceDE w:val="0"/>
                              <w:autoSpaceDN w:val="0"/>
                              <w:adjustRightInd w:val="0"/>
                              <w:ind w:left="284" w:hanging="284"/>
                              <w:rPr>
                                <w:bCs/>
                                <w:i/>
                                <w:szCs w:val="24"/>
                              </w:rPr>
                            </w:pPr>
                            <w:r w:rsidRPr="00F746C6">
                              <w:rPr>
                                <w:bCs/>
                                <w:i/>
                                <w:szCs w:val="24"/>
                              </w:rPr>
                              <w:t xml:space="preserve">Innføring av nytt lønnssystem </w:t>
                            </w:r>
                          </w:p>
                          <w:p w14:paraId="18A1285B"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Ved iverksetting av sentrale lønnstillegg pr. 1.5.2015</w:t>
                            </w:r>
                            <w:r>
                              <w:rPr>
                                <w:rFonts w:ascii="Times New Roman" w:hAnsi="Times New Roman"/>
                                <w:szCs w:val="24"/>
                              </w:rPr>
                              <w:t>,</w:t>
                            </w:r>
                            <w:r w:rsidRPr="001455B6">
                              <w:rPr>
                                <w:rFonts w:ascii="Times New Roman" w:hAnsi="Times New Roman"/>
                                <w:szCs w:val="24"/>
                              </w:rPr>
                              <w:t xml:space="preserve"> jf. II pkt. 1, er arbeidstakere som er omfattet av lønnssystemet innfaset i det nye systemet. </w:t>
                            </w:r>
                          </w:p>
                          <w:p w14:paraId="7995DC35"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I ny årslønn pr. 1.5.2015 er ansiennitetstillegg i henhold til fastsatt ansiennitet på hhv. 2,4,6,8 eller 10/16 år inkludert. </w:t>
                            </w:r>
                          </w:p>
                          <w:p w14:paraId="052DE374" w14:textId="77777777" w:rsidR="009C4B1A" w:rsidRPr="001455B6" w:rsidRDefault="009C4B1A" w:rsidP="006E305B">
                            <w:pPr>
                              <w:autoSpaceDE w:val="0"/>
                              <w:autoSpaceDN w:val="0"/>
                              <w:adjustRightInd w:val="0"/>
                              <w:rPr>
                                <w:rFonts w:ascii="Times New Roman" w:hAnsi="Times New Roman"/>
                                <w:b/>
                                <w:bCs/>
                                <w:szCs w:val="24"/>
                              </w:rPr>
                            </w:pPr>
                            <w:r w:rsidRPr="00AC00DC">
                              <w:rPr>
                                <w:rFonts w:ascii="Times New Roman" w:hAnsi="Times New Roman"/>
                                <w:bCs/>
                                <w:i/>
                                <w:szCs w:val="24"/>
                              </w:rPr>
                              <w:t>3.</w:t>
                            </w:r>
                            <w:r w:rsidRPr="001455B6">
                              <w:rPr>
                                <w:rFonts w:ascii="Times New Roman" w:hAnsi="Times New Roman"/>
                                <w:b/>
                                <w:bCs/>
                                <w:szCs w:val="24"/>
                              </w:rPr>
                              <w:t xml:space="preserve"> </w:t>
                            </w:r>
                            <w:r w:rsidRPr="00F746C6">
                              <w:rPr>
                                <w:rFonts w:ascii="Times New Roman" w:hAnsi="Times New Roman"/>
                                <w:bCs/>
                                <w:i/>
                                <w:szCs w:val="24"/>
                              </w:rPr>
                              <w:t>Virkninger ved fremtidige endringer i nytt lønnssystem</w:t>
                            </w:r>
                            <w:r w:rsidRPr="001455B6">
                              <w:rPr>
                                <w:rFonts w:ascii="Times New Roman" w:hAnsi="Times New Roman"/>
                                <w:b/>
                                <w:bCs/>
                                <w:szCs w:val="24"/>
                              </w:rPr>
                              <w:t xml:space="preserve"> </w:t>
                            </w:r>
                          </w:p>
                          <w:p w14:paraId="4C7B98E7" w14:textId="77777777" w:rsidR="009C4B1A" w:rsidRPr="001455B6" w:rsidRDefault="009C4B1A" w:rsidP="006E305B">
                            <w:pPr>
                              <w:rPr>
                                <w:rFonts w:ascii="Times New Roman" w:hAnsi="Times New Roman"/>
                                <w:szCs w:val="24"/>
                              </w:rPr>
                            </w:pPr>
                            <w:r w:rsidRPr="001455B6">
                              <w:rPr>
                                <w:rFonts w:ascii="Times New Roman" w:hAnsi="Times New Roman"/>
                                <w:szCs w:val="24"/>
                              </w:rPr>
                              <w:t>Endret ansiennitetstillegg innebærer at utregnet laveste årslønn endres tilsvarende kun på dette ansiennitetstrinnet.</w:t>
                            </w:r>
                          </w:p>
                        </w:txbxContent>
                      </wps:txbx>
                      <wps:bodyPr rot="0" vert="horz" wrap="square" lIns="91440" tIns="45720" rIns="91440" bIns="45720" anchor="t" anchorCtr="0" upright="1">
                        <a:noAutofit/>
                      </wps:bodyPr>
                    </wps:wsp>
                  </a:graphicData>
                </a:graphic>
              </wp:inline>
            </w:drawing>
          </mc:Choice>
          <mc:Fallback>
            <w:pict>
              <v:shape w14:anchorId="6E54CC3A" id="Tekstboks 6" o:spid="_x0000_s1030" type="#_x0000_t202" style="width:470.2pt;height:39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">
                <v:textbox>
                  <w:txbxContent>
                    <w:p w14:paraId="210A390D" w14:textId="77777777" w:rsidR="009C4B1A" w:rsidRDefault="009C4B1A" w:rsidP="006E305B">
                      <w:pPr>
                        <w:autoSpaceDE w:val="0"/>
                        <w:autoSpaceDN w:val="0"/>
                        <w:adjustRightInd w:val="0"/>
                        <w:jc w:val="center"/>
                        <w:rPr>
                          <w:rFonts w:ascii="Times New Roman" w:hAnsi="Times New Roman"/>
                          <w:b/>
                          <w:bCs/>
                          <w:szCs w:val="24"/>
                        </w:rPr>
                      </w:pPr>
                      <w:r>
                        <w:rPr>
                          <w:rFonts w:ascii="Times New Roman" w:hAnsi="Times New Roman"/>
                          <w:b/>
                          <w:bCs/>
                          <w:szCs w:val="24"/>
                        </w:rPr>
                        <w:t>Boks 1.3 Nytt lønnssystem i KS-området fra 1. mai 2015</w:t>
                      </w:r>
                    </w:p>
                    <w:p w14:paraId="203B7E91" w14:textId="77777777" w:rsidR="009C4B1A" w:rsidRPr="00280C86" w:rsidRDefault="009C4B1A" w:rsidP="006E305B">
                      <w:pPr>
                        <w:autoSpaceDE w:val="0"/>
                        <w:autoSpaceDN w:val="0"/>
                        <w:adjustRightInd w:val="0"/>
                        <w:rPr>
                          <w:szCs w:val="24"/>
                        </w:rPr>
                      </w:pPr>
                      <w:r w:rsidRPr="00280C86">
                        <w:rPr>
                          <w:rFonts w:ascii="Times New Roman" w:hAnsi="Times New Roman"/>
                          <w:szCs w:val="24"/>
                        </w:rPr>
                        <w:t>I hovedoppgjøret 2014 ble det blitt avtalt et nytt lønnssystem med virkning fra 1. mai 2015. Dette skal være et garantilønnssystem som skal forhindre at lokale lønnstillegg blir utlignet ved ansiennitetsopprykk. Det ble også lagt inn to nye ansiennitetstrinn ved 2 og 6 år.</w:t>
                      </w:r>
                    </w:p>
                    <w:p w14:paraId="25734829" w14:textId="77777777" w:rsidR="009C4B1A" w:rsidRPr="00F746C6" w:rsidRDefault="009C4B1A" w:rsidP="006E305B">
                      <w:pPr>
                        <w:pStyle w:val="Listeavsnitt"/>
                        <w:numPr>
                          <w:ilvl w:val="0"/>
                          <w:numId w:val="34"/>
                        </w:numPr>
                        <w:autoSpaceDE w:val="0"/>
                        <w:autoSpaceDN w:val="0"/>
                        <w:adjustRightInd w:val="0"/>
                        <w:ind w:left="284" w:hanging="284"/>
                        <w:rPr>
                          <w:bCs/>
                          <w:i/>
                          <w:szCs w:val="24"/>
                        </w:rPr>
                      </w:pPr>
                      <w:r w:rsidRPr="00F746C6">
                        <w:rPr>
                          <w:bCs/>
                          <w:i/>
                          <w:szCs w:val="24"/>
                        </w:rPr>
                        <w:t xml:space="preserve">Prinsipper i nytt lønnssystem </w:t>
                      </w:r>
                    </w:p>
                    <w:p w14:paraId="52A40B4F"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I HTA kapittel 4 innføres pr. 1.5.2015 garantilønn og sentrale lønnstillegg ved hhv. 2, 4, 6, 8 og 10/16 års ansiennitet. </w:t>
                      </w:r>
                    </w:p>
                    <w:p w14:paraId="7A52BB4C"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Garantilønn (0 år) og lønnstillegg for ansiennitet forhandles sentralt. Tilleggene fastsettes i prosent av garantilønn (0 år) og utregnes i kronebeløp. Laveste årslønn på hvert ansiennitetstrinn utregnes i kronebeløp. </w:t>
                      </w:r>
                    </w:p>
                    <w:p w14:paraId="52E85E80"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Ansiennitetstillegget legges i sin helhet til den enkeltes årslønn. </w:t>
                      </w:r>
                    </w:p>
                    <w:p w14:paraId="377E3323"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Laveste årslønn er lik garantilønn (0 år) pluss sum av prosentvise ansiennitetstillegg. </w:t>
                      </w:r>
                    </w:p>
                    <w:p w14:paraId="7F7C88FF"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Dersom de sentrale parter i senere sentrale oppgjør endrer ansiennitetstillegg på et gitt ansiennitetstrinn, er arbeidstakere på dette ansiennitetstrinnet omfattet av endringen. </w:t>
                      </w:r>
                    </w:p>
                    <w:p w14:paraId="67A0A32F" w14:textId="77777777" w:rsidR="009C4B1A" w:rsidRPr="00F746C6" w:rsidRDefault="009C4B1A" w:rsidP="006E305B">
                      <w:pPr>
                        <w:pStyle w:val="Listeavsnitt"/>
                        <w:numPr>
                          <w:ilvl w:val="0"/>
                          <w:numId w:val="34"/>
                        </w:numPr>
                        <w:autoSpaceDE w:val="0"/>
                        <w:autoSpaceDN w:val="0"/>
                        <w:adjustRightInd w:val="0"/>
                        <w:ind w:left="284" w:hanging="284"/>
                        <w:rPr>
                          <w:bCs/>
                          <w:i/>
                          <w:szCs w:val="24"/>
                        </w:rPr>
                      </w:pPr>
                      <w:r w:rsidRPr="00F746C6">
                        <w:rPr>
                          <w:bCs/>
                          <w:i/>
                          <w:szCs w:val="24"/>
                        </w:rPr>
                        <w:t xml:space="preserve">Innføring av nytt lønnssystem </w:t>
                      </w:r>
                    </w:p>
                    <w:p w14:paraId="18A1285B"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Ved iverksetting av sentrale lønnstillegg pr. 1.5.2015</w:t>
                      </w:r>
                      <w:r>
                        <w:rPr>
                          <w:rFonts w:ascii="Times New Roman" w:hAnsi="Times New Roman"/>
                          <w:szCs w:val="24"/>
                        </w:rPr>
                        <w:t>,</w:t>
                      </w:r>
                      <w:r w:rsidRPr="001455B6">
                        <w:rPr>
                          <w:rFonts w:ascii="Times New Roman" w:hAnsi="Times New Roman"/>
                          <w:szCs w:val="24"/>
                        </w:rPr>
                        <w:t xml:space="preserve"> jf. II pkt. 1, er arbeidstakere som er omfattet av lønnssystemet innfaset i det nye systemet. </w:t>
                      </w:r>
                    </w:p>
                    <w:p w14:paraId="7995DC35" w14:textId="77777777" w:rsidR="009C4B1A" w:rsidRPr="001455B6" w:rsidRDefault="009C4B1A" w:rsidP="006E305B">
                      <w:pPr>
                        <w:autoSpaceDE w:val="0"/>
                        <w:autoSpaceDN w:val="0"/>
                        <w:adjustRightInd w:val="0"/>
                        <w:rPr>
                          <w:rFonts w:ascii="Times New Roman" w:hAnsi="Times New Roman"/>
                          <w:szCs w:val="24"/>
                        </w:rPr>
                      </w:pPr>
                      <w:r w:rsidRPr="001455B6">
                        <w:rPr>
                          <w:rFonts w:ascii="Times New Roman" w:hAnsi="Times New Roman"/>
                          <w:szCs w:val="24"/>
                        </w:rPr>
                        <w:t xml:space="preserve">I ny årslønn pr. 1.5.2015 er ansiennitetstillegg i henhold til fastsatt ansiennitet på hhv. 2,4,6,8 eller 10/16 år inkludert. </w:t>
                      </w:r>
                    </w:p>
                    <w:p w14:paraId="052DE374" w14:textId="77777777" w:rsidR="009C4B1A" w:rsidRPr="001455B6" w:rsidRDefault="009C4B1A" w:rsidP="006E305B">
                      <w:pPr>
                        <w:autoSpaceDE w:val="0"/>
                        <w:autoSpaceDN w:val="0"/>
                        <w:adjustRightInd w:val="0"/>
                        <w:rPr>
                          <w:rFonts w:ascii="Times New Roman" w:hAnsi="Times New Roman"/>
                          <w:b/>
                          <w:bCs/>
                          <w:szCs w:val="24"/>
                        </w:rPr>
                      </w:pPr>
                      <w:r w:rsidRPr="00AC00DC">
                        <w:rPr>
                          <w:rFonts w:ascii="Times New Roman" w:hAnsi="Times New Roman"/>
                          <w:bCs/>
                          <w:i/>
                          <w:szCs w:val="24"/>
                        </w:rPr>
                        <w:t>3.</w:t>
                      </w:r>
                      <w:r w:rsidRPr="001455B6">
                        <w:rPr>
                          <w:rFonts w:ascii="Times New Roman" w:hAnsi="Times New Roman"/>
                          <w:b/>
                          <w:bCs/>
                          <w:szCs w:val="24"/>
                        </w:rPr>
                        <w:t xml:space="preserve"> </w:t>
                      </w:r>
                      <w:r w:rsidRPr="00F746C6">
                        <w:rPr>
                          <w:rFonts w:ascii="Times New Roman" w:hAnsi="Times New Roman"/>
                          <w:bCs/>
                          <w:i/>
                          <w:szCs w:val="24"/>
                        </w:rPr>
                        <w:t>Virkninger ved fremtidige endringer i nytt lønnssystem</w:t>
                      </w:r>
                      <w:r w:rsidRPr="001455B6">
                        <w:rPr>
                          <w:rFonts w:ascii="Times New Roman" w:hAnsi="Times New Roman"/>
                          <w:b/>
                          <w:bCs/>
                          <w:szCs w:val="24"/>
                        </w:rPr>
                        <w:t xml:space="preserve"> </w:t>
                      </w:r>
                    </w:p>
                    <w:p w14:paraId="4C7B98E7" w14:textId="77777777" w:rsidR="009C4B1A" w:rsidRPr="001455B6" w:rsidRDefault="009C4B1A" w:rsidP="006E305B">
                      <w:pPr>
                        <w:rPr>
                          <w:rFonts w:ascii="Times New Roman" w:hAnsi="Times New Roman"/>
                          <w:szCs w:val="24"/>
                        </w:rPr>
                      </w:pPr>
                      <w:r w:rsidRPr="001455B6">
                        <w:rPr>
                          <w:rFonts w:ascii="Times New Roman" w:hAnsi="Times New Roman"/>
                          <w:szCs w:val="24"/>
                        </w:rPr>
                        <w:t>Endret ansiennitetstillegg innebærer at utregnet laveste årslønn endres tilsvarende kun på dette ansiennitetstrinnet.</w:t>
                      </w:r>
                    </w:p>
                  </w:txbxContent>
                </v:textbox>
                <w10:anchorlock/>
              </v:shape>
            </w:pict>
          </mc:Fallback>
        </mc:AlternateContent>
      </w:r>
    </w:p>
    <w:p w14:paraId="5B2B6B97" w14:textId="77777777" w:rsidR="006E305B" w:rsidRDefault="006E305B" w:rsidP="006E305B"/>
    <w:p w14:paraId="1BB9F7F2" w14:textId="77777777" w:rsidR="008B5EFE" w:rsidRDefault="008B5EFE" w:rsidP="006E305B"/>
    <w:p w14:paraId="2BCB6E87" w14:textId="77777777" w:rsidR="006E305B" w:rsidRDefault="006E305B" w:rsidP="006E305B">
      <w:r>
        <w:t>For</w:t>
      </w:r>
      <w:r w:rsidRPr="00C42039">
        <w:t xml:space="preserve"> ansatte med stilling i hovedtariffavtalen (HTA) kapittel 4 </w:t>
      </w:r>
      <w:r>
        <w:t>ble</w:t>
      </w:r>
      <w:r w:rsidRPr="00C42039">
        <w:t xml:space="preserve"> sentrale lønnstillegg </w:t>
      </w:r>
      <w:r>
        <w:t>per 1.5.2015 gitt slik:</w:t>
      </w:r>
    </w:p>
    <w:p w14:paraId="365BEF62" w14:textId="77777777" w:rsidR="006E305B" w:rsidRPr="00414EA8" w:rsidRDefault="006E305B" w:rsidP="006E305B">
      <w:pPr>
        <w:rPr>
          <w:rFonts w:ascii="Arial" w:hAnsi="Arial" w:cs="Arial"/>
        </w:rPr>
      </w:pPr>
      <w:r w:rsidRPr="00414EA8">
        <w:rPr>
          <w:rFonts w:ascii="Arial" w:hAnsi="Arial" w:cs="Arial"/>
        </w:rPr>
        <w:t xml:space="preserve">Tabell 1.1 Sentrale lønnstillegg per 1.5.2015 etter nytt lønnssystem i KS-området </w:t>
      </w:r>
    </w:p>
    <w:tbl>
      <w:tblPr>
        <w:tblW w:w="5152" w:type="pct"/>
        <w:tblLook w:val="0000" w:firstRow="0" w:lastRow="0" w:firstColumn="0" w:lastColumn="0" w:noHBand="0" w:noVBand="0"/>
      </w:tblPr>
      <w:tblGrid>
        <w:gridCol w:w="2639"/>
        <w:gridCol w:w="767"/>
        <w:gridCol w:w="993"/>
        <w:gridCol w:w="17"/>
        <w:gridCol w:w="1016"/>
        <w:gridCol w:w="1012"/>
        <w:gridCol w:w="1022"/>
        <w:gridCol w:w="1029"/>
        <w:gridCol w:w="999"/>
      </w:tblGrid>
      <w:tr w:rsidR="006E305B" w:rsidRPr="00F22728" w14:paraId="60CB32DC" w14:textId="77777777" w:rsidTr="000617D2">
        <w:trPr>
          <w:trHeight w:val="440"/>
        </w:trPr>
        <w:tc>
          <w:tcPr>
            <w:tcW w:w="1390" w:type="pct"/>
            <w:tcBorders>
              <w:top w:val="single" w:sz="4" w:space="0" w:color="auto"/>
              <w:bottom w:val="single" w:sz="4" w:space="0" w:color="auto"/>
            </w:tcBorders>
            <w:vAlign w:val="center"/>
          </w:tcPr>
          <w:p w14:paraId="7FFB613B"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p>
        </w:tc>
        <w:tc>
          <w:tcPr>
            <w:tcW w:w="404" w:type="pct"/>
            <w:tcBorders>
              <w:top w:val="single" w:sz="4" w:space="0" w:color="auto"/>
              <w:bottom w:val="single" w:sz="4" w:space="0" w:color="auto"/>
            </w:tcBorders>
            <w:vAlign w:val="center"/>
          </w:tcPr>
          <w:p w14:paraId="69CE2472"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0 år</w:t>
            </w:r>
          </w:p>
        </w:tc>
        <w:tc>
          <w:tcPr>
            <w:tcW w:w="523" w:type="pct"/>
            <w:tcBorders>
              <w:top w:val="single" w:sz="4" w:space="0" w:color="auto"/>
              <w:bottom w:val="single" w:sz="4" w:space="0" w:color="auto"/>
            </w:tcBorders>
            <w:vAlign w:val="center"/>
          </w:tcPr>
          <w:p w14:paraId="245907C0"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iCs/>
                <w:color w:val="000000"/>
                <w:sz w:val="20"/>
              </w:rPr>
              <w:t xml:space="preserve">2 år </w:t>
            </w:r>
          </w:p>
        </w:tc>
        <w:tc>
          <w:tcPr>
            <w:tcW w:w="544" w:type="pct"/>
            <w:gridSpan w:val="2"/>
            <w:tcBorders>
              <w:top w:val="single" w:sz="4" w:space="0" w:color="auto"/>
              <w:bottom w:val="single" w:sz="4" w:space="0" w:color="auto"/>
            </w:tcBorders>
            <w:vAlign w:val="center"/>
          </w:tcPr>
          <w:p w14:paraId="068B1E88"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color w:val="000000"/>
                <w:sz w:val="20"/>
              </w:rPr>
              <w:t xml:space="preserve">4 år </w:t>
            </w:r>
          </w:p>
        </w:tc>
        <w:tc>
          <w:tcPr>
            <w:tcW w:w="527" w:type="pct"/>
            <w:tcBorders>
              <w:top w:val="single" w:sz="4" w:space="0" w:color="auto"/>
              <w:bottom w:val="single" w:sz="4" w:space="0" w:color="auto"/>
            </w:tcBorders>
            <w:vAlign w:val="center"/>
          </w:tcPr>
          <w:p w14:paraId="221EE95A"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iCs/>
                <w:color w:val="000000"/>
                <w:sz w:val="20"/>
              </w:rPr>
              <w:t xml:space="preserve">6 år </w:t>
            </w:r>
          </w:p>
        </w:tc>
        <w:tc>
          <w:tcPr>
            <w:tcW w:w="538" w:type="pct"/>
            <w:tcBorders>
              <w:top w:val="single" w:sz="4" w:space="0" w:color="auto"/>
              <w:bottom w:val="single" w:sz="4" w:space="0" w:color="auto"/>
            </w:tcBorders>
            <w:vAlign w:val="center"/>
          </w:tcPr>
          <w:p w14:paraId="16EAE00A"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color w:val="000000"/>
                <w:sz w:val="20"/>
              </w:rPr>
              <w:t xml:space="preserve">8 år </w:t>
            </w:r>
          </w:p>
        </w:tc>
        <w:tc>
          <w:tcPr>
            <w:tcW w:w="542" w:type="pct"/>
            <w:tcBorders>
              <w:top w:val="single" w:sz="4" w:space="0" w:color="auto"/>
              <w:bottom w:val="single" w:sz="4" w:space="0" w:color="auto"/>
            </w:tcBorders>
            <w:vAlign w:val="center"/>
          </w:tcPr>
          <w:p w14:paraId="4BA197E7"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color w:val="000000"/>
                <w:sz w:val="20"/>
              </w:rPr>
              <w:t xml:space="preserve">10 år </w:t>
            </w:r>
          </w:p>
        </w:tc>
        <w:tc>
          <w:tcPr>
            <w:tcW w:w="533" w:type="pct"/>
            <w:tcBorders>
              <w:top w:val="single" w:sz="4" w:space="0" w:color="auto"/>
              <w:bottom w:val="single" w:sz="4" w:space="0" w:color="auto"/>
            </w:tcBorders>
            <w:vAlign w:val="center"/>
          </w:tcPr>
          <w:p w14:paraId="114D6292" w14:textId="77777777" w:rsidR="006E305B" w:rsidRPr="00F22728" w:rsidRDefault="006E305B" w:rsidP="000617D2">
            <w:pPr>
              <w:autoSpaceDE w:val="0"/>
              <w:autoSpaceDN w:val="0"/>
              <w:adjustRightInd w:val="0"/>
              <w:spacing w:after="0"/>
              <w:jc w:val="right"/>
              <w:rPr>
                <w:rFonts w:ascii="Times New Roman" w:eastAsia="Times New Roman" w:hAnsi="Times New Roman"/>
                <w:bCs/>
                <w:color w:val="000000"/>
                <w:sz w:val="20"/>
              </w:rPr>
            </w:pPr>
          </w:p>
        </w:tc>
      </w:tr>
      <w:tr w:rsidR="006E305B" w:rsidRPr="00F22728" w14:paraId="76825ECD" w14:textId="77777777" w:rsidTr="000617D2">
        <w:trPr>
          <w:trHeight w:val="443"/>
        </w:trPr>
        <w:tc>
          <w:tcPr>
            <w:tcW w:w="1390" w:type="pct"/>
            <w:vAlign w:val="center"/>
          </w:tcPr>
          <w:p w14:paraId="6E6B081F"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bCs/>
                <w:i/>
                <w:color w:val="000000"/>
                <w:sz w:val="20"/>
              </w:rPr>
              <w:t>Stillingsgruppe</w:t>
            </w:r>
          </w:p>
        </w:tc>
        <w:tc>
          <w:tcPr>
            <w:tcW w:w="404" w:type="pct"/>
            <w:vAlign w:val="center"/>
          </w:tcPr>
          <w:p w14:paraId="1B23842D"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c>
          <w:tcPr>
            <w:tcW w:w="532" w:type="pct"/>
            <w:gridSpan w:val="2"/>
            <w:vAlign w:val="center"/>
          </w:tcPr>
          <w:p w14:paraId="3C927004"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c>
          <w:tcPr>
            <w:tcW w:w="535" w:type="pct"/>
            <w:vAlign w:val="center"/>
          </w:tcPr>
          <w:p w14:paraId="58E00FB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c>
          <w:tcPr>
            <w:tcW w:w="533" w:type="pct"/>
            <w:vAlign w:val="center"/>
          </w:tcPr>
          <w:p w14:paraId="26C887AD"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c>
          <w:tcPr>
            <w:tcW w:w="532" w:type="pct"/>
            <w:vAlign w:val="center"/>
          </w:tcPr>
          <w:p w14:paraId="7609AC4B"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c>
          <w:tcPr>
            <w:tcW w:w="542" w:type="pct"/>
            <w:vAlign w:val="center"/>
          </w:tcPr>
          <w:p w14:paraId="6C23BF24"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c>
          <w:tcPr>
            <w:tcW w:w="533" w:type="pct"/>
            <w:vAlign w:val="center"/>
          </w:tcPr>
          <w:p w14:paraId="3268B8B2"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r>
      <w:tr w:rsidR="006E305B" w:rsidRPr="00F22728" w14:paraId="06F193C9" w14:textId="77777777" w:rsidTr="000617D2">
        <w:trPr>
          <w:trHeight w:val="283"/>
        </w:trPr>
        <w:tc>
          <w:tcPr>
            <w:tcW w:w="1390" w:type="pct"/>
            <w:vAlign w:val="bottom"/>
          </w:tcPr>
          <w:p w14:paraId="027BCC06"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color w:val="000000"/>
                <w:sz w:val="20"/>
              </w:rPr>
              <w:t xml:space="preserve">Stillinger uten særskilt krav om utdanning </w:t>
            </w:r>
          </w:p>
        </w:tc>
        <w:tc>
          <w:tcPr>
            <w:tcW w:w="404" w:type="pct"/>
            <w:vAlign w:val="bottom"/>
          </w:tcPr>
          <w:p w14:paraId="624EA4DF"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1 000 </w:t>
            </w:r>
          </w:p>
        </w:tc>
        <w:tc>
          <w:tcPr>
            <w:tcW w:w="532" w:type="pct"/>
            <w:gridSpan w:val="2"/>
            <w:vAlign w:val="bottom"/>
          </w:tcPr>
          <w:p w14:paraId="7E17DCA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6 500 </w:t>
            </w:r>
          </w:p>
        </w:tc>
        <w:tc>
          <w:tcPr>
            <w:tcW w:w="535" w:type="pct"/>
            <w:vAlign w:val="bottom"/>
          </w:tcPr>
          <w:p w14:paraId="7479A546"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4 200 </w:t>
            </w:r>
          </w:p>
        </w:tc>
        <w:tc>
          <w:tcPr>
            <w:tcW w:w="533" w:type="pct"/>
            <w:vAlign w:val="bottom"/>
          </w:tcPr>
          <w:p w14:paraId="79C652C1"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7 200 </w:t>
            </w:r>
          </w:p>
        </w:tc>
        <w:tc>
          <w:tcPr>
            <w:tcW w:w="532" w:type="pct"/>
            <w:vAlign w:val="bottom"/>
          </w:tcPr>
          <w:p w14:paraId="4861BEB5"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300 </w:t>
            </w:r>
          </w:p>
        </w:tc>
        <w:tc>
          <w:tcPr>
            <w:tcW w:w="542" w:type="pct"/>
            <w:vAlign w:val="bottom"/>
          </w:tcPr>
          <w:p w14:paraId="68DE04B0"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500 </w:t>
            </w:r>
          </w:p>
        </w:tc>
        <w:tc>
          <w:tcPr>
            <w:tcW w:w="533" w:type="pct"/>
            <w:vAlign w:val="bottom"/>
          </w:tcPr>
          <w:p w14:paraId="2866B319"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r>
      <w:tr w:rsidR="006E305B" w:rsidRPr="00F22728" w14:paraId="2F31C5EC" w14:textId="77777777" w:rsidTr="000617D2">
        <w:trPr>
          <w:trHeight w:val="282"/>
        </w:trPr>
        <w:tc>
          <w:tcPr>
            <w:tcW w:w="1390" w:type="pct"/>
            <w:vAlign w:val="bottom"/>
          </w:tcPr>
          <w:p w14:paraId="7CBF475B"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color w:val="000000"/>
                <w:sz w:val="20"/>
              </w:rPr>
              <w:t xml:space="preserve">Fagarbeiderstillinger/ tilsvarende fagarbeiderstillinger </w:t>
            </w:r>
          </w:p>
        </w:tc>
        <w:tc>
          <w:tcPr>
            <w:tcW w:w="404" w:type="pct"/>
            <w:vAlign w:val="bottom"/>
          </w:tcPr>
          <w:p w14:paraId="512156E2"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2 700 </w:t>
            </w:r>
          </w:p>
        </w:tc>
        <w:tc>
          <w:tcPr>
            <w:tcW w:w="532" w:type="pct"/>
            <w:gridSpan w:val="2"/>
            <w:vAlign w:val="bottom"/>
          </w:tcPr>
          <w:p w14:paraId="070EFA71"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9 100 </w:t>
            </w:r>
          </w:p>
        </w:tc>
        <w:tc>
          <w:tcPr>
            <w:tcW w:w="535" w:type="pct"/>
            <w:vAlign w:val="bottom"/>
          </w:tcPr>
          <w:p w14:paraId="64AA6876"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10 000 </w:t>
            </w:r>
          </w:p>
        </w:tc>
        <w:tc>
          <w:tcPr>
            <w:tcW w:w="533" w:type="pct"/>
            <w:vAlign w:val="bottom"/>
          </w:tcPr>
          <w:p w14:paraId="78766588"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13 500 </w:t>
            </w:r>
          </w:p>
        </w:tc>
        <w:tc>
          <w:tcPr>
            <w:tcW w:w="532" w:type="pct"/>
            <w:vAlign w:val="bottom"/>
          </w:tcPr>
          <w:p w14:paraId="71221D78"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16 000 </w:t>
            </w:r>
          </w:p>
        </w:tc>
        <w:tc>
          <w:tcPr>
            <w:tcW w:w="542" w:type="pct"/>
            <w:vAlign w:val="bottom"/>
          </w:tcPr>
          <w:p w14:paraId="44D18997"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6 800 </w:t>
            </w:r>
          </w:p>
        </w:tc>
        <w:tc>
          <w:tcPr>
            <w:tcW w:w="533" w:type="pct"/>
            <w:vAlign w:val="bottom"/>
          </w:tcPr>
          <w:p w14:paraId="35984F95"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r>
      <w:tr w:rsidR="006E305B" w:rsidRPr="00F22728" w14:paraId="62C1164B" w14:textId="77777777" w:rsidTr="000617D2">
        <w:trPr>
          <w:trHeight w:val="281"/>
        </w:trPr>
        <w:tc>
          <w:tcPr>
            <w:tcW w:w="1390" w:type="pct"/>
            <w:vAlign w:val="bottom"/>
          </w:tcPr>
          <w:p w14:paraId="2382AA74"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color w:val="000000"/>
                <w:sz w:val="20"/>
              </w:rPr>
              <w:t xml:space="preserve">Stillinger med krav om høyskoleutdanning </w:t>
            </w:r>
          </w:p>
        </w:tc>
        <w:tc>
          <w:tcPr>
            <w:tcW w:w="404" w:type="pct"/>
            <w:vAlign w:val="bottom"/>
          </w:tcPr>
          <w:p w14:paraId="66D1F510"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3 000 </w:t>
            </w:r>
          </w:p>
        </w:tc>
        <w:tc>
          <w:tcPr>
            <w:tcW w:w="532" w:type="pct"/>
            <w:gridSpan w:val="2"/>
            <w:vAlign w:val="bottom"/>
          </w:tcPr>
          <w:p w14:paraId="1FB3473F"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10 400 </w:t>
            </w:r>
          </w:p>
        </w:tc>
        <w:tc>
          <w:tcPr>
            <w:tcW w:w="535" w:type="pct"/>
            <w:vAlign w:val="bottom"/>
          </w:tcPr>
          <w:p w14:paraId="3BC10CF6"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9 400 </w:t>
            </w:r>
          </w:p>
        </w:tc>
        <w:tc>
          <w:tcPr>
            <w:tcW w:w="533" w:type="pct"/>
            <w:vAlign w:val="bottom"/>
          </w:tcPr>
          <w:p w14:paraId="781B015F"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13 100 </w:t>
            </w:r>
          </w:p>
        </w:tc>
        <w:tc>
          <w:tcPr>
            <w:tcW w:w="532" w:type="pct"/>
            <w:vAlign w:val="bottom"/>
          </w:tcPr>
          <w:p w14:paraId="3F1088B5"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16 100 </w:t>
            </w:r>
          </w:p>
        </w:tc>
        <w:tc>
          <w:tcPr>
            <w:tcW w:w="542" w:type="pct"/>
            <w:vAlign w:val="bottom"/>
          </w:tcPr>
          <w:p w14:paraId="78595082"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6 900 </w:t>
            </w:r>
          </w:p>
        </w:tc>
        <w:tc>
          <w:tcPr>
            <w:tcW w:w="533" w:type="pct"/>
            <w:vAlign w:val="bottom"/>
          </w:tcPr>
          <w:p w14:paraId="15727361"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r>
      <w:tr w:rsidR="006E305B" w:rsidRPr="00F22728" w14:paraId="6E9CE2EE" w14:textId="77777777" w:rsidTr="000617D2">
        <w:trPr>
          <w:trHeight w:val="478"/>
        </w:trPr>
        <w:tc>
          <w:tcPr>
            <w:tcW w:w="1390" w:type="pct"/>
            <w:vAlign w:val="bottom"/>
          </w:tcPr>
          <w:p w14:paraId="24813515"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color w:val="000000"/>
                <w:sz w:val="20"/>
              </w:rPr>
              <w:t xml:space="preserve">Stillinger med krav om høyskoleutdanning med ytterligere spesial-utdanning </w:t>
            </w:r>
          </w:p>
        </w:tc>
        <w:tc>
          <w:tcPr>
            <w:tcW w:w="404" w:type="pct"/>
            <w:vAlign w:val="bottom"/>
          </w:tcPr>
          <w:p w14:paraId="0BDE2772"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2 500 </w:t>
            </w:r>
          </w:p>
        </w:tc>
        <w:tc>
          <w:tcPr>
            <w:tcW w:w="532" w:type="pct"/>
            <w:gridSpan w:val="2"/>
            <w:vAlign w:val="bottom"/>
          </w:tcPr>
          <w:p w14:paraId="649BF875"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10 300 </w:t>
            </w:r>
          </w:p>
        </w:tc>
        <w:tc>
          <w:tcPr>
            <w:tcW w:w="535" w:type="pct"/>
            <w:vAlign w:val="bottom"/>
          </w:tcPr>
          <w:p w14:paraId="4E979B9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9 600 </w:t>
            </w:r>
          </w:p>
        </w:tc>
        <w:tc>
          <w:tcPr>
            <w:tcW w:w="533" w:type="pct"/>
            <w:vAlign w:val="bottom"/>
          </w:tcPr>
          <w:p w14:paraId="29399A39"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13 900 </w:t>
            </w:r>
          </w:p>
        </w:tc>
        <w:tc>
          <w:tcPr>
            <w:tcW w:w="532" w:type="pct"/>
            <w:vAlign w:val="bottom"/>
          </w:tcPr>
          <w:p w14:paraId="21DE3B6D"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16 300 </w:t>
            </w:r>
          </w:p>
        </w:tc>
        <w:tc>
          <w:tcPr>
            <w:tcW w:w="542" w:type="pct"/>
            <w:vAlign w:val="bottom"/>
          </w:tcPr>
          <w:p w14:paraId="659A7958"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12 400 </w:t>
            </w:r>
          </w:p>
        </w:tc>
        <w:tc>
          <w:tcPr>
            <w:tcW w:w="533" w:type="pct"/>
            <w:vAlign w:val="bottom"/>
          </w:tcPr>
          <w:p w14:paraId="722E205F"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r>
      <w:tr w:rsidR="006E305B" w:rsidRPr="00F22728" w14:paraId="27E6B6F9" w14:textId="77777777" w:rsidTr="000617D2">
        <w:trPr>
          <w:trHeight w:val="183"/>
        </w:trPr>
        <w:tc>
          <w:tcPr>
            <w:tcW w:w="1390" w:type="pct"/>
            <w:tcBorders>
              <w:bottom w:val="single" w:sz="4" w:space="0" w:color="auto"/>
            </w:tcBorders>
            <w:vAlign w:val="bottom"/>
          </w:tcPr>
          <w:p w14:paraId="13BABF92"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color w:val="000000"/>
                <w:sz w:val="20"/>
              </w:rPr>
              <w:t xml:space="preserve">Stillinger med krav om mastergrad </w:t>
            </w:r>
          </w:p>
        </w:tc>
        <w:tc>
          <w:tcPr>
            <w:tcW w:w="404" w:type="pct"/>
            <w:tcBorders>
              <w:bottom w:val="single" w:sz="4" w:space="0" w:color="auto"/>
            </w:tcBorders>
            <w:vAlign w:val="bottom"/>
          </w:tcPr>
          <w:p w14:paraId="7E54084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4 500 </w:t>
            </w:r>
          </w:p>
        </w:tc>
        <w:tc>
          <w:tcPr>
            <w:tcW w:w="532" w:type="pct"/>
            <w:gridSpan w:val="2"/>
            <w:tcBorders>
              <w:bottom w:val="single" w:sz="4" w:space="0" w:color="auto"/>
            </w:tcBorders>
            <w:vAlign w:val="bottom"/>
          </w:tcPr>
          <w:p w14:paraId="78CF37A7"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12 900 </w:t>
            </w:r>
          </w:p>
        </w:tc>
        <w:tc>
          <w:tcPr>
            <w:tcW w:w="535" w:type="pct"/>
            <w:tcBorders>
              <w:bottom w:val="single" w:sz="4" w:space="0" w:color="auto"/>
            </w:tcBorders>
            <w:vAlign w:val="bottom"/>
          </w:tcPr>
          <w:p w14:paraId="4096FF2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6 800 </w:t>
            </w:r>
          </w:p>
        </w:tc>
        <w:tc>
          <w:tcPr>
            <w:tcW w:w="533" w:type="pct"/>
            <w:tcBorders>
              <w:bottom w:val="single" w:sz="4" w:space="0" w:color="auto"/>
            </w:tcBorders>
            <w:vAlign w:val="bottom"/>
          </w:tcPr>
          <w:p w14:paraId="7BC81E69"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15 200 </w:t>
            </w:r>
          </w:p>
        </w:tc>
        <w:tc>
          <w:tcPr>
            <w:tcW w:w="532" w:type="pct"/>
            <w:tcBorders>
              <w:bottom w:val="single" w:sz="4" w:space="0" w:color="auto"/>
            </w:tcBorders>
            <w:vAlign w:val="bottom"/>
          </w:tcPr>
          <w:p w14:paraId="4743A3C5"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8 400 </w:t>
            </w:r>
          </w:p>
        </w:tc>
        <w:tc>
          <w:tcPr>
            <w:tcW w:w="542" w:type="pct"/>
            <w:tcBorders>
              <w:bottom w:val="single" w:sz="4" w:space="0" w:color="auto"/>
            </w:tcBorders>
            <w:vAlign w:val="bottom"/>
          </w:tcPr>
          <w:p w14:paraId="08EE9FB3"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8 700 </w:t>
            </w:r>
          </w:p>
        </w:tc>
        <w:tc>
          <w:tcPr>
            <w:tcW w:w="533" w:type="pct"/>
            <w:tcBorders>
              <w:bottom w:val="single" w:sz="4" w:space="0" w:color="auto"/>
            </w:tcBorders>
            <w:vAlign w:val="bottom"/>
          </w:tcPr>
          <w:p w14:paraId="4571556B"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p>
        </w:tc>
      </w:tr>
      <w:tr w:rsidR="006E305B" w:rsidRPr="00F22728" w14:paraId="03A295C5" w14:textId="77777777" w:rsidTr="000617D2">
        <w:trPr>
          <w:trHeight w:val="323"/>
        </w:trPr>
        <w:tc>
          <w:tcPr>
            <w:tcW w:w="1390" w:type="pct"/>
            <w:tcBorders>
              <w:top w:val="single" w:sz="4" w:space="0" w:color="auto"/>
              <w:bottom w:val="single" w:sz="4" w:space="0" w:color="auto"/>
            </w:tcBorders>
            <w:vAlign w:val="center"/>
          </w:tcPr>
          <w:p w14:paraId="590644C6"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p>
        </w:tc>
        <w:tc>
          <w:tcPr>
            <w:tcW w:w="404" w:type="pct"/>
            <w:tcBorders>
              <w:top w:val="single" w:sz="4" w:space="0" w:color="auto"/>
              <w:bottom w:val="single" w:sz="4" w:space="0" w:color="auto"/>
            </w:tcBorders>
            <w:vAlign w:val="center"/>
          </w:tcPr>
          <w:p w14:paraId="6089435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color w:val="000000"/>
                <w:sz w:val="20"/>
              </w:rPr>
              <w:t xml:space="preserve">0 år </w:t>
            </w:r>
          </w:p>
        </w:tc>
        <w:tc>
          <w:tcPr>
            <w:tcW w:w="532" w:type="pct"/>
            <w:gridSpan w:val="2"/>
            <w:tcBorders>
              <w:top w:val="single" w:sz="4" w:space="0" w:color="auto"/>
              <w:bottom w:val="single" w:sz="4" w:space="0" w:color="auto"/>
            </w:tcBorders>
            <w:vAlign w:val="center"/>
          </w:tcPr>
          <w:p w14:paraId="0CE9FBB0"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iCs/>
                <w:color w:val="000000"/>
                <w:sz w:val="20"/>
              </w:rPr>
              <w:t xml:space="preserve">2 år </w:t>
            </w:r>
          </w:p>
        </w:tc>
        <w:tc>
          <w:tcPr>
            <w:tcW w:w="535" w:type="pct"/>
            <w:tcBorders>
              <w:top w:val="single" w:sz="4" w:space="0" w:color="auto"/>
              <w:bottom w:val="single" w:sz="4" w:space="0" w:color="auto"/>
            </w:tcBorders>
            <w:vAlign w:val="center"/>
          </w:tcPr>
          <w:p w14:paraId="07694B8F"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color w:val="000000"/>
                <w:sz w:val="20"/>
              </w:rPr>
              <w:t xml:space="preserve">4 år </w:t>
            </w:r>
          </w:p>
        </w:tc>
        <w:tc>
          <w:tcPr>
            <w:tcW w:w="533" w:type="pct"/>
            <w:tcBorders>
              <w:top w:val="single" w:sz="4" w:space="0" w:color="auto"/>
              <w:bottom w:val="single" w:sz="4" w:space="0" w:color="auto"/>
            </w:tcBorders>
            <w:vAlign w:val="center"/>
          </w:tcPr>
          <w:p w14:paraId="6D845E66"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iCs/>
                <w:color w:val="000000"/>
                <w:sz w:val="20"/>
              </w:rPr>
              <w:t xml:space="preserve">6 år </w:t>
            </w:r>
          </w:p>
        </w:tc>
        <w:tc>
          <w:tcPr>
            <w:tcW w:w="532" w:type="pct"/>
            <w:tcBorders>
              <w:top w:val="single" w:sz="4" w:space="0" w:color="auto"/>
              <w:bottom w:val="single" w:sz="4" w:space="0" w:color="auto"/>
            </w:tcBorders>
            <w:vAlign w:val="center"/>
          </w:tcPr>
          <w:p w14:paraId="0A266AC4"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color w:val="000000"/>
                <w:sz w:val="20"/>
              </w:rPr>
              <w:t xml:space="preserve">8 år </w:t>
            </w:r>
          </w:p>
        </w:tc>
        <w:tc>
          <w:tcPr>
            <w:tcW w:w="542" w:type="pct"/>
            <w:tcBorders>
              <w:top w:val="single" w:sz="4" w:space="0" w:color="auto"/>
              <w:bottom w:val="single" w:sz="4" w:space="0" w:color="auto"/>
            </w:tcBorders>
            <w:vAlign w:val="center"/>
          </w:tcPr>
          <w:p w14:paraId="7EDA907B"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bCs/>
                <w:color w:val="000000"/>
                <w:sz w:val="20"/>
              </w:rPr>
              <w:t xml:space="preserve">10 år </w:t>
            </w:r>
          </w:p>
        </w:tc>
        <w:tc>
          <w:tcPr>
            <w:tcW w:w="533" w:type="pct"/>
            <w:tcBorders>
              <w:top w:val="single" w:sz="4" w:space="0" w:color="auto"/>
              <w:bottom w:val="single" w:sz="4" w:space="0" w:color="auto"/>
            </w:tcBorders>
            <w:vAlign w:val="center"/>
          </w:tcPr>
          <w:p w14:paraId="21E5B021" w14:textId="77777777" w:rsidR="006E305B" w:rsidRPr="00F22728" w:rsidRDefault="006E305B" w:rsidP="000617D2">
            <w:pPr>
              <w:autoSpaceDE w:val="0"/>
              <w:autoSpaceDN w:val="0"/>
              <w:adjustRightInd w:val="0"/>
              <w:spacing w:after="0"/>
              <w:jc w:val="right"/>
              <w:rPr>
                <w:rFonts w:ascii="Times New Roman" w:eastAsia="Times New Roman" w:hAnsi="Times New Roman"/>
                <w:bCs/>
                <w:color w:val="000000"/>
                <w:sz w:val="20"/>
              </w:rPr>
            </w:pPr>
            <w:r w:rsidRPr="00F22728">
              <w:rPr>
                <w:rFonts w:ascii="Times New Roman" w:eastAsia="Times New Roman" w:hAnsi="Times New Roman"/>
                <w:bCs/>
                <w:color w:val="000000"/>
                <w:sz w:val="20"/>
              </w:rPr>
              <w:t xml:space="preserve">16 år </w:t>
            </w:r>
          </w:p>
        </w:tc>
      </w:tr>
      <w:tr w:rsidR="006E305B" w:rsidRPr="00F22728" w14:paraId="110C29B0" w14:textId="77777777" w:rsidTr="000617D2">
        <w:trPr>
          <w:trHeight w:val="102"/>
        </w:trPr>
        <w:tc>
          <w:tcPr>
            <w:tcW w:w="1390" w:type="pct"/>
            <w:tcBorders>
              <w:top w:val="single" w:sz="4" w:space="0" w:color="auto"/>
            </w:tcBorders>
            <w:vAlign w:val="bottom"/>
          </w:tcPr>
          <w:p w14:paraId="0F584763"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color w:val="000000"/>
                <w:sz w:val="20"/>
              </w:rPr>
              <w:t xml:space="preserve">Lærer </w:t>
            </w:r>
          </w:p>
        </w:tc>
        <w:tc>
          <w:tcPr>
            <w:tcW w:w="404" w:type="pct"/>
            <w:tcBorders>
              <w:top w:val="single" w:sz="4" w:space="0" w:color="auto"/>
            </w:tcBorders>
            <w:vAlign w:val="bottom"/>
          </w:tcPr>
          <w:p w14:paraId="48B769DF"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4 000 </w:t>
            </w:r>
          </w:p>
        </w:tc>
        <w:tc>
          <w:tcPr>
            <w:tcW w:w="532" w:type="pct"/>
            <w:gridSpan w:val="2"/>
            <w:tcBorders>
              <w:top w:val="single" w:sz="4" w:space="0" w:color="auto"/>
            </w:tcBorders>
            <w:vAlign w:val="bottom"/>
          </w:tcPr>
          <w:p w14:paraId="3F655FB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11 500 </w:t>
            </w:r>
          </w:p>
        </w:tc>
        <w:tc>
          <w:tcPr>
            <w:tcW w:w="535" w:type="pct"/>
            <w:tcBorders>
              <w:top w:val="single" w:sz="4" w:space="0" w:color="auto"/>
            </w:tcBorders>
            <w:vAlign w:val="bottom"/>
          </w:tcPr>
          <w:p w14:paraId="2F169354"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6 500 </w:t>
            </w:r>
          </w:p>
        </w:tc>
        <w:tc>
          <w:tcPr>
            <w:tcW w:w="533" w:type="pct"/>
            <w:tcBorders>
              <w:top w:val="single" w:sz="4" w:space="0" w:color="auto"/>
            </w:tcBorders>
            <w:vAlign w:val="bottom"/>
          </w:tcPr>
          <w:p w14:paraId="101EC3CD"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11 500 </w:t>
            </w:r>
          </w:p>
        </w:tc>
        <w:tc>
          <w:tcPr>
            <w:tcW w:w="532" w:type="pct"/>
            <w:tcBorders>
              <w:top w:val="single" w:sz="4" w:space="0" w:color="auto"/>
            </w:tcBorders>
            <w:vAlign w:val="bottom"/>
          </w:tcPr>
          <w:p w14:paraId="074A517D"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9 400 </w:t>
            </w:r>
          </w:p>
        </w:tc>
        <w:tc>
          <w:tcPr>
            <w:tcW w:w="542" w:type="pct"/>
            <w:tcBorders>
              <w:top w:val="single" w:sz="4" w:space="0" w:color="auto"/>
            </w:tcBorders>
            <w:vAlign w:val="bottom"/>
          </w:tcPr>
          <w:p w14:paraId="4924DCD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8 100 </w:t>
            </w:r>
          </w:p>
        </w:tc>
        <w:tc>
          <w:tcPr>
            <w:tcW w:w="533" w:type="pct"/>
            <w:tcBorders>
              <w:top w:val="single" w:sz="4" w:space="0" w:color="auto"/>
            </w:tcBorders>
            <w:vAlign w:val="bottom"/>
          </w:tcPr>
          <w:p w14:paraId="2639C375"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5 300 </w:t>
            </w:r>
          </w:p>
        </w:tc>
      </w:tr>
      <w:tr w:rsidR="006E305B" w:rsidRPr="00F22728" w14:paraId="0D78A54A" w14:textId="77777777" w:rsidTr="000617D2">
        <w:trPr>
          <w:trHeight w:val="103"/>
        </w:trPr>
        <w:tc>
          <w:tcPr>
            <w:tcW w:w="1390" w:type="pct"/>
            <w:vAlign w:val="bottom"/>
          </w:tcPr>
          <w:p w14:paraId="1AA7F1AC"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color w:val="000000"/>
                <w:sz w:val="20"/>
              </w:rPr>
              <w:t xml:space="preserve">Adjunkt </w:t>
            </w:r>
          </w:p>
        </w:tc>
        <w:tc>
          <w:tcPr>
            <w:tcW w:w="404" w:type="pct"/>
            <w:vAlign w:val="bottom"/>
          </w:tcPr>
          <w:p w14:paraId="37EF17D2"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5 000 </w:t>
            </w:r>
          </w:p>
        </w:tc>
        <w:tc>
          <w:tcPr>
            <w:tcW w:w="532" w:type="pct"/>
            <w:gridSpan w:val="2"/>
            <w:vAlign w:val="bottom"/>
          </w:tcPr>
          <w:p w14:paraId="6A719FF0"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13 400 </w:t>
            </w:r>
          </w:p>
        </w:tc>
        <w:tc>
          <w:tcPr>
            <w:tcW w:w="535" w:type="pct"/>
            <w:vAlign w:val="bottom"/>
          </w:tcPr>
          <w:p w14:paraId="2411B36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7 500 </w:t>
            </w:r>
          </w:p>
        </w:tc>
        <w:tc>
          <w:tcPr>
            <w:tcW w:w="533" w:type="pct"/>
            <w:vAlign w:val="bottom"/>
          </w:tcPr>
          <w:p w14:paraId="561D0C07"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13 100 </w:t>
            </w:r>
          </w:p>
        </w:tc>
        <w:tc>
          <w:tcPr>
            <w:tcW w:w="532" w:type="pct"/>
            <w:vAlign w:val="bottom"/>
          </w:tcPr>
          <w:p w14:paraId="3363418F"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10 200 </w:t>
            </w:r>
          </w:p>
        </w:tc>
        <w:tc>
          <w:tcPr>
            <w:tcW w:w="542" w:type="pct"/>
            <w:vAlign w:val="bottom"/>
          </w:tcPr>
          <w:p w14:paraId="01D6DCB3"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10 000 </w:t>
            </w:r>
          </w:p>
        </w:tc>
        <w:tc>
          <w:tcPr>
            <w:tcW w:w="533" w:type="pct"/>
            <w:vAlign w:val="bottom"/>
          </w:tcPr>
          <w:p w14:paraId="2ADD7906"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6 700 </w:t>
            </w:r>
          </w:p>
        </w:tc>
      </w:tr>
      <w:tr w:rsidR="006E305B" w:rsidRPr="00F22728" w14:paraId="629D6815" w14:textId="77777777" w:rsidTr="000617D2">
        <w:trPr>
          <w:trHeight w:val="205"/>
        </w:trPr>
        <w:tc>
          <w:tcPr>
            <w:tcW w:w="1390" w:type="pct"/>
            <w:vAlign w:val="bottom"/>
          </w:tcPr>
          <w:p w14:paraId="6869C4A6"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color w:val="000000"/>
                <w:sz w:val="20"/>
              </w:rPr>
              <w:t xml:space="preserve">Adjunkt (med tilleggsutdanning) </w:t>
            </w:r>
          </w:p>
        </w:tc>
        <w:tc>
          <w:tcPr>
            <w:tcW w:w="404" w:type="pct"/>
            <w:vAlign w:val="bottom"/>
          </w:tcPr>
          <w:p w14:paraId="3CA9FA0F"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5 700 </w:t>
            </w:r>
          </w:p>
        </w:tc>
        <w:tc>
          <w:tcPr>
            <w:tcW w:w="532" w:type="pct"/>
            <w:gridSpan w:val="2"/>
            <w:vAlign w:val="bottom"/>
          </w:tcPr>
          <w:p w14:paraId="5FEADE8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14 700 </w:t>
            </w:r>
          </w:p>
        </w:tc>
        <w:tc>
          <w:tcPr>
            <w:tcW w:w="535" w:type="pct"/>
            <w:vAlign w:val="bottom"/>
          </w:tcPr>
          <w:p w14:paraId="50689D8A"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8 700 </w:t>
            </w:r>
          </w:p>
        </w:tc>
        <w:tc>
          <w:tcPr>
            <w:tcW w:w="533" w:type="pct"/>
            <w:vAlign w:val="bottom"/>
          </w:tcPr>
          <w:p w14:paraId="58709A90"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12 800 </w:t>
            </w:r>
          </w:p>
        </w:tc>
        <w:tc>
          <w:tcPr>
            <w:tcW w:w="532" w:type="pct"/>
            <w:vAlign w:val="bottom"/>
          </w:tcPr>
          <w:p w14:paraId="72E66193"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9 400 </w:t>
            </w:r>
          </w:p>
        </w:tc>
        <w:tc>
          <w:tcPr>
            <w:tcW w:w="542" w:type="pct"/>
            <w:vAlign w:val="bottom"/>
          </w:tcPr>
          <w:p w14:paraId="0B3A2763"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10 700 </w:t>
            </w:r>
          </w:p>
        </w:tc>
        <w:tc>
          <w:tcPr>
            <w:tcW w:w="533" w:type="pct"/>
            <w:vAlign w:val="bottom"/>
          </w:tcPr>
          <w:p w14:paraId="5105B27E"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7 400 </w:t>
            </w:r>
          </w:p>
        </w:tc>
      </w:tr>
      <w:tr w:rsidR="006E305B" w:rsidRPr="00F22728" w14:paraId="7494FE52" w14:textId="77777777" w:rsidTr="000617D2">
        <w:trPr>
          <w:trHeight w:val="103"/>
        </w:trPr>
        <w:tc>
          <w:tcPr>
            <w:tcW w:w="1390" w:type="pct"/>
            <w:vAlign w:val="bottom"/>
          </w:tcPr>
          <w:p w14:paraId="4BAEE570"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color w:val="000000"/>
                <w:sz w:val="20"/>
              </w:rPr>
              <w:t xml:space="preserve">Lektor </w:t>
            </w:r>
          </w:p>
        </w:tc>
        <w:tc>
          <w:tcPr>
            <w:tcW w:w="404" w:type="pct"/>
            <w:vAlign w:val="bottom"/>
          </w:tcPr>
          <w:p w14:paraId="0FA4E48A"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6 200 </w:t>
            </w:r>
          </w:p>
        </w:tc>
        <w:tc>
          <w:tcPr>
            <w:tcW w:w="532" w:type="pct"/>
            <w:gridSpan w:val="2"/>
            <w:vAlign w:val="bottom"/>
          </w:tcPr>
          <w:p w14:paraId="43E0365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15 600 </w:t>
            </w:r>
          </w:p>
        </w:tc>
        <w:tc>
          <w:tcPr>
            <w:tcW w:w="535" w:type="pct"/>
            <w:vAlign w:val="bottom"/>
          </w:tcPr>
          <w:p w14:paraId="0B92320E"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11 400 </w:t>
            </w:r>
          </w:p>
        </w:tc>
        <w:tc>
          <w:tcPr>
            <w:tcW w:w="533" w:type="pct"/>
            <w:vAlign w:val="bottom"/>
          </w:tcPr>
          <w:p w14:paraId="0296F345"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16 100 </w:t>
            </w:r>
          </w:p>
        </w:tc>
        <w:tc>
          <w:tcPr>
            <w:tcW w:w="532" w:type="pct"/>
            <w:vAlign w:val="bottom"/>
          </w:tcPr>
          <w:p w14:paraId="73FF49A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13 600 </w:t>
            </w:r>
          </w:p>
        </w:tc>
        <w:tc>
          <w:tcPr>
            <w:tcW w:w="542" w:type="pct"/>
            <w:vAlign w:val="bottom"/>
          </w:tcPr>
          <w:p w14:paraId="23BA40C0"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10 400 </w:t>
            </w:r>
          </w:p>
        </w:tc>
        <w:tc>
          <w:tcPr>
            <w:tcW w:w="533" w:type="pct"/>
            <w:vAlign w:val="bottom"/>
          </w:tcPr>
          <w:p w14:paraId="3B52DA7F"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8 500 </w:t>
            </w:r>
          </w:p>
        </w:tc>
      </w:tr>
      <w:tr w:rsidR="006E305B" w:rsidRPr="00F22728" w14:paraId="6FF15D59" w14:textId="77777777" w:rsidTr="000617D2">
        <w:trPr>
          <w:trHeight w:val="205"/>
        </w:trPr>
        <w:tc>
          <w:tcPr>
            <w:tcW w:w="1390" w:type="pct"/>
            <w:tcBorders>
              <w:bottom w:val="single" w:sz="4" w:space="0" w:color="auto"/>
            </w:tcBorders>
            <w:vAlign w:val="bottom"/>
          </w:tcPr>
          <w:p w14:paraId="12ED74DF" w14:textId="77777777" w:rsidR="006E305B" w:rsidRPr="00F22728" w:rsidRDefault="006E305B" w:rsidP="000617D2">
            <w:pPr>
              <w:autoSpaceDE w:val="0"/>
              <w:autoSpaceDN w:val="0"/>
              <w:adjustRightInd w:val="0"/>
              <w:spacing w:after="0"/>
              <w:rPr>
                <w:rFonts w:ascii="Times New Roman" w:eastAsia="Times New Roman" w:hAnsi="Times New Roman"/>
                <w:color w:val="000000"/>
                <w:sz w:val="20"/>
              </w:rPr>
            </w:pPr>
            <w:r w:rsidRPr="00F22728">
              <w:rPr>
                <w:rFonts w:ascii="Times New Roman" w:eastAsia="Times New Roman" w:hAnsi="Times New Roman"/>
                <w:color w:val="000000"/>
                <w:sz w:val="20"/>
              </w:rPr>
              <w:t xml:space="preserve">Lektor (med tilleggsutdanning) </w:t>
            </w:r>
          </w:p>
        </w:tc>
        <w:tc>
          <w:tcPr>
            <w:tcW w:w="404" w:type="pct"/>
            <w:tcBorders>
              <w:bottom w:val="single" w:sz="4" w:space="0" w:color="auto"/>
            </w:tcBorders>
            <w:vAlign w:val="bottom"/>
          </w:tcPr>
          <w:p w14:paraId="3AA943D6"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6 500 </w:t>
            </w:r>
          </w:p>
        </w:tc>
        <w:tc>
          <w:tcPr>
            <w:tcW w:w="532" w:type="pct"/>
            <w:gridSpan w:val="2"/>
            <w:tcBorders>
              <w:bottom w:val="single" w:sz="4" w:space="0" w:color="auto"/>
            </w:tcBorders>
            <w:vAlign w:val="bottom"/>
          </w:tcPr>
          <w:p w14:paraId="0A9C44C2"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16 200 </w:t>
            </w:r>
          </w:p>
        </w:tc>
        <w:tc>
          <w:tcPr>
            <w:tcW w:w="535" w:type="pct"/>
            <w:tcBorders>
              <w:bottom w:val="single" w:sz="4" w:space="0" w:color="auto"/>
            </w:tcBorders>
            <w:vAlign w:val="bottom"/>
          </w:tcPr>
          <w:p w14:paraId="28067C0D"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9 600 </w:t>
            </w:r>
          </w:p>
        </w:tc>
        <w:tc>
          <w:tcPr>
            <w:tcW w:w="533" w:type="pct"/>
            <w:tcBorders>
              <w:bottom w:val="single" w:sz="4" w:space="0" w:color="auto"/>
            </w:tcBorders>
            <w:vAlign w:val="bottom"/>
          </w:tcPr>
          <w:p w14:paraId="1BD1D3B2"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14 200 </w:t>
            </w:r>
          </w:p>
        </w:tc>
        <w:tc>
          <w:tcPr>
            <w:tcW w:w="532" w:type="pct"/>
            <w:tcBorders>
              <w:bottom w:val="single" w:sz="4" w:space="0" w:color="auto"/>
            </w:tcBorders>
            <w:vAlign w:val="bottom"/>
          </w:tcPr>
          <w:p w14:paraId="5BB30664"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8 400 </w:t>
            </w:r>
          </w:p>
        </w:tc>
        <w:tc>
          <w:tcPr>
            <w:tcW w:w="542" w:type="pct"/>
            <w:tcBorders>
              <w:bottom w:val="single" w:sz="4" w:space="0" w:color="auto"/>
            </w:tcBorders>
            <w:vAlign w:val="bottom"/>
          </w:tcPr>
          <w:p w14:paraId="7E09030A"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10 700 </w:t>
            </w:r>
          </w:p>
        </w:tc>
        <w:tc>
          <w:tcPr>
            <w:tcW w:w="533" w:type="pct"/>
            <w:tcBorders>
              <w:bottom w:val="single" w:sz="4" w:space="0" w:color="auto"/>
            </w:tcBorders>
            <w:vAlign w:val="bottom"/>
          </w:tcPr>
          <w:p w14:paraId="3AC6993C" w14:textId="77777777" w:rsidR="006E305B" w:rsidRPr="00F22728" w:rsidRDefault="006E305B" w:rsidP="000617D2">
            <w:pPr>
              <w:autoSpaceDE w:val="0"/>
              <w:autoSpaceDN w:val="0"/>
              <w:adjustRightInd w:val="0"/>
              <w:spacing w:after="0"/>
              <w:jc w:val="right"/>
              <w:rPr>
                <w:rFonts w:ascii="Times New Roman" w:eastAsia="Times New Roman" w:hAnsi="Times New Roman"/>
                <w:color w:val="000000"/>
                <w:sz w:val="20"/>
              </w:rPr>
            </w:pPr>
            <w:r w:rsidRPr="00F22728">
              <w:rPr>
                <w:rFonts w:ascii="Times New Roman" w:eastAsia="Times New Roman" w:hAnsi="Times New Roman"/>
                <w:color w:val="000000"/>
                <w:sz w:val="20"/>
              </w:rPr>
              <w:t xml:space="preserve">9 100 </w:t>
            </w:r>
          </w:p>
        </w:tc>
      </w:tr>
    </w:tbl>
    <w:p w14:paraId="19971546" w14:textId="77777777" w:rsidR="006E305B" w:rsidRDefault="006E305B" w:rsidP="006E305B">
      <w:pPr>
        <w:rPr>
          <w:rFonts w:ascii="Arial" w:hAnsi="Arial" w:cs="Arial"/>
        </w:rPr>
      </w:pPr>
      <w:r>
        <w:rPr>
          <w:b/>
        </w:rPr>
        <w:br/>
      </w:r>
    </w:p>
    <w:p w14:paraId="5417CE4F" w14:textId="3986D751" w:rsidR="006E305B" w:rsidRPr="00414EA8" w:rsidRDefault="006E305B" w:rsidP="006E305B">
      <w:pPr>
        <w:rPr>
          <w:rFonts w:ascii="Arial" w:hAnsi="Arial" w:cs="Arial"/>
        </w:rPr>
      </w:pPr>
      <w:r>
        <w:rPr>
          <w:rFonts w:ascii="Arial" w:hAnsi="Arial" w:cs="Arial"/>
        </w:rPr>
        <w:t xml:space="preserve">Tabell 1.2 </w:t>
      </w:r>
      <w:r w:rsidRPr="00414EA8">
        <w:rPr>
          <w:rFonts w:ascii="Arial" w:hAnsi="Arial" w:cs="Arial"/>
        </w:rPr>
        <w:t xml:space="preserve">Minstelønnssatser i KS-området </w:t>
      </w:r>
      <w:r w:rsidR="006708D3">
        <w:rPr>
          <w:rFonts w:ascii="Arial" w:hAnsi="Arial" w:cs="Arial"/>
        </w:rPr>
        <w:t>per 1. mai 2014 og garantilønn og lønnstillegg etter ansiennitet per 1. mai 2015</w:t>
      </w:r>
      <w:r w:rsidRPr="00414EA8">
        <w:rPr>
          <w:rFonts w:ascii="Arial" w:hAnsi="Arial" w:cs="Arial"/>
        </w:rPr>
        <w:t xml:space="preserve">. Ingen ansiennitet (0 år) og maksimal ansiennitet (10 år eller 16 år). </w:t>
      </w:r>
    </w:p>
    <w:tbl>
      <w:tblPr>
        <w:tblW w:w="5304" w:type="pct"/>
        <w:tblInd w:w="-284" w:type="dxa"/>
        <w:tblLayout w:type="fixed"/>
        <w:tblCellMar>
          <w:left w:w="70" w:type="dxa"/>
          <w:right w:w="70" w:type="dxa"/>
        </w:tblCellMar>
        <w:tblLook w:val="0000" w:firstRow="0" w:lastRow="0" w:firstColumn="0" w:lastColumn="0" w:noHBand="0" w:noVBand="0"/>
      </w:tblPr>
      <w:tblGrid>
        <w:gridCol w:w="1989"/>
        <w:gridCol w:w="934"/>
        <w:gridCol w:w="1190"/>
        <w:gridCol w:w="991"/>
        <w:gridCol w:w="10"/>
        <w:gridCol w:w="803"/>
        <w:gridCol w:w="37"/>
        <w:gridCol w:w="991"/>
        <w:gridCol w:w="10"/>
        <w:gridCol w:w="1128"/>
        <w:gridCol w:w="800"/>
        <w:gridCol w:w="39"/>
        <w:gridCol w:w="852"/>
      </w:tblGrid>
      <w:tr w:rsidR="001A66B9" w:rsidRPr="00B85D85" w14:paraId="1012A365" w14:textId="77777777" w:rsidTr="005610BC">
        <w:trPr>
          <w:trHeight w:val="255"/>
          <w:tblHeader/>
        </w:trPr>
        <w:tc>
          <w:tcPr>
            <w:tcW w:w="1017" w:type="pct"/>
            <w:tcBorders>
              <w:top w:val="single" w:sz="4" w:space="0" w:color="auto"/>
              <w:left w:val="nil"/>
              <w:right w:val="nil"/>
            </w:tcBorders>
            <w:shd w:val="clear" w:color="auto" w:fill="auto"/>
            <w:vAlign w:val="bottom"/>
          </w:tcPr>
          <w:p w14:paraId="30528929" w14:textId="77777777" w:rsidR="006E305B" w:rsidRPr="00B85D85" w:rsidRDefault="006E305B" w:rsidP="000617D2">
            <w:pPr>
              <w:spacing w:after="0"/>
              <w:rPr>
                <w:rFonts w:ascii="Times New Roman" w:hAnsi="Times New Roman"/>
                <w:sz w:val="20"/>
              </w:rPr>
            </w:pPr>
            <w:bookmarkStart w:id="249" w:name="OLE_LINK1"/>
          </w:p>
        </w:tc>
        <w:tc>
          <w:tcPr>
            <w:tcW w:w="2028" w:type="pct"/>
            <w:gridSpan w:val="6"/>
            <w:tcBorders>
              <w:top w:val="single" w:sz="4" w:space="0" w:color="auto"/>
              <w:left w:val="nil"/>
              <w:bottom w:val="single" w:sz="4" w:space="0" w:color="auto"/>
              <w:right w:val="nil"/>
            </w:tcBorders>
            <w:shd w:val="clear" w:color="auto" w:fill="auto"/>
            <w:noWrap/>
            <w:tcMar>
              <w:left w:w="57" w:type="dxa"/>
              <w:right w:w="57" w:type="dxa"/>
            </w:tcMar>
            <w:vAlign w:val="bottom"/>
          </w:tcPr>
          <w:p w14:paraId="6964C947" w14:textId="77777777" w:rsidR="006E305B" w:rsidRPr="00B85D85" w:rsidRDefault="006E305B" w:rsidP="000617D2">
            <w:pPr>
              <w:spacing w:after="0"/>
              <w:ind w:left="-41" w:firstLine="41"/>
              <w:jc w:val="center"/>
              <w:rPr>
                <w:rFonts w:ascii="Times New Roman" w:hAnsi="Times New Roman"/>
                <w:sz w:val="20"/>
              </w:rPr>
            </w:pPr>
            <w:r w:rsidRPr="00B85D85">
              <w:rPr>
                <w:rFonts w:ascii="Times New Roman" w:hAnsi="Times New Roman"/>
                <w:sz w:val="20"/>
              </w:rPr>
              <w:t>Ansiennitet 0 år</w:t>
            </w:r>
          </w:p>
        </w:tc>
        <w:tc>
          <w:tcPr>
            <w:tcW w:w="1954" w:type="pct"/>
            <w:gridSpan w:val="6"/>
            <w:tcBorders>
              <w:top w:val="single" w:sz="4" w:space="0" w:color="auto"/>
              <w:left w:val="nil"/>
              <w:bottom w:val="single" w:sz="4" w:space="0" w:color="auto"/>
              <w:right w:val="nil"/>
            </w:tcBorders>
            <w:shd w:val="clear" w:color="auto" w:fill="auto"/>
            <w:noWrap/>
          </w:tcPr>
          <w:p w14:paraId="5A8A8B66" w14:textId="77777777" w:rsidR="006E305B" w:rsidRPr="00B85D85" w:rsidRDefault="006E305B" w:rsidP="000617D2">
            <w:pPr>
              <w:spacing w:after="0"/>
              <w:jc w:val="center"/>
              <w:rPr>
                <w:rFonts w:ascii="Times New Roman" w:hAnsi="Times New Roman"/>
                <w:sz w:val="20"/>
              </w:rPr>
            </w:pPr>
            <w:r w:rsidRPr="00B85D85">
              <w:rPr>
                <w:rFonts w:ascii="Times New Roman" w:hAnsi="Times New Roman"/>
                <w:sz w:val="20"/>
              </w:rPr>
              <w:t>Ansiennitet 10 år</w:t>
            </w:r>
          </w:p>
        </w:tc>
      </w:tr>
      <w:tr w:rsidR="00E97C9D" w:rsidRPr="00B85D85" w14:paraId="06EF04E4" w14:textId="77777777" w:rsidTr="005610BC">
        <w:trPr>
          <w:trHeight w:val="510"/>
          <w:tblHeader/>
        </w:trPr>
        <w:tc>
          <w:tcPr>
            <w:tcW w:w="1017" w:type="pct"/>
            <w:tcBorders>
              <w:top w:val="nil"/>
              <w:left w:val="nil"/>
              <w:bottom w:val="single" w:sz="4" w:space="0" w:color="auto"/>
              <w:right w:val="nil"/>
            </w:tcBorders>
            <w:shd w:val="clear" w:color="auto" w:fill="auto"/>
            <w:vAlign w:val="bottom"/>
          </w:tcPr>
          <w:p w14:paraId="36131D47" w14:textId="77777777" w:rsidR="003168DF" w:rsidRPr="00B85D85" w:rsidRDefault="003168DF" w:rsidP="00E97C9D">
            <w:pPr>
              <w:spacing w:after="0"/>
              <w:jc w:val="center"/>
              <w:rPr>
                <w:rFonts w:ascii="Times New Roman" w:hAnsi="Times New Roman"/>
                <w:sz w:val="20"/>
              </w:rPr>
            </w:pPr>
          </w:p>
        </w:tc>
        <w:tc>
          <w:tcPr>
            <w:tcW w:w="478" w:type="pct"/>
            <w:tcBorders>
              <w:top w:val="single" w:sz="4" w:space="0" w:color="auto"/>
              <w:left w:val="nil"/>
              <w:bottom w:val="single" w:sz="4" w:space="0" w:color="auto"/>
              <w:right w:val="nil"/>
            </w:tcBorders>
            <w:shd w:val="clear" w:color="auto" w:fill="auto"/>
            <w:tcMar>
              <w:left w:w="57" w:type="dxa"/>
              <w:right w:w="57" w:type="dxa"/>
            </w:tcMar>
            <w:vAlign w:val="bottom"/>
          </w:tcPr>
          <w:p w14:paraId="1657007E" w14:textId="372696E1" w:rsidR="003168DF" w:rsidRPr="00B85D85" w:rsidRDefault="003168DF" w:rsidP="00E97C9D">
            <w:pPr>
              <w:spacing w:after="0"/>
              <w:jc w:val="center"/>
              <w:rPr>
                <w:rFonts w:ascii="Times New Roman" w:hAnsi="Times New Roman"/>
                <w:sz w:val="20"/>
              </w:rPr>
            </w:pPr>
            <w:r>
              <w:rPr>
                <w:rFonts w:ascii="Times New Roman" w:hAnsi="Times New Roman"/>
                <w:sz w:val="20"/>
              </w:rPr>
              <w:t>Minste</w:t>
            </w:r>
            <w:r w:rsidR="00E624ED">
              <w:rPr>
                <w:rFonts w:ascii="Times New Roman" w:hAnsi="Times New Roman"/>
                <w:sz w:val="20"/>
              </w:rPr>
              <w:t>-</w:t>
            </w:r>
            <w:r>
              <w:rPr>
                <w:rFonts w:ascii="Times New Roman" w:hAnsi="Times New Roman"/>
                <w:sz w:val="20"/>
              </w:rPr>
              <w:t xml:space="preserve">lønnssats </w:t>
            </w:r>
            <w:r w:rsidRPr="00B85D85">
              <w:rPr>
                <w:rFonts w:ascii="Times New Roman" w:hAnsi="Times New Roman"/>
                <w:sz w:val="20"/>
              </w:rPr>
              <w:t>1. mai 2014</w:t>
            </w:r>
          </w:p>
        </w:tc>
        <w:tc>
          <w:tcPr>
            <w:tcW w:w="609" w:type="pct"/>
            <w:tcBorders>
              <w:top w:val="single" w:sz="4" w:space="0" w:color="auto"/>
              <w:left w:val="nil"/>
              <w:bottom w:val="single" w:sz="4" w:space="0" w:color="auto"/>
              <w:right w:val="nil"/>
            </w:tcBorders>
            <w:shd w:val="clear" w:color="auto" w:fill="auto"/>
            <w:tcMar>
              <w:left w:w="57" w:type="dxa"/>
              <w:right w:w="57" w:type="dxa"/>
            </w:tcMar>
            <w:vAlign w:val="bottom"/>
          </w:tcPr>
          <w:p w14:paraId="22BA9121" w14:textId="6BEBECB5" w:rsidR="003168DF" w:rsidRPr="00B85D85" w:rsidRDefault="003168DF" w:rsidP="00E97C9D">
            <w:pPr>
              <w:spacing w:after="0"/>
              <w:jc w:val="center"/>
              <w:rPr>
                <w:rFonts w:ascii="Times New Roman" w:hAnsi="Times New Roman"/>
                <w:sz w:val="20"/>
              </w:rPr>
            </w:pPr>
            <w:r>
              <w:rPr>
                <w:rFonts w:ascii="Times New Roman" w:hAnsi="Times New Roman"/>
                <w:sz w:val="20"/>
              </w:rPr>
              <w:t>Garanti</w:t>
            </w:r>
            <w:r w:rsidR="00E97C9D">
              <w:rPr>
                <w:rFonts w:ascii="Times New Roman" w:hAnsi="Times New Roman"/>
                <w:sz w:val="20"/>
              </w:rPr>
              <w:t>lønn</w:t>
            </w:r>
            <w:r>
              <w:rPr>
                <w:rFonts w:ascii="Times New Roman" w:hAnsi="Times New Roman"/>
                <w:sz w:val="20"/>
              </w:rPr>
              <w:t xml:space="preserve"> inkl. tillegg </w:t>
            </w:r>
            <w:r w:rsidRPr="00B85D85">
              <w:rPr>
                <w:rFonts w:ascii="Times New Roman" w:hAnsi="Times New Roman"/>
                <w:sz w:val="20"/>
              </w:rPr>
              <w:t>1. mai 201</w:t>
            </w:r>
            <w:r>
              <w:rPr>
                <w:rFonts w:ascii="Times New Roman" w:hAnsi="Times New Roman"/>
                <w:sz w:val="20"/>
              </w:rPr>
              <w:t>5</w:t>
            </w:r>
          </w:p>
        </w:tc>
        <w:tc>
          <w:tcPr>
            <w:tcW w:w="512" w:type="pct"/>
            <w:gridSpan w:val="2"/>
            <w:tcBorders>
              <w:top w:val="nil"/>
              <w:left w:val="nil"/>
              <w:bottom w:val="single" w:sz="4" w:space="0" w:color="auto"/>
              <w:right w:val="nil"/>
            </w:tcBorders>
            <w:shd w:val="clear" w:color="auto" w:fill="auto"/>
            <w:noWrap/>
            <w:tcMar>
              <w:left w:w="57" w:type="dxa"/>
              <w:right w:w="57" w:type="dxa"/>
            </w:tcMar>
            <w:vAlign w:val="bottom"/>
          </w:tcPr>
          <w:p w14:paraId="6A5E7108" w14:textId="04FF1007" w:rsidR="003168DF" w:rsidRPr="00B85D85" w:rsidRDefault="003168DF" w:rsidP="00E97C9D">
            <w:pPr>
              <w:spacing w:after="0"/>
              <w:jc w:val="center"/>
              <w:rPr>
                <w:rFonts w:ascii="Times New Roman" w:hAnsi="Times New Roman"/>
                <w:sz w:val="20"/>
              </w:rPr>
            </w:pPr>
            <w:r>
              <w:rPr>
                <w:rFonts w:ascii="Times New Roman" w:hAnsi="Times New Roman"/>
                <w:sz w:val="20"/>
              </w:rPr>
              <w:t>Tillegg 1. mai 2015</w:t>
            </w:r>
          </w:p>
        </w:tc>
        <w:tc>
          <w:tcPr>
            <w:tcW w:w="430" w:type="pct"/>
            <w:gridSpan w:val="2"/>
            <w:tcBorders>
              <w:top w:val="single" w:sz="4" w:space="0" w:color="auto"/>
              <w:left w:val="nil"/>
              <w:bottom w:val="single" w:sz="4" w:space="0" w:color="auto"/>
              <w:right w:val="nil"/>
            </w:tcBorders>
            <w:tcMar>
              <w:left w:w="57" w:type="dxa"/>
              <w:right w:w="57" w:type="dxa"/>
            </w:tcMar>
            <w:vAlign w:val="bottom"/>
          </w:tcPr>
          <w:p w14:paraId="44233C23" w14:textId="77777777" w:rsidR="003168DF" w:rsidRPr="00B85D85" w:rsidRDefault="003168DF" w:rsidP="00E97C9D">
            <w:pPr>
              <w:spacing w:after="0"/>
              <w:jc w:val="center"/>
              <w:rPr>
                <w:rFonts w:ascii="Times New Roman" w:hAnsi="Times New Roman"/>
                <w:sz w:val="20"/>
              </w:rPr>
            </w:pPr>
            <w:r w:rsidRPr="00B85D85">
              <w:rPr>
                <w:rFonts w:ascii="Times New Roman" w:hAnsi="Times New Roman"/>
                <w:sz w:val="20"/>
              </w:rPr>
              <w:t>Andel</w:t>
            </w:r>
            <w:r w:rsidRPr="00B85D85">
              <w:rPr>
                <w:rFonts w:ascii="Times New Roman" w:hAnsi="Times New Roman"/>
                <w:sz w:val="20"/>
                <w:vertAlign w:val="superscript"/>
              </w:rPr>
              <w:t>2</w:t>
            </w:r>
            <w:r w:rsidRPr="00B85D85">
              <w:rPr>
                <w:rFonts w:ascii="Times New Roman" w:hAnsi="Times New Roman"/>
                <w:sz w:val="20"/>
              </w:rPr>
              <w:t xml:space="preserve"> kvinner, prosent</w:t>
            </w:r>
          </w:p>
        </w:tc>
        <w:tc>
          <w:tcPr>
            <w:tcW w:w="512" w:type="pct"/>
            <w:gridSpan w:val="2"/>
            <w:tcBorders>
              <w:top w:val="single" w:sz="4" w:space="0" w:color="auto"/>
              <w:left w:val="nil"/>
              <w:bottom w:val="single" w:sz="4" w:space="0" w:color="auto"/>
              <w:right w:val="nil"/>
            </w:tcBorders>
            <w:shd w:val="clear" w:color="auto" w:fill="auto"/>
            <w:vAlign w:val="bottom"/>
          </w:tcPr>
          <w:p w14:paraId="16C6EAB3" w14:textId="4816889A" w:rsidR="003168DF" w:rsidRPr="00B85D85" w:rsidRDefault="003168DF" w:rsidP="00E97C9D">
            <w:pPr>
              <w:spacing w:after="0"/>
              <w:jc w:val="center"/>
              <w:rPr>
                <w:rFonts w:ascii="Times New Roman" w:hAnsi="Times New Roman"/>
                <w:sz w:val="20"/>
              </w:rPr>
            </w:pPr>
            <w:r>
              <w:rPr>
                <w:rFonts w:ascii="Times New Roman" w:hAnsi="Times New Roman"/>
                <w:sz w:val="20"/>
              </w:rPr>
              <w:t>Minste</w:t>
            </w:r>
            <w:r w:rsidR="00E624ED">
              <w:rPr>
                <w:rFonts w:ascii="Times New Roman" w:hAnsi="Times New Roman"/>
                <w:sz w:val="20"/>
              </w:rPr>
              <w:t>-</w:t>
            </w:r>
            <w:r>
              <w:rPr>
                <w:rFonts w:ascii="Times New Roman" w:hAnsi="Times New Roman"/>
                <w:sz w:val="20"/>
              </w:rPr>
              <w:t xml:space="preserve">lønnssats </w:t>
            </w:r>
            <w:r w:rsidRPr="00B85D85">
              <w:rPr>
                <w:rFonts w:ascii="Times New Roman" w:hAnsi="Times New Roman"/>
                <w:sz w:val="20"/>
              </w:rPr>
              <w:t>1. mai 2014</w:t>
            </w:r>
          </w:p>
        </w:tc>
        <w:tc>
          <w:tcPr>
            <w:tcW w:w="577" w:type="pct"/>
            <w:tcBorders>
              <w:top w:val="single" w:sz="4" w:space="0" w:color="auto"/>
              <w:left w:val="nil"/>
              <w:bottom w:val="single" w:sz="4" w:space="0" w:color="auto"/>
              <w:right w:val="nil"/>
            </w:tcBorders>
            <w:shd w:val="clear" w:color="auto" w:fill="auto"/>
            <w:tcMar>
              <w:left w:w="28" w:type="dxa"/>
            </w:tcMar>
            <w:vAlign w:val="bottom"/>
          </w:tcPr>
          <w:p w14:paraId="6826A2A7" w14:textId="6D4E7E2E" w:rsidR="003168DF" w:rsidRPr="00B85D85" w:rsidRDefault="003168DF" w:rsidP="00A2224C">
            <w:pPr>
              <w:spacing w:after="0"/>
              <w:jc w:val="center"/>
              <w:rPr>
                <w:rFonts w:ascii="Times New Roman" w:hAnsi="Times New Roman"/>
                <w:sz w:val="20"/>
              </w:rPr>
            </w:pPr>
            <w:r>
              <w:rPr>
                <w:rFonts w:ascii="Times New Roman" w:hAnsi="Times New Roman"/>
                <w:sz w:val="20"/>
              </w:rPr>
              <w:t>Garanti</w:t>
            </w:r>
            <w:r w:rsidR="00E97C9D">
              <w:rPr>
                <w:rFonts w:ascii="Times New Roman" w:hAnsi="Times New Roman"/>
                <w:sz w:val="20"/>
              </w:rPr>
              <w:t xml:space="preserve">lønn </w:t>
            </w:r>
            <w:r>
              <w:rPr>
                <w:rFonts w:ascii="Times New Roman" w:hAnsi="Times New Roman"/>
                <w:sz w:val="20"/>
              </w:rPr>
              <w:t xml:space="preserve">inkl. tillegg </w:t>
            </w:r>
            <w:r w:rsidRPr="00B85D85">
              <w:rPr>
                <w:rFonts w:ascii="Times New Roman" w:hAnsi="Times New Roman"/>
                <w:sz w:val="20"/>
              </w:rPr>
              <w:t>1. mai 201</w:t>
            </w:r>
            <w:r>
              <w:rPr>
                <w:rFonts w:ascii="Times New Roman" w:hAnsi="Times New Roman"/>
                <w:sz w:val="20"/>
              </w:rPr>
              <w:t>5</w:t>
            </w:r>
          </w:p>
        </w:tc>
        <w:tc>
          <w:tcPr>
            <w:tcW w:w="429" w:type="pct"/>
            <w:gridSpan w:val="2"/>
            <w:tcBorders>
              <w:top w:val="nil"/>
              <w:left w:val="nil"/>
              <w:bottom w:val="single" w:sz="4" w:space="0" w:color="auto"/>
              <w:right w:val="nil"/>
            </w:tcBorders>
            <w:shd w:val="clear" w:color="auto" w:fill="auto"/>
            <w:noWrap/>
            <w:vAlign w:val="bottom"/>
          </w:tcPr>
          <w:p w14:paraId="2D3AC167" w14:textId="08BDEFA1" w:rsidR="003168DF" w:rsidRPr="00B85D85" w:rsidRDefault="003168DF" w:rsidP="00E97C9D">
            <w:pPr>
              <w:spacing w:after="0"/>
              <w:jc w:val="center"/>
              <w:rPr>
                <w:rFonts w:ascii="Times New Roman" w:hAnsi="Times New Roman"/>
                <w:sz w:val="20"/>
              </w:rPr>
            </w:pPr>
            <w:r>
              <w:rPr>
                <w:rFonts w:ascii="Times New Roman" w:hAnsi="Times New Roman"/>
                <w:sz w:val="20"/>
              </w:rPr>
              <w:t>Tillegg 1. mai 2015</w:t>
            </w:r>
          </w:p>
        </w:tc>
        <w:tc>
          <w:tcPr>
            <w:tcW w:w="436" w:type="pct"/>
            <w:tcBorders>
              <w:top w:val="nil"/>
              <w:left w:val="nil"/>
              <w:bottom w:val="single" w:sz="4" w:space="0" w:color="auto"/>
              <w:right w:val="nil"/>
            </w:tcBorders>
            <w:vAlign w:val="bottom"/>
          </w:tcPr>
          <w:p w14:paraId="421A5300" w14:textId="77777777" w:rsidR="003168DF" w:rsidRPr="00B85D85" w:rsidRDefault="003168DF" w:rsidP="00E97C9D">
            <w:pPr>
              <w:spacing w:after="0"/>
              <w:jc w:val="center"/>
              <w:rPr>
                <w:rFonts w:ascii="Times New Roman" w:hAnsi="Times New Roman"/>
                <w:sz w:val="20"/>
              </w:rPr>
            </w:pPr>
            <w:r w:rsidRPr="00B85D85">
              <w:rPr>
                <w:rFonts w:ascii="Times New Roman" w:hAnsi="Times New Roman"/>
                <w:sz w:val="20"/>
              </w:rPr>
              <w:t>Andel</w:t>
            </w:r>
            <w:r w:rsidRPr="00B85D85">
              <w:rPr>
                <w:rFonts w:ascii="Times New Roman" w:hAnsi="Times New Roman"/>
                <w:sz w:val="20"/>
                <w:vertAlign w:val="superscript"/>
              </w:rPr>
              <w:t>2</w:t>
            </w:r>
            <w:r w:rsidRPr="00B85D85">
              <w:rPr>
                <w:rFonts w:ascii="Times New Roman" w:hAnsi="Times New Roman"/>
                <w:sz w:val="20"/>
              </w:rPr>
              <w:t xml:space="preserve"> kvinner, prosent</w:t>
            </w:r>
          </w:p>
        </w:tc>
      </w:tr>
      <w:tr w:rsidR="00D149D3" w:rsidRPr="00B85D85" w14:paraId="07F37E5B" w14:textId="77777777" w:rsidTr="005610BC">
        <w:trPr>
          <w:trHeight w:val="264"/>
        </w:trPr>
        <w:tc>
          <w:tcPr>
            <w:tcW w:w="1017" w:type="pct"/>
            <w:tcBorders>
              <w:top w:val="single" w:sz="4" w:space="0" w:color="auto"/>
              <w:left w:val="nil"/>
              <w:right w:val="nil"/>
            </w:tcBorders>
            <w:shd w:val="clear" w:color="auto" w:fill="auto"/>
            <w:vAlign w:val="center"/>
          </w:tcPr>
          <w:p w14:paraId="1A9B42CC" w14:textId="77777777" w:rsidR="006E305B" w:rsidRPr="00A2224C" w:rsidRDefault="006E305B" w:rsidP="000617D2">
            <w:pPr>
              <w:rPr>
                <w:rFonts w:ascii="Times New Roman" w:hAnsi="Times New Roman"/>
                <w:i/>
                <w:sz w:val="20"/>
              </w:rPr>
            </w:pPr>
            <w:r w:rsidRPr="00A2224C">
              <w:rPr>
                <w:rFonts w:ascii="Times New Roman" w:hAnsi="Times New Roman"/>
                <w:i/>
                <w:sz w:val="20"/>
              </w:rPr>
              <w:t>Stillingsgrupper</w:t>
            </w:r>
          </w:p>
        </w:tc>
        <w:tc>
          <w:tcPr>
            <w:tcW w:w="478" w:type="pct"/>
            <w:tcBorders>
              <w:top w:val="single" w:sz="4" w:space="0" w:color="auto"/>
              <w:left w:val="nil"/>
              <w:right w:val="nil"/>
            </w:tcBorders>
            <w:shd w:val="clear" w:color="auto" w:fill="auto"/>
            <w:tcMar>
              <w:left w:w="57" w:type="dxa"/>
              <w:right w:w="57" w:type="dxa"/>
            </w:tcMar>
            <w:vAlign w:val="center"/>
          </w:tcPr>
          <w:p w14:paraId="515E46C7" w14:textId="77777777" w:rsidR="006E305B" w:rsidRPr="00A2224C" w:rsidRDefault="006E305B" w:rsidP="000617D2">
            <w:pPr>
              <w:jc w:val="right"/>
              <w:rPr>
                <w:rFonts w:ascii="Times New Roman" w:hAnsi="Times New Roman"/>
                <w:i/>
                <w:color w:val="000000"/>
                <w:sz w:val="20"/>
              </w:rPr>
            </w:pPr>
          </w:p>
        </w:tc>
        <w:tc>
          <w:tcPr>
            <w:tcW w:w="609" w:type="pct"/>
            <w:tcBorders>
              <w:top w:val="single" w:sz="4" w:space="0" w:color="auto"/>
              <w:left w:val="nil"/>
              <w:right w:val="nil"/>
            </w:tcBorders>
            <w:shd w:val="clear" w:color="auto" w:fill="auto"/>
            <w:noWrap/>
            <w:tcMar>
              <w:left w:w="57" w:type="dxa"/>
              <w:right w:w="57" w:type="dxa"/>
            </w:tcMar>
            <w:vAlign w:val="center"/>
          </w:tcPr>
          <w:p w14:paraId="28CE22C0" w14:textId="77777777" w:rsidR="006E305B" w:rsidRPr="00A2224C" w:rsidRDefault="006E305B" w:rsidP="000617D2">
            <w:pPr>
              <w:jc w:val="right"/>
              <w:rPr>
                <w:rFonts w:ascii="Times New Roman" w:hAnsi="Times New Roman"/>
                <w:i/>
                <w:color w:val="000000"/>
                <w:sz w:val="20"/>
              </w:rPr>
            </w:pPr>
          </w:p>
        </w:tc>
        <w:tc>
          <w:tcPr>
            <w:tcW w:w="512" w:type="pct"/>
            <w:gridSpan w:val="2"/>
            <w:tcBorders>
              <w:top w:val="single" w:sz="4" w:space="0" w:color="auto"/>
              <w:left w:val="nil"/>
              <w:right w:val="nil"/>
            </w:tcBorders>
            <w:shd w:val="clear" w:color="auto" w:fill="auto"/>
            <w:noWrap/>
            <w:tcMar>
              <w:left w:w="57" w:type="dxa"/>
              <w:right w:w="57" w:type="dxa"/>
            </w:tcMar>
            <w:vAlign w:val="center"/>
          </w:tcPr>
          <w:p w14:paraId="0717ED28" w14:textId="77777777" w:rsidR="006E305B" w:rsidRPr="00A2224C" w:rsidRDefault="006E305B" w:rsidP="000617D2">
            <w:pPr>
              <w:jc w:val="right"/>
              <w:rPr>
                <w:rFonts w:ascii="Times New Roman" w:hAnsi="Times New Roman"/>
                <w:i/>
                <w:color w:val="000000"/>
                <w:sz w:val="20"/>
              </w:rPr>
            </w:pPr>
          </w:p>
        </w:tc>
        <w:tc>
          <w:tcPr>
            <w:tcW w:w="430" w:type="pct"/>
            <w:gridSpan w:val="2"/>
            <w:tcBorders>
              <w:top w:val="single" w:sz="4" w:space="0" w:color="auto"/>
              <w:left w:val="nil"/>
              <w:right w:val="nil"/>
            </w:tcBorders>
            <w:tcMar>
              <w:left w:w="57" w:type="dxa"/>
              <w:right w:w="57" w:type="dxa"/>
            </w:tcMar>
            <w:vAlign w:val="center"/>
          </w:tcPr>
          <w:p w14:paraId="3BF1BCFF" w14:textId="77777777" w:rsidR="006E305B" w:rsidRPr="00A2224C" w:rsidRDefault="006E305B" w:rsidP="000617D2">
            <w:pPr>
              <w:jc w:val="right"/>
              <w:rPr>
                <w:rFonts w:ascii="Times New Roman" w:hAnsi="Times New Roman"/>
                <w:i/>
                <w:color w:val="000000"/>
                <w:sz w:val="20"/>
              </w:rPr>
            </w:pPr>
          </w:p>
        </w:tc>
        <w:tc>
          <w:tcPr>
            <w:tcW w:w="512" w:type="pct"/>
            <w:gridSpan w:val="2"/>
            <w:tcBorders>
              <w:top w:val="single" w:sz="4" w:space="0" w:color="auto"/>
              <w:left w:val="nil"/>
              <w:right w:val="nil"/>
            </w:tcBorders>
            <w:shd w:val="clear" w:color="auto" w:fill="auto"/>
            <w:vAlign w:val="center"/>
          </w:tcPr>
          <w:p w14:paraId="43EC5595" w14:textId="77777777" w:rsidR="006E305B" w:rsidRPr="00A2224C" w:rsidRDefault="006E305B" w:rsidP="000617D2">
            <w:pPr>
              <w:jc w:val="right"/>
              <w:rPr>
                <w:rFonts w:ascii="Times New Roman" w:hAnsi="Times New Roman"/>
                <w:i/>
                <w:color w:val="000000"/>
                <w:sz w:val="20"/>
              </w:rPr>
            </w:pPr>
          </w:p>
        </w:tc>
        <w:tc>
          <w:tcPr>
            <w:tcW w:w="577" w:type="pct"/>
            <w:tcBorders>
              <w:top w:val="single" w:sz="4" w:space="0" w:color="auto"/>
              <w:left w:val="nil"/>
              <w:right w:val="nil"/>
            </w:tcBorders>
            <w:shd w:val="clear" w:color="auto" w:fill="auto"/>
            <w:noWrap/>
            <w:tcMar>
              <w:left w:w="28" w:type="dxa"/>
            </w:tcMar>
            <w:vAlign w:val="center"/>
          </w:tcPr>
          <w:p w14:paraId="5C9C11E4" w14:textId="77777777" w:rsidR="006E305B" w:rsidRPr="00A2224C" w:rsidRDefault="006E305B" w:rsidP="000617D2">
            <w:pPr>
              <w:jc w:val="right"/>
              <w:rPr>
                <w:rFonts w:ascii="Times New Roman" w:hAnsi="Times New Roman"/>
                <w:i/>
                <w:color w:val="000000"/>
                <w:sz w:val="20"/>
              </w:rPr>
            </w:pPr>
          </w:p>
        </w:tc>
        <w:tc>
          <w:tcPr>
            <w:tcW w:w="429" w:type="pct"/>
            <w:gridSpan w:val="2"/>
            <w:tcBorders>
              <w:top w:val="single" w:sz="4" w:space="0" w:color="auto"/>
              <w:left w:val="nil"/>
              <w:right w:val="nil"/>
            </w:tcBorders>
            <w:shd w:val="clear" w:color="auto" w:fill="auto"/>
            <w:noWrap/>
            <w:vAlign w:val="center"/>
          </w:tcPr>
          <w:p w14:paraId="6A672CB8" w14:textId="77777777" w:rsidR="006E305B" w:rsidRPr="00A2224C" w:rsidRDefault="006E305B" w:rsidP="000617D2">
            <w:pPr>
              <w:jc w:val="right"/>
              <w:rPr>
                <w:rFonts w:ascii="Times New Roman" w:hAnsi="Times New Roman"/>
                <w:i/>
                <w:color w:val="000000"/>
                <w:sz w:val="20"/>
              </w:rPr>
            </w:pPr>
          </w:p>
        </w:tc>
        <w:tc>
          <w:tcPr>
            <w:tcW w:w="436" w:type="pct"/>
            <w:tcBorders>
              <w:top w:val="single" w:sz="4" w:space="0" w:color="auto"/>
              <w:left w:val="nil"/>
              <w:right w:val="nil"/>
            </w:tcBorders>
            <w:vAlign w:val="center"/>
          </w:tcPr>
          <w:p w14:paraId="132B8755" w14:textId="77777777" w:rsidR="006E305B" w:rsidRPr="00A2224C" w:rsidRDefault="006E305B" w:rsidP="000617D2">
            <w:pPr>
              <w:jc w:val="right"/>
              <w:rPr>
                <w:rFonts w:ascii="Times New Roman" w:hAnsi="Times New Roman"/>
                <w:i/>
                <w:color w:val="000000"/>
                <w:sz w:val="20"/>
              </w:rPr>
            </w:pPr>
          </w:p>
        </w:tc>
      </w:tr>
      <w:tr w:rsidR="00D149D3" w:rsidRPr="00B85D85" w14:paraId="28A62C68" w14:textId="77777777" w:rsidTr="005610BC">
        <w:trPr>
          <w:trHeight w:val="510"/>
        </w:trPr>
        <w:tc>
          <w:tcPr>
            <w:tcW w:w="1017" w:type="pct"/>
            <w:tcBorders>
              <w:left w:val="nil"/>
              <w:bottom w:val="nil"/>
              <w:right w:val="nil"/>
            </w:tcBorders>
            <w:shd w:val="clear" w:color="auto" w:fill="auto"/>
            <w:vAlign w:val="bottom"/>
          </w:tcPr>
          <w:p w14:paraId="23431E8F" w14:textId="77777777" w:rsidR="00A12275" w:rsidRPr="00A2224C" w:rsidRDefault="00A12275" w:rsidP="00A12275">
            <w:pPr>
              <w:rPr>
                <w:rFonts w:ascii="Times New Roman" w:hAnsi="Times New Roman"/>
                <w:sz w:val="20"/>
              </w:rPr>
            </w:pPr>
            <w:r w:rsidRPr="00A2224C">
              <w:rPr>
                <w:rFonts w:ascii="Times New Roman" w:hAnsi="Times New Roman"/>
                <w:sz w:val="20"/>
              </w:rPr>
              <w:t>Stillinger uten særskilt krav om utdanning</w:t>
            </w:r>
            <w:r w:rsidRPr="00A2224C">
              <w:rPr>
                <w:rFonts w:ascii="Times New Roman" w:hAnsi="Times New Roman"/>
                <w:sz w:val="20"/>
                <w:vertAlign w:val="superscript"/>
              </w:rPr>
              <w:t>1</w:t>
            </w:r>
          </w:p>
        </w:tc>
        <w:tc>
          <w:tcPr>
            <w:tcW w:w="478" w:type="pct"/>
            <w:tcBorders>
              <w:left w:val="nil"/>
              <w:bottom w:val="nil"/>
              <w:right w:val="nil"/>
            </w:tcBorders>
            <w:shd w:val="clear" w:color="auto" w:fill="auto"/>
            <w:tcMar>
              <w:left w:w="57" w:type="dxa"/>
              <w:right w:w="57" w:type="dxa"/>
            </w:tcMar>
            <w:vAlign w:val="bottom"/>
          </w:tcPr>
          <w:p w14:paraId="60F821F3"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273 700</w:t>
            </w:r>
          </w:p>
        </w:tc>
        <w:tc>
          <w:tcPr>
            <w:tcW w:w="609" w:type="pct"/>
            <w:tcBorders>
              <w:left w:val="nil"/>
              <w:bottom w:val="nil"/>
              <w:right w:val="nil"/>
            </w:tcBorders>
            <w:shd w:val="clear" w:color="auto" w:fill="auto"/>
            <w:noWrap/>
            <w:tcMar>
              <w:left w:w="57" w:type="dxa"/>
              <w:right w:w="57" w:type="dxa"/>
            </w:tcMar>
            <w:vAlign w:val="bottom"/>
          </w:tcPr>
          <w:p w14:paraId="2A3B447D"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274 700</w:t>
            </w:r>
          </w:p>
        </w:tc>
        <w:tc>
          <w:tcPr>
            <w:tcW w:w="512" w:type="pct"/>
            <w:gridSpan w:val="2"/>
            <w:tcBorders>
              <w:left w:val="nil"/>
              <w:bottom w:val="nil"/>
              <w:right w:val="nil"/>
            </w:tcBorders>
            <w:shd w:val="clear" w:color="auto" w:fill="auto"/>
            <w:noWrap/>
            <w:tcMar>
              <w:left w:w="57" w:type="dxa"/>
              <w:right w:w="57" w:type="dxa"/>
            </w:tcMar>
            <w:vAlign w:val="bottom"/>
          </w:tcPr>
          <w:p w14:paraId="3EBF47C0" w14:textId="77777777" w:rsidR="00A12275" w:rsidRPr="00A2224C" w:rsidRDefault="00A12275" w:rsidP="00A12275">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1 000 </w:t>
            </w:r>
          </w:p>
        </w:tc>
        <w:tc>
          <w:tcPr>
            <w:tcW w:w="430" w:type="pct"/>
            <w:gridSpan w:val="2"/>
            <w:tcBorders>
              <w:left w:val="nil"/>
              <w:bottom w:val="nil"/>
              <w:right w:val="nil"/>
            </w:tcBorders>
            <w:tcMar>
              <w:left w:w="57" w:type="dxa"/>
              <w:right w:w="57" w:type="dxa"/>
            </w:tcMar>
            <w:vAlign w:val="bottom"/>
          </w:tcPr>
          <w:p w14:paraId="4B307082" w14:textId="0B351762"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sz w:val="20"/>
              </w:rPr>
              <w:t>69</w:t>
            </w:r>
          </w:p>
        </w:tc>
        <w:tc>
          <w:tcPr>
            <w:tcW w:w="512" w:type="pct"/>
            <w:gridSpan w:val="2"/>
            <w:tcBorders>
              <w:left w:val="nil"/>
              <w:bottom w:val="nil"/>
              <w:right w:val="nil"/>
            </w:tcBorders>
            <w:shd w:val="clear" w:color="auto" w:fill="auto"/>
            <w:vAlign w:val="bottom"/>
          </w:tcPr>
          <w:p w14:paraId="1C590A50"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339 900</w:t>
            </w:r>
          </w:p>
        </w:tc>
        <w:tc>
          <w:tcPr>
            <w:tcW w:w="577" w:type="pct"/>
            <w:tcBorders>
              <w:left w:val="nil"/>
              <w:bottom w:val="nil"/>
              <w:right w:val="nil"/>
            </w:tcBorders>
            <w:shd w:val="clear" w:color="auto" w:fill="auto"/>
            <w:noWrap/>
            <w:tcMar>
              <w:left w:w="28" w:type="dxa"/>
            </w:tcMar>
            <w:vAlign w:val="bottom"/>
          </w:tcPr>
          <w:p w14:paraId="1EED65CC"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340 400</w:t>
            </w:r>
          </w:p>
        </w:tc>
        <w:tc>
          <w:tcPr>
            <w:tcW w:w="429" w:type="pct"/>
            <w:gridSpan w:val="2"/>
            <w:tcBorders>
              <w:left w:val="nil"/>
              <w:bottom w:val="nil"/>
              <w:right w:val="nil"/>
            </w:tcBorders>
            <w:shd w:val="clear" w:color="auto" w:fill="auto"/>
            <w:noWrap/>
            <w:vAlign w:val="bottom"/>
          </w:tcPr>
          <w:p w14:paraId="14670892" w14:textId="77777777" w:rsidR="00A12275" w:rsidRPr="00A2224C" w:rsidRDefault="00A12275" w:rsidP="00A12275">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500 </w:t>
            </w:r>
          </w:p>
        </w:tc>
        <w:tc>
          <w:tcPr>
            <w:tcW w:w="436" w:type="pct"/>
            <w:tcBorders>
              <w:left w:val="nil"/>
              <w:bottom w:val="nil"/>
              <w:right w:val="nil"/>
            </w:tcBorders>
            <w:vAlign w:val="bottom"/>
          </w:tcPr>
          <w:p w14:paraId="4FC08B20" w14:textId="0ECEB1F1"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sz w:val="20"/>
              </w:rPr>
              <w:t>79</w:t>
            </w:r>
          </w:p>
        </w:tc>
      </w:tr>
      <w:tr w:rsidR="00D149D3" w:rsidRPr="00B85D85" w14:paraId="78B65233" w14:textId="77777777" w:rsidTr="005610BC">
        <w:trPr>
          <w:trHeight w:val="510"/>
        </w:trPr>
        <w:tc>
          <w:tcPr>
            <w:tcW w:w="1017" w:type="pct"/>
            <w:tcBorders>
              <w:top w:val="nil"/>
              <w:left w:val="nil"/>
              <w:bottom w:val="nil"/>
              <w:right w:val="nil"/>
            </w:tcBorders>
            <w:shd w:val="clear" w:color="auto" w:fill="auto"/>
            <w:vAlign w:val="bottom"/>
          </w:tcPr>
          <w:p w14:paraId="0A026D33" w14:textId="77777777" w:rsidR="00A12275" w:rsidRPr="00A2224C" w:rsidRDefault="00A12275" w:rsidP="00A12275">
            <w:pPr>
              <w:spacing w:after="0"/>
              <w:rPr>
                <w:rFonts w:ascii="Times New Roman" w:hAnsi="Times New Roman"/>
                <w:sz w:val="20"/>
              </w:rPr>
            </w:pPr>
            <w:r w:rsidRPr="00A2224C">
              <w:rPr>
                <w:rFonts w:ascii="Times New Roman" w:hAnsi="Times New Roman"/>
                <w:sz w:val="20"/>
              </w:rPr>
              <w:t>Fagarbeiderstillinger/ tilsvarende fag-arbeiderstillinger</w:t>
            </w:r>
          </w:p>
        </w:tc>
        <w:tc>
          <w:tcPr>
            <w:tcW w:w="478" w:type="pct"/>
            <w:tcBorders>
              <w:top w:val="nil"/>
              <w:left w:val="nil"/>
              <w:bottom w:val="nil"/>
              <w:right w:val="nil"/>
            </w:tcBorders>
            <w:shd w:val="clear" w:color="auto" w:fill="auto"/>
            <w:tcMar>
              <w:left w:w="57" w:type="dxa"/>
              <w:right w:w="57" w:type="dxa"/>
            </w:tcMar>
            <w:vAlign w:val="bottom"/>
          </w:tcPr>
          <w:p w14:paraId="1A23E1B8"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316 300</w:t>
            </w:r>
          </w:p>
        </w:tc>
        <w:tc>
          <w:tcPr>
            <w:tcW w:w="609" w:type="pct"/>
            <w:tcBorders>
              <w:top w:val="nil"/>
              <w:left w:val="nil"/>
              <w:bottom w:val="nil"/>
              <w:right w:val="nil"/>
            </w:tcBorders>
            <w:shd w:val="clear" w:color="auto" w:fill="auto"/>
            <w:noWrap/>
            <w:tcMar>
              <w:left w:w="57" w:type="dxa"/>
              <w:right w:w="57" w:type="dxa"/>
            </w:tcMar>
            <w:vAlign w:val="bottom"/>
          </w:tcPr>
          <w:p w14:paraId="6D971F6A"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319 000</w:t>
            </w:r>
          </w:p>
        </w:tc>
        <w:tc>
          <w:tcPr>
            <w:tcW w:w="512" w:type="pct"/>
            <w:gridSpan w:val="2"/>
            <w:tcBorders>
              <w:top w:val="nil"/>
              <w:left w:val="nil"/>
              <w:bottom w:val="nil"/>
              <w:right w:val="nil"/>
            </w:tcBorders>
            <w:shd w:val="clear" w:color="auto" w:fill="auto"/>
            <w:noWrap/>
            <w:tcMar>
              <w:left w:w="57" w:type="dxa"/>
              <w:right w:w="57" w:type="dxa"/>
            </w:tcMar>
            <w:vAlign w:val="bottom"/>
          </w:tcPr>
          <w:p w14:paraId="599D21F6" w14:textId="77777777" w:rsidR="00A12275" w:rsidRPr="00A2224C" w:rsidRDefault="00A12275" w:rsidP="00A12275">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2 700 </w:t>
            </w:r>
          </w:p>
        </w:tc>
        <w:tc>
          <w:tcPr>
            <w:tcW w:w="430" w:type="pct"/>
            <w:gridSpan w:val="2"/>
            <w:tcBorders>
              <w:top w:val="nil"/>
              <w:left w:val="nil"/>
              <w:bottom w:val="nil"/>
              <w:right w:val="nil"/>
            </w:tcBorders>
            <w:tcMar>
              <w:left w:w="57" w:type="dxa"/>
              <w:right w:w="57" w:type="dxa"/>
            </w:tcMar>
            <w:vAlign w:val="bottom"/>
          </w:tcPr>
          <w:p w14:paraId="7C2CCF54" w14:textId="2A8D2BE4"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sz w:val="20"/>
              </w:rPr>
              <w:t>71</w:t>
            </w:r>
          </w:p>
        </w:tc>
        <w:tc>
          <w:tcPr>
            <w:tcW w:w="512" w:type="pct"/>
            <w:gridSpan w:val="2"/>
            <w:tcBorders>
              <w:top w:val="nil"/>
              <w:left w:val="nil"/>
              <w:bottom w:val="nil"/>
              <w:right w:val="nil"/>
            </w:tcBorders>
            <w:shd w:val="clear" w:color="auto" w:fill="auto"/>
            <w:vAlign w:val="bottom"/>
          </w:tcPr>
          <w:p w14:paraId="5E1AB81C"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375 100</w:t>
            </w:r>
          </w:p>
        </w:tc>
        <w:tc>
          <w:tcPr>
            <w:tcW w:w="577" w:type="pct"/>
            <w:tcBorders>
              <w:top w:val="nil"/>
              <w:left w:val="nil"/>
              <w:bottom w:val="nil"/>
              <w:right w:val="nil"/>
            </w:tcBorders>
            <w:shd w:val="clear" w:color="auto" w:fill="auto"/>
            <w:noWrap/>
            <w:tcMar>
              <w:left w:w="28" w:type="dxa"/>
            </w:tcMar>
            <w:vAlign w:val="bottom"/>
          </w:tcPr>
          <w:p w14:paraId="4215E7E8"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381 900</w:t>
            </w:r>
          </w:p>
        </w:tc>
        <w:tc>
          <w:tcPr>
            <w:tcW w:w="429" w:type="pct"/>
            <w:gridSpan w:val="2"/>
            <w:tcBorders>
              <w:top w:val="nil"/>
              <w:left w:val="nil"/>
              <w:bottom w:val="nil"/>
              <w:right w:val="nil"/>
            </w:tcBorders>
            <w:shd w:val="clear" w:color="auto" w:fill="auto"/>
            <w:noWrap/>
            <w:vAlign w:val="bottom"/>
          </w:tcPr>
          <w:p w14:paraId="5D6E9209" w14:textId="77777777" w:rsidR="00A12275" w:rsidRPr="00A2224C" w:rsidRDefault="00A12275" w:rsidP="00A12275">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6 800 </w:t>
            </w:r>
          </w:p>
        </w:tc>
        <w:tc>
          <w:tcPr>
            <w:tcW w:w="436" w:type="pct"/>
            <w:tcBorders>
              <w:top w:val="nil"/>
              <w:left w:val="nil"/>
              <w:bottom w:val="nil"/>
              <w:right w:val="nil"/>
            </w:tcBorders>
            <w:vAlign w:val="bottom"/>
          </w:tcPr>
          <w:p w14:paraId="75E54C8A" w14:textId="04D98C4B"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sz w:val="20"/>
              </w:rPr>
              <w:t>83</w:t>
            </w:r>
          </w:p>
        </w:tc>
      </w:tr>
      <w:tr w:rsidR="00D149D3" w:rsidRPr="00B85D85" w14:paraId="3173D18E" w14:textId="77777777" w:rsidTr="005610BC">
        <w:trPr>
          <w:trHeight w:val="510"/>
        </w:trPr>
        <w:tc>
          <w:tcPr>
            <w:tcW w:w="1017" w:type="pct"/>
            <w:tcBorders>
              <w:top w:val="nil"/>
              <w:left w:val="nil"/>
              <w:bottom w:val="nil"/>
              <w:right w:val="nil"/>
            </w:tcBorders>
            <w:shd w:val="clear" w:color="auto" w:fill="auto"/>
            <w:vAlign w:val="bottom"/>
          </w:tcPr>
          <w:p w14:paraId="057C6957" w14:textId="77777777" w:rsidR="00A12275" w:rsidRPr="00A2224C" w:rsidRDefault="00A12275" w:rsidP="00A12275">
            <w:pPr>
              <w:spacing w:after="0"/>
              <w:rPr>
                <w:rFonts w:ascii="Times New Roman" w:hAnsi="Times New Roman"/>
                <w:sz w:val="20"/>
              </w:rPr>
            </w:pPr>
            <w:r w:rsidRPr="00A2224C">
              <w:rPr>
                <w:rFonts w:ascii="Times New Roman" w:hAnsi="Times New Roman"/>
                <w:sz w:val="20"/>
              </w:rPr>
              <w:t>Stillinger med krav om høyskoleutdanning</w:t>
            </w:r>
          </w:p>
        </w:tc>
        <w:tc>
          <w:tcPr>
            <w:tcW w:w="478" w:type="pct"/>
            <w:tcBorders>
              <w:top w:val="nil"/>
              <w:left w:val="nil"/>
              <w:bottom w:val="nil"/>
              <w:right w:val="nil"/>
            </w:tcBorders>
            <w:shd w:val="clear" w:color="auto" w:fill="auto"/>
            <w:tcMar>
              <w:left w:w="57" w:type="dxa"/>
              <w:right w:w="57" w:type="dxa"/>
            </w:tcMar>
            <w:vAlign w:val="bottom"/>
          </w:tcPr>
          <w:p w14:paraId="10E1D6FF"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364 500</w:t>
            </w:r>
          </w:p>
        </w:tc>
        <w:tc>
          <w:tcPr>
            <w:tcW w:w="609" w:type="pct"/>
            <w:tcBorders>
              <w:top w:val="nil"/>
              <w:left w:val="nil"/>
              <w:bottom w:val="nil"/>
              <w:right w:val="nil"/>
            </w:tcBorders>
            <w:shd w:val="clear" w:color="auto" w:fill="auto"/>
            <w:noWrap/>
            <w:tcMar>
              <w:left w:w="57" w:type="dxa"/>
              <w:right w:w="57" w:type="dxa"/>
            </w:tcMar>
            <w:vAlign w:val="bottom"/>
          </w:tcPr>
          <w:p w14:paraId="4301A471"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367 500</w:t>
            </w:r>
          </w:p>
        </w:tc>
        <w:tc>
          <w:tcPr>
            <w:tcW w:w="512" w:type="pct"/>
            <w:gridSpan w:val="2"/>
            <w:tcBorders>
              <w:top w:val="nil"/>
              <w:left w:val="nil"/>
              <w:bottom w:val="nil"/>
              <w:right w:val="nil"/>
            </w:tcBorders>
            <w:shd w:val="clear" w:color="auto" w:fill="auto"/>
            <w:noWrap/>
            <w:tcMar>
              <w:left w:w="57" w:type="dxa"/>
              <w:right w:w="57" w:type="dxa"/>
            </w:tcMar>
            <w:vAlign w:val="bottom"/>
          </w:tcPr>
          <w:p w14:paraId="310E588C" w14:textId="77777777" w:rsidR="00A12275" w:rsidRPr="00A2224C" w:rsidRDefault="00A12275" w:rsidP="00A12275">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3 000 </w:t>
            </w:r>
          </w:p>
        </w:tc>
        <w:tc>
          <w:tcPr>
            <w:tcW w:w="430" w:type="pct"/>
            <w:gridSpan w:val="2"/>
            <w:tcBorders>
              <w:top w:val="nil"/>
              <w:left w:val="nil"/>
              <w:bottom w:val="nil"/>
              <w:right w:val="nil"/>
            </w:tcBorders>
            <w:tcMar>
              <w:left w:w="57" w:type="dxa"/>
              <w:right w:w="57" w:type="dxa"/>
            </w:tcMar>
            <w:vAlign w:val="bottom"/>
          </w:tcPr>
          <w:p w14:paraId="0E67B001" w14:textId="28E7D125"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sz w:val="20"/>
              </w:rPr>
              <w:t>86</w:t>
            </w:r>
          </w:p>
        </w:tc>
        <w:tc>
          <w:tcPr>
            <w:tcW w:w="512" w:type="pct"/>
            <w:gridSpan w:val="2"/>
            <w:tcBorders>
              <w:top w:val="nil"/>
              <w:left w:val="nil"/>
              <w:bottom w:val="nil"/>
              <w:right w:val="nil"/>
            </w:tcBorders>
            <w:shd w:val="clear" w:color="auto" w:fill="auto"/>
            <w:vAlign w:val="bottom"/>
          </w:tcPr>
          <w:p w14:paraId="3AD7D23B"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419 500</w:t>
            </w:r>
          </w:p>
        </w:tc>
        <w:tc>
          <w:tcPr>
            <w:tcW w:w="577" w:type="pct"/>
            <w:tcBorders>
              <w:top w:val="nil"/>
              <w:left w:val="nil"/>
              <w:bottom w:val="nil"/>
              <w:right w:val="nil"/>
            </w:tcBorders>
            <w:shd w:val="clear" w:color="auto" w:fill="auto"/>
            <w:noWrap/>
            <w:tcMar>
              <w:left w:w="28" w:type="dxa"/>
            </w:tcMar>
            <w:vAlign w:val="bottom"/>
          </w:tcPr>
          <w:p w14:paraId="04A9004C"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426 400</w:t>
            </w:r>
          </w:p>
        </w:tc>
        <w:tc>
          <w:tcPr>
            <w:tcW w:w="429" w:type="pct"/>
            <w:gridSpan w:val="2"/>
            <w:tcBorders>
              <w:top w:val="nil"/>
              <w:left w:val="nil"/>
              <w:bottom w:val="nil"/>
              <w:right w:val="nil"/>
            </w:tcBorders>
            <w:shd w:val="clear" w:color="auto" w:fill="auto"/>
            <w:noWrap/>
            <w:vAlign w:val="bottom"/>
          </w:tcPr>
          <w:p w14:paraId="627D156F" w14:textId="77777777" w:rsidR="00A12275" w:rsidRPr="00A2224C" w:rsidRDefault="00A12275" w:rsidP="00A12275">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6 900 </w:t>
            </w:r>
          </w:p>
        </w:tc>
        <w:tc>
          <w:tcPr>
            <w:tcW w:w="436" w:type="pct"/>
            <w:tcBorders>
              <w:top w:val="nil"/>
              <w:left w:val="nil"/>
              <w:bottom w:val="nil"/>
              <w:right w:val="nil"/>
            </w:tcBorders>
            <w:vAlign w:val="bottom"/>
          </w:tcPr>
          <w:p w14:paraId="73AC3B82" w14:textId="604F3F3F"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sz w:val="20"/>
              </w:rPr>
              <w:t>89</w:t>
            </w:r>
          </w:p>
        </w:tc>
      </w:tr>
      <w:tr w:rsidR="00D149D3" w:rsidRPr="00B85D85" w14:paraId="4D493A64" w14:textId="77777777" w:rsidTr="005610BC">
        <w:trPr>
          <w:trHeight w:val="510"/>
        </w:trPr>
        <w:tc>
          <w:tcPr>
            <w:tcW w:w="1017" w:type="pct"/>
            <w:tcBorders>
              <w:top w:val="nil"/>
              <w:left w:val="nil"/>
              <w:bottom w:val="nil"/>
              <w:right w:val="nil"/>
            </w:tcBorders>
            <w:shd w:val="clear" w:color="auto" w:fill="auto"/>
            <w:vAlign w:val="bottom"/>
          </w:tcPr>
          <w:p w14:paraId="433AFAA5" w14:textId="77777777" w:rsidR="00A12275" w:rsidRPr="00A2224C" w:rsidRDefault="00A12275" w:rsidP="00A12275">
            <w:pPr>
              <w:spacing w:after="0"/>
              <w:rPr>
                <w:rFonts w:ascii="Times New Roman" w:hAnsi="Times New Roman"/>
                <w:sz w:val="20"/>
              </w:rPr>
            </w:pPr>
            <w:r w:rsidRPr="00A2224C">
              <w:rPr>
                <w:rFonts w:ascii="Times New Roman" w:hAnsi="Times New Roman"/>
                <w:sz w:val="20"/>
              </w:rPr>
              <w:t>Stillinger med krav om høyskoleutdanning med ytterligere spesialutdanning</w:t>
            </w:r>
          </w:p>
        </w:tc>
        <w:tc>
          <w:tcPr>
            <w:tcW w:w="478" w:type="pct"/>
            <w:tcBorders>
              <w:top w:val="nil"/>
              <w:left w:val="nil"/>
              <w:bottom w:val="nil"/>
              <w:right w:val="nil"/>
            </w:tcBorders>
            <w:shd w:val="clear" w:color="auto" w:fill="auto"/>
            <w:tcMar>
              <w:left w:w="57" w:type="dxa"/>
              <w:right w:w="57" w:type="dxa"/>
            </w:tcMar>
            <w:vAlign w:val="bottom"/>
          </w:tcPr>
          <w:p w14:paraId="48AE5F69"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383 100</w:t>
            </w:r>
          </w:p>
        </w:tc>
        <w:tc>
          <w:tcPr>
            <w:tcW w:w="609" w:type="pct"/>
            <w:tcBorders>
              <w:top w:val="nil"/>
              <w:left w:val="nil"/>
              <w:bottom w:val="nil"/>
              <w:right w:val="nil"/>
            </w:tcBorders>
            <w:shd w:val="clear" w:color="auto" w:fill="auto"/>
            <w:noWrap/>
            <w:tcMar>
              <w:left w:w="57" w:type="dxa"/>
              <w:right w:w="57" w:type="dxa"/>
            </w:tcMar>
            <w:vAlign w:val="bottom"/>
          </w:tcPr>
          <w:p w14:paraId="648F2652"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385 600</w:t>
            </w:r>
          </w:p>
        </w:tc>
        <w:tc>
          <w:tcPr>
            <w:tcW w:w="512" w:type="pct"/>
            <w:gridSpan w:val="2"/>
            <w:tcBorders>
              <w:top w:val="nil"/>
              <w:left w:val="nil"/>
              <w:bottom w:val="nil"/>
              <w:right w:val="nil"/>
            </w:tcBorders>
            <w:shd w:val="clear" w:color="auto" w:fill="auto"/>
            <w:noWrap/>
            <w:tcMar>
              <w:left w:w="57" w:type="dxa"/>
              <w:right w:w="57" w:type="dxa"/>
            </w:tcMar>
            <w:vAlign w:val="bottom"/>
          </w:tcPr>
          <w:p w14:paraId="62BDF632" w14:textId="77777777" w:rsidR="00A12275" w:rsidRPr="00A2224C" w:rsidRDefault="00A12275" w:rsidP="00A12275">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2 500 </w:t>
            </w:r>
          </w:p>
        </w:tc>
        <w:tc>
          <w:tcPr>
            <w:tcW w:w="430" w:type="pct"/>
            <w:gridSpan w:val="2"/>
            <w:tcBorders>
              <w:top w:val="nil"/>
              <w:left w:val="nil"/>
              <w:bottom w:val="nil"/>
              <w:right w:val="nil"/>
            </w:tcBorders>
            <w:tcMar>
              <w:left w:w="57" w:type="dxa"/>
              <w:right w:w="57" w:type="dxa"/>
            </w:tcMar>
            <w:vAlign w:val="bottom"/>
          </w:tcPr>
          <w:p w14:paraId="2C9AD746" w14:textId="5B3A46AD"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sz w:val="20"/>
              </w:rPr>
              <w:t>90</w:t>
            </w:r>
          </w:p>
        </w:tc>
        <w:tc>
          <w:tcPr>
            <w:tcW w:w="512" w:type="pct"/>
            <w:gridSpan w:val="2"/>
            <w:tcBorders>
              <w:top w:val="nil"/>
              <w:left w:val="nil"/>
              <w:bottom w:val="nil"/>
              <w:right w:val="nil"/>
            </w:tcBorders>
            <w:shd w:val="clear" w:color="auto" w:fill="auto"/>
            <w:vAlign w:val="bottom"/>
          </w:tcPr>
          <w:p w14:paraId="4B415C9D"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447 600</w:t>
            </w:r>
          </w:p>
        </w:tc>
        <w:tc>
          <w:tcPr>
            <w:tcW w:w="577" w:type="pct"/>
            <w:tcBorders>
              <w:top w:val="nil"/>
              <w:left w:val="nil"/>
              <w:bottom w:val="nil"/>
              <w:right w:val="nil"/>
            </w:tcBorders>
            <w:shd w:val="clear" w:color="auto" w:fill="auto"/>
            <w:noWrap/>
            <w:tcMar>
              <w:left w:w="28" w:type="dxa"/>
            </w:tcMar>
            <w:vAlign w:val="bottom"/>
          </w:tcPr>
          <w:p w14:paraId="258AD81E"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460 000</w:t>
            </w:r>
          </w:p>
        </w:tc>
        <w:tc>
          <w:tcPr>
            <w:tcW w:w="429" w:type="pct"/>
            <w:gridSpan w:val="2"/>
            <w:tcBorders>
              <w:top w:val="nil"/>
              <w:left w:val="nil"/>
              <w:bottom w:val="nil"/>
              <w:right w:val="nil"/>
            </w:tcBorders>
            <w:shd w:val="clear" w:color="auto" w:fill="auto"/>
            <w:noWrap/>
            <w:vAlign w:val="bottom"/>
          </w:tcPr>
          <w:p w14:paraId="5A91ABA6" w14:textId="77777777" w:rsidR="00A12275" w:rsidRPr="00A2224C" w:rsidRDefault="00A12275" w:rsidP="00A12275">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12 400 </w:t>
            </w:r>
          </w:p>
        </w:tc>
        <w:tc>
          <w:tcPr>
            <w:tcW w:w="436" w:type="pct"/>
            <w:tcBorders>
              <w:top w:val="nil"/>
              <w:left w:val="nil"/>
              <w:bottom w:val="nil"/>
              <w:right w:val="nil"/>
            </w:tcBorders>
            <w:vAlign w:val="bottom"/>
          </w:tcPr>
          <w:p w14:paraId="2172D45A" w14:textId="65B63F2D"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sz w:val="20"/>
              </w:rPr>
              <w:t>93</w:t>
            </w:r>
          </w:p>
        </w:tc>
      </w:tr>
      <w:tr w:rsidR="00D149D3" w:rsidRPr="00B85D85" w14:paraId="2FF55065" w14:textId="77777777" w:rsidTr="005610BC">
        <w:trPr>
          <w:trHeight w:val="510"/>
        </w:trPr>
        <w:tc>
          <w:tcPr>
            <w:tcW w:w="1017" w:type="pct"/>
            <w:tcBorders>
              <w:top w:val="nil"/>
              <w:left w:val="nil"/>
              <w:bottom w:val="nil"/>
              <w:right w:val="nil"/>
            </w:tcBorders>
            <w:shd w:val="clear" w:color="auto" w:fill="auto"/>
            <w:vAlign w:val="bottom"/>
          </w:tcPr>
          <w:p w14:paraId="0D51E2ED" w14:textId="77777777" w:rsidR="00A12275" w:rsidRPr="00A2224C" w:rsidRDefault="00A12275" w:rsidP="00A12275">
            <w:pPr>
              <w:spacing w:after="0"/>
              <w:rPr>
                <w:rFonts w:ascii="Times New Roman" w:hAnsi="Times New Roman"/>
                <w:sz w:val="20"/>
              </w:rPr>
            </w:pPr>
            <w:r w:rsidRPr="00A2224C">
              <w:rPr>
                <w:rFonts w:ascii="Times New Roman" w:hAnsi="Times New Roman"/>
                <w:sz w:val="20"/>
              </w:rPr>
              <w:t xml:space="preserve">Stillinger med krav om mastergrad </w:t>
            </w:r>
          </w:p>
        </w:tc>
        <w:tc>
          <w:tcPr>
            <w:tcW w:w="478" w:type="pct"/>
            <w:tcBorders>
              <w:top w:val="nil"/>
              <w:left w:val="nil"/>
              <w:bottom w:val="nil"/>
              <w:right w:val="nil"/>
            </w:tcBorders>
            <w:shd w:val="clear" w:color="auto" w:fill="auto"/>
            <w:tcMar>
              <w:left w:w="57" w:type="dxa"/>
              <w:right w:w="57" w:type="dxa"/>
            </w:tcMar>
            <w:vAlign w:val="bottom"/>
          </w:tcPr>
          <w:p w14:paraId="197B5459"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411 800</w:t>
            </w:r>
          </w:p>
        </w:tc>
        <w:tc>
          <w:tcPr>
            <w:tcW w:w="609" w:type="pct"/>
            <w:tcBorders>
              <w:top w:val="nil"/>
              <w:left w:val="nil"/>
              <w:bottom w:val="nil"/>
              <w:right w:val="nil"/>
            </w:tcBorders>
            <w:shd w:val="clear" w:color="auto" w:fill="auto"/>
            <w:noWrap/>
            <w:tcMar>
              <w:left w:w="57" w:type="dxa"/>
              <w:right w:w="57" w:type="dxa"/>
            </w:tcMar>
            <w:vAlign w:val="bottom"/>
          </w:tcPr>
          <w:p w14:paraId="2B5FA14A"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416 300</w:t>
            </w:r>
          </w:p>
        </w:tc>
        <w:tc>
          <w:tcPr>
            <w:tcW w:w="512" w:type="pct"/>
            <w:gridSpan w:val="2"/>
            <w:tcBorders>
              <w:top w:val="nil"/>
              <w:left w:val="nil"/>
              <w:bottom w:val="nil"/>
              <w:right w:val="nil"/>
            </w:tcBorders>
            <w:shd w:val="clear" w:color="auto" w:fill="auto"/>
            <w:noWrap/>
            <w:tcMar>
              <w:left w:w="57" w:type="dxa"/>
              <w:right w:w="57" w:type="dxa"/>
            </w:tcMar>
            <w:vAlign w:val="bottom"/>
          </w:tcPr>
          <w:p w14:paraId="0EBB6E40" w14:textId="77777777" w:rsidR="00A12275" w:rsidRPr="00A2224C" w:rsidRDefault="00A12275" w:rsidP="00A12275">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4 500 </w:t>
            </w:r>
          </w:p>
        </w:tc>
        <w:tc>
          <w:tcPr>
            <w:tcW w:w="430" w:type="pct"/>
            <w:gridSpan w:val="2"/>
            <w:tcBorders>
              <w:top w:val="nil"/>
              <w:left w:val="nil"/>
              <w:bottom w:val="nil"/>
              <w:right w:val="nil"/>
            </w:tcBorders>
            <w:tcMar>
              <w:left w:w="57" w:type="dxa"/>
              <w:right w:w="57" w:type="dxa"/>
            </w:tcMar>
            <w:vAlign w:val="bottom"/>
          </w:tcPr>
          <w:p w14:paraId="478142F9" w14:textId="1BA28382"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sz w:val="20"/>
              </w:rPr>
              <w:t>92</w:t>
            </w:r>
          </w:p>
        </w:tc>
        <w:tc>
          <w:tcPr>
            <w:tcW w:w="512" w:type="pct"/>
            <w:gridSpan w:val="2"/>
            <w:tcBorders>
              <w:top w:val="nil"/>
              <w:left w:val="nil"/>
              <w:bottom w:val="nil"/>
              <w:right w:val="nil"/>
            </w:tcBorders>
            <w:shd w:val="clear" w:color="auto" w:fill="auto"/>
            <w:noWrap/>
            <w:vAlign w:val="bottom"/>
          </w:tcPr>
          <w:p w14:paraId="44F32D5D"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491 500</w:t>
            </w:r>
          </w:p>
        </w:tc>
        <w:tc>
          <w:tcPr>
            <w:tcW w:w="577" w:type="pct"/>
            <w:tcBorders>
              <w:top w:val="nil"/>
              <w:left w:val="nil"/>
              <w:bottom w:val="nil"/>
              <w:right w:val="nil"/>
            </w:tcBorders>
            <w:shd w:val="clear" w:color="auto" w:fill="auto"/>
            <w:noWrap/>
            <w:tcMar>
              <w:left w:w="28" w:type="dxa"/>
            </w:tcMar>
            <w:vAlign w:val="bottom"/>
          </w:tcPr>
          <w:p w14:paraId="402019A2" w14:textId="77777777"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color w:val="000000"/>
                <w:sz w:val="20"/>
              </w:rPr>
              <w:t>500 200</w:t>
            </w:r>
          </w:p>
        </w:tc>
        <w:tc>
          <w:tcPr>
            <w:tcW w:w="429" w:type="pct"/>
            <w:gridSpan w:val="2"/>
            <w:tcBorders>
              <w:top w:val="nil"/>
              <w:left w:val="nil"/>
              <w:bottom w:val="nil"/>
              <w:right w:val="nil"/>
            </w:tcBorders>
            <w:shd w:val="clear" w:color="auto" w:fill="auto"/>
            <w:noWrap/>
            <w:vAlign w:val="bottom"/>
          </w:tcPr>
          <w:p w14:paraId="2A843551" w14:textId="77777777" w:rsidR="00A12275" w:rsidRPr="00A2224C" w:rsidRDefault="00A12275" w:rsidP="00A12275">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8 700 </w:t>
            </w:r>
          </w:p>
        </w:tc>
        <w:tc>
          <w:tcPr>
            <w:tcW w:w="436" w:type="pct"/>
            <w:tcBorders>
              <w:top w:val="nil"/>
              <w:left w:val="nil"/>
              <w:bottom w:val="nil"/>
              <w:right w:val="nil"/>
            </w:tcBorders>
            <w:vAlign w:val="bottom"/>
          </w:tcPr>
          <w:p w14:paraId="2CFE399F" w14:textId="449BC3C1" w:rsidR="00A12275" w:rsidRPr="00A2224C" w:rsidRDefault="00A12275" w:rsidP="00A12275">
            <w:pPr>
              <w:spacing w:after="0"/>
              <w:jc w:val="right"/>
              <w:rPr>
                <w:rFonts w:ascii="Times New Roman" w:hAnsi="Times New Roman"/>
                <w:color w:val="000000"/>
                <w:sz w:val="20"/>
              </w:rPr>
            </w:pPr>
            <w:r w:rsidRPr="00A2224C">
              <w:rPr>
                <w:rFonts w:ascii="Times New Roman" w:hAnsi="Times New Roman"/>
                <w:sz w:val="20"/>
              </w:rPr>
              <w:t>86</w:t>
            </w:r>
          </w:p>
        </w:tc>
      </w:tr>
      <w:tr w:rsidR="00D149D3" w:rsidRPr="00B85D85" w14:paraId="76B2C75A" w14:textId="77777777" w:rsidTr="005610BC">
        <w:trPr>
          <w:trHeight w:val="255"/>
        </w:trPr>
        <w:tc>
          <w:tcPr>
            <w:tcW w:w="1017" w:type="pct"/>
            <w:tcBorders>
              <w:top w:val="nil"/>
              <w:left w:val="nil"/>
              <w:bottom w:val="nil"/>
              <w:right w:val="nil"/>
            </w:tcBorders>
            <w:shd w:val="clear" w:color="auto" w:fill="auto"/>
            <w:vAlign w:val="bottom"/>
          </w:tcPr>
          <w:p w14:paraId="7119FF0A" w14:textId="77777777" w:rsidR="006E305B" w:rsidRPr="00B85D85" w:rsidRDefault="006E305B" w:rsidP="000617D2">
            <w:pPr>
              <w:spacing w:after="0"/>
              <w:rPr>
                <w:rFonts w:ascii="Times New Roman" w:hAnsi="Times New Roman"/>
                <w:sz w:val="20"/>
              </w:rPr>
            </w:pPr>
          </w:p>
        </w:tc>
        <w:tc>
          <w:tcPr>
            <w:tcW w:w="478" w:type="pct"/>
            <w:tcBorders>
              <w:top w:val="nil"/>
              <w:left w:val="nil"/>
              <w:bottom w:val="single" w:sz="4" w:space="0" w:color="auto"/>
              <w:right w:val="nil"/>
            </w:tcBorders>
            <w:shd w:val="clear" w:color="auto" w:fill="auto"/>
            <w:tcMar>
              <w:left w:w="57" w:type="dxa"/>
              <w:right w:w="57" w:type="dxa"/>
            </w:tcMar>
            <w:vAlign w:val="bottom"/>
          </w:tcPr>
          <w:p w14:paraId="0D5A265C" w14:textId="77777777" w:rsidR="006E305B" w:rsidRPr="00B85D85" w:rsidRDefault="006E305B" w:rsidP="000617D2">
            <w:pPr>
              <w:spacing w:after="0"/>
              <w:rPr>
                <w:rFonts w:ascii="Times New Roman" w:hAnsi="Times New Roman"/>
                <w:sz w:val="20"/>
              </w:rPr>
            </w:pPr>
          </w:p>
        </w:tc>
        <w:tc>
          <w:tcPr>
            <w:tcW w:w="609" w:type="pct"/>
            <w:tcBorders>
              <w:top w:val="nil"/>
              <w:left w:val="nil"/>
              <w:bottom w:val="single" w:sz="4" w:space="0" w:color="auto"/>
              <w:right w:val="nil"/>
            </w:tcBorders>
            <w:shd w:val="clear" w:color="auto" w:fill="auto"/>
            <w:noWrap/>
            <w:tcMar>
              <w:left w:w="57" w:type="dxa"/>
              <w:right w:w="57" w:type="dxa"/>
            </w:tcMar>
            <w:vAlign w:val="bottom"/>
          </w:tcPr>
          <w:p w14:paraId="567E577C" w14:textId="77777777" w:rsidR="006E305B" w:rsidRPr="00B85D85" w:rsidRDefault="006E305B" w:rsidP="000617D2">
            <w:pPr>
              <w:spacing w:after="0"/>
              <w:rPr>
                <w:rFonts w:ascii="Times New Roman" w:hAnsi="Times New Roman"/>
                <w:sz w:val="20"/>
              </w:rPr>
            </w:pPr>
          </w:p>
        </w:tc>
        <w:tc>
          <w:tcPr>
            <w:tcW w:w="512" w:type="pct"/>
            <w:gridSpan w:val="2"/>
            <w:tcBorders>
              <w:top w:val="nil"/>
              <w:left w:val="nil"/>
              <w:bottom w:val="single" w:sz="4" w:space="0" w:color="auto"/>
              <w:right w:val="nil"/>
            </w:tcBorders>
            <w:shd w:val="clear" w:color="auto" w:fill="auto"/>
            <w:noWrap/>
            <w:tcMar>
              <w:left w:w="57" w:type="dxa"/>
              <w:right w:w="57" w:type="dxa"/>
            </w:tcMar>
            <w:vAlign w:val="bottom"/>
          </w:tcPr>
          <w:p w14:paraId="47EF1580" w14:textId="77777777" w:rsidR="006E305B" w:rsidRPr="00B85D85" w:rsidRDefault="006E305B" w:rsidP="000617D2">
            <w:pPr>
              <w:spacing w:after="0"/>
              <w:rPr>
                <w:rFonts w:ascii="Times New Roman" w:hAnsi="Times New Roman"/>
                <w:sz w:val="20"/>
              </w:rPr>
            </w:pPr>
          </w:p>
        </w:tc>
        <w:tc>
          <w:tcPr>
            <w:tcW w:w="430" w:type="pct"/>
            <w:gridSpan w:val="2"/>
            <w:tcBorders>
              <w:top w:val="nil"/>
              <w:left w:val="nil"/>
              <w:bottom w:val="single" w:sz="4" w:space="0" w:color="auto"/>
              <w:right w:val="nil"/>
            </w:tcBorders>
            <w:tcMar>
              <w:left w:w="57" w:type="dxa"/>
              <w:right w:w="57" w:type="dxa"/>
            </w:tcMar>
          </w:tcPr>
          <w:p w14:paraId="3A18A718" w14:textId="77777777" w:rsidR="006E305B" w:rsidRPr="00B85D85" w:rsidRDefault="006E305B" w:rsidP="000617D2">
            <w:pPr>
              <w:spacing w:after="0"/>
              <w:jc w:val="right"/>
              <w:rPr>
                <w:rFonts w:ascii="Times New Roman" w:hAnsi="Times New Roman"/>
                <w:color w:val="000000"/>
                <w:sz w:val="20"/>
              </w:rPr>
            </w:pPr>
          </w:p>
        </w:tc>
        <w:tc>
          <w:tcPr>
            <w:tcW w:w="512" w:type="pct"/>
            <w:gridSpan w:val="2"/>
            <w:tcBorders>
              <w:top w:val="nil"/>
              <w:left w:val="nil"/>
              <w:bottom w:val="single" w:sz="4" w:space="0" w:color="auto"/>
              <w:right w:val="nil"/>
            </w:tcBorders>
            <w:shd w:val="clear" w:color="auto" w:fill="auto"/>
            <w:noWrap/>
            <w:vAlign w:val="bottom"/>
          </w:tcPr>
          <w:p w14:paraId="5ECF0428" w14:textId="77777777" w:rsidR="006E305B" w:rsidRPr="00B85D85" w:rsidRDefault="006E305B" w:rsidP="000617D2">
            <w:pPr>
              <w:spacing w:after="0"/>
              <w:jc w:val="right"/>
              <w:rPr>
                <w:rFonts w:ascii="Times New Roman" w:hAnsi="Times New Roman"/>
                <w:color w:val="000000"/>
                <w:sz w:val="20"/>
              </w:rPr>
            </w:pPr>
          </w:p>
        </w:tc>
        <w:tc>
          <w:tcPr>
            <w:tcW w:w="577" w:type="pct"/>
            <w:tcBorders>
              <w:top w:val="nil"/>
              <w:left w:val="nil"/>
              <w:bottom w:val="single" w:sz="4" w:space="0" w:color="auto"/>
              <w:right w:val="nil"/>
            </w:tcBorders>
            <w:shd w:val="clear" w:color="auto" w:fill="auto"/>
            <w:noWrap/>
            <w:vAlign w:val="bottom"/>
          </w:tcPr>
          <w:p w14:paraId="46DF5476" w14:textId="77777777" w:rsidR="006E305B" w:rsidRPr="00B85D85" w:rsidRDefault="006E305B" w:rsidP="000617D2">
            <w:pPr>
              <w:spacing w:after="0"/>
              <w:jc w:val="right"/>
              <w:rPr>
                <w:rFonts w:ascii="Times New Roman" w:hAnsi="Times New Roman"/>
                <w:color w:val="000000"/>
                <w:sz w:val="20"/>
              </w:rPr>
            </w:pPr>
          </w:p>
        </w:tc>
        <w:tc>
          <w:tcPr>
            <w:tcW w:w="429" w:type="pct"/>
            <w:gridSpan w:val="2"/>
            <w:tcBorders>
              <w:top w:val="nil"/>
              <w:left w:val="nil"/>
              <w:bottom w:val="single" w:sz="4" w:space="0" w:color="auto"/>
              <w:right w:val="nil"/>
            </w:tcBorders>
            <w:shd w:val="clear" w:color="auto" w:fill="auto"/>
            <w:noWrap/>
            <w:vAlign w:val="bottom"/>
          </w:tcPr>
          <w:p w14:paraId="00B81C38" w14:textId="77777777" w:rsidR="006E305B" w:rsidRPr="00B85D85" w:rsidRDefault="006E305B" w:rsidP="000617D2">
            <w:pPr>
              <w:spacing w:after="0"/>
              <w:jc w:val="right"/>
              <w:rPr>
                <w:rFonts w:ascii="Times New Roman" w:hAnsi="Times New Roman"/>
                <w:color w:val="000000"/>
                <w:sz w:val="20"/>
              </w:rPr>
            </w:pPr>
          </w:p>
        </w:tc>
        <w:tc>
          <w:tcPr>
            <w:tcW w:w="436" w:type="pct"/>
            <w:tcBorders>
              <w:top w:val="nil"/>
              <w:left w:val="nil"/>
              <w:bottom w:val="single" w:sz="4" w:space="0" w:color="auto"/>
              <w:right w:val="nil"/>
            </w:tcBorders>
            <w:vAlign w:val="bottom"/>
          </w:tcPr>
          <w:p w14:paraId="321F52A8" w14:textId="77777777" w:rsidR="006E305B" w:rsidRPr="00B85D85" w:rsidRDefault="006E305B" w:rsidP="000617D2">
            <w:pPr>
              <w:spacing w:after="0"/>
              <w:jc w:val="right"/>
              <w:rPr>
                <w:rFonts w:ascii="Times New Roman" w:hAnsi="Times New Roman"/>
                <w:color w:val="000000"/>
                <w:sz w:val="20"/>
              </w:rPr>
            </w:pPr>
          </w:p>
        </w:tc>
      </w:tr>
      <w:tr w:rsidR="001A66B9" w:rsidRPr="00B85D85" w14:paraId="039B6BDC" w14:textId="77777777" w:rsidTr="005610BC">
        <w:trPr>
          <w:trHeight w:val="255"/>
        </w:trPr>
        <w:tc>
          <w:tcPr>
            <w:tcW w:w="1017" w:type="pct"/>
            <w:tcBorders>
              <w:top w:val="nil"/>
              <w:left w:val="nil"/>
              <w:bottom w:val="nil"/>
              <w:right w:val="nil"/>
            </w:tcBorders>
            <w:shd w:val="clear" w:color="auto" w:fill="auto"/>
            <w:vAlign w:val="bottom"/>
          </w:tcPr>
          <w:p w14:paraId="4396C89C" w14:textId="77777777" w:rsidR="006E305B" w:rsidRPr="00B85D85" w:rsidRDefault="006E305B" w:rsidP="000617D2">
            <w:pPr>
              <w:spacing w:after="0"/>
              <w:rPr>
                <w:rFonts w:ascii="Times New Roman" w:hAnsi="Times New Roman"/>
                <w:sz w:val="20"/>
              </w:rPr>
            </w:pPr>
          </w:p>
        </w:tc>
        <w:tc>
          <w:tcPr>
            <w:tcW w:w="2028" w:type="pct"/>
            <w:gridSpan w:val="6"/>
            <w:tcBorders>
              <w:top w:val="single" w:sz="4" w:space="0" w:color="auto"/>
              <w:left w:val="nil"/>
              <w:bottom w:val="single" w:sz="4" w:space="0" w:color="auto"/>
              <w:right w:val="nil"/>
            </w:tcBorders>
            <w:shd w:val="clear" w:color="auto" w:fill="auto"/>
            <w:noWrap/>
            <w:tcMar>
              <w:left w:w="57" w:type="dxa"/>
              <w:right w:w="57" w:type="dxa"/>
            </w:tcMar>
            <w:vAlign w:val="bottom"/>
          </w:tcPr>
          <w:p w14:paraId="0A9AE31D" w14:textId="77777777" w:rsidR="006E305B" w:rsidRPr="00B85D85" w:rsidRDefault="006E305B" w:rsidP="000617D2">
            <w:pPr>
              <w:spacing w:after="0"/>
              <w:jc w:val="center"/>
              <w:rPr>
                <w:rFonts w:ascii="Times New Roman" w:hAnsi="Times New Roman"/>
                <w:color w:val="000000"/>
                <w:sz w:val="20"/>
              </w:rPr>
            </w:pPr>
            <w:r w:rsidRPr="00B85D85">
              <w:rPr>
                <w:rFonts w:ascii="Times New Roman" w:hAnsi="Times New Roman"/>
                <w:color w:val="000000"/>
                <w:sz w:val="20"/>
              </w:rPr>
              <w:t>Ansiennitet 0 år</w:t>
            </w:r>
          </w:p>
        </w:tc>
        <w:tc>
          <w:tcPr>
            <w:tcW w:w="1954" w:type="pct"/>
            <w:gridSpan w:val="6"/>
            <w:tcBorders>
              <w:top w:val="single" w:sz="4" w:space="0" w:color="auto"/>
              <w:left w:val="nil"/>
              <w:bottom w:val="single" w:sz="4" w:space="0" w:color="auto"/>
              <w:right w:val="nil"/>
            </w:tcBorders>
            <w:shd w:val="clear" w:color="auto" w:fill="auto"/>
            <w:noWrap/>
            <w:vAlign w:val="bottom"/>
          </w:tcPr>
          <w:p w14:paraId="73078C39" w14:textId="77777777" w:rsidR="006E305B" w:rsidRPr="00B85D85" w:rsidRDefault="006E305B" w:rsidP="000617D2">
            <w:pPr>
              <w:spacing w:after="0"/>
              <w:jc w:val="center"/>
              <w:rPr>
                <w:rFonts w:ascii="Times New Roman" w:hAnsi="Times New Roman"/>
                <w:color w:val="000000"/>
                <w:sz w:val="20"/>
              </w:rPr>
            </w:pPr>
            <w:r w:rsidRPr="00B85D85">
              <w:rPr>
                <w:rFonts w:ascii="Times New Roman" w:hAnsi="Times New Roman"/>
                <w:color w:val="000000"/>
                <w:sz w:val="20"/>
              </w:rPr>
              <w:t>Ansiennitet 16 år</w:t>
            </w:r>
          </w:p>
        </w:tc>
      </w:tr>
      <w:tr w:rsidR="00A82AB9" w:rsidRPr="00B85D85" w14:paraId="009FEF71" w14:textId="77777777" w:rsidTr="005610BC">
        <w:trPr>
          <w:trHeight w:val="754"/>
        </w:trPr>
        <w:tc>
          <w:tcPr>
            <w:tcW w:w="1017" w:type="pct"/>
            <w:tcBorders>
              <w:top w:val="nil"/>
              <w:left w:val="nil"/>
              <w:bottom w:val="nil"/>
              <w:right w:val="nil"/>
            </w:tcBorders>
            <w:shd w:val="clear" w:color="auto" w:fill="auto"/>
            <w:vAlign w:val="bottom"/>
          </w:tcPr>
          <w:p w14:paraId="7C8581DA" w14:textId="77777777" w:rsidR="00A82AB9" w:rsidRPr="00B85D85" w:rsidRDefault="00A82AB9" w:rsidP="00A2224C">
            <w:pPr>
              <w:spacing w:after="0"/>
              <w:jc w:val="center"/>
              <w:rPr>
                <w:rFonts w:ascii="Times New Roman" w:hAnsi="Times New Roman"/>
                <w:sz w:val="20"/>
              </w:rPr>
            </w:pPr>
          </w:p>
        </w:tc>
        <w:tc>
          <w:tcPr>
            <w:tcW w:w="478" w:type="pct"/>
            <w:tcBorders>
              <w:top w:val="single" w:sz="4" w:space="0" w:color="auto"/>
              <w:left w:val="nil"/>
              <w:bottom w:val="single" w:sz="4" w:space="0" w:color="auto"/>
              <w:right w:val="nil"/>
            </w:tcBorders>
            <w:shd w:val="clear" w:color="auto" w:fill="auto"/>
            <w:tcMar>
              <w:left w:w="57" w:type="dxa"/>
              <w:right w:w="57" w:type="dxa"/>
            </w:tcMar>
            <w:vAlign w:val="bottom"/>
          </w:tcPr>
          <w:p w14:paraId="569A5D6C" w14:textId="2EE44356" w:rsidR="00A82AB9" w:rsidRPr="00B85D85" w:rsidRDefault="00A82AB9" w:rsidP="00A2224C">
            <w:pPr>
              <w:spacing w:after="0"/>
              <w:jc w:val="center"/>
              <w:rPr>
                <w:rFonts w:ascii="Times New Roman" w:hAnsi="Times New Roman"/>
                <w:sz w:val="20"/>
              </w:rPr>
            </w:pPr>
            <w:r>
              <w:rPr>
                <w:rFonts w:ascii="Times New Roman" w:hAnsi="Times New Roman"/>
                <w:sz w:val="20"/>
              </w:rPr>
              <w:t xml:space="preserve">Minste-lønnssats </w:t>
            </w:r>
            <w:r w:rsidRPr="00B85D85">
              <w:rPr>
                <w:rFonts w:ascii="Times New Roman" w:hAnsi="Times New Roman"/>
                <w:sz w:val="20"/>
              </w:rPr>
              <w:t>1. mai 2014</w:t>
            </w:r>
          </w:p>
        </w:tc>
        <w:tc>
          <w:tcPr>
            <w:tcW w:w="609" w:type="pct"/>
            <w:tcBorders>
              <w:top w:val="single" w:sz="4" w:space="0" w:color="auto"/>
              <w:left w:val="nil"/>
              <w:bottom w:val="single" w:sz="4" w:space="0" w:color="auto"/>
              <w:right w:val="nil"/>
            </w:tcBorders>
            <w:shd w:val="clear" w:color="auto" w:fill="auto"/>
            <w:noWrap/>
            <w:tcMar>
              <w:left w:w="57" w:type="dxa"/>
              <w:right w:w="57" w:type="dxa"/>
            </w:tcMar>
            <w:vAlign w:val="bottom"/>
          </w:tcPr>
          <w:p w14:paraId="20296DE8" w14:textId="0202CEF6" w:rsidR="00A82AB9" w:rsidRPr="00B85D85" w:rsidRDefault="00A82AB9" w:rsidP="00A2224C">
            <w:pPr>
              <w:spacing w:after="0"/>
              <w:jc w:val="center"/>
              <w:rPr>
                <w:rFonts w:ascii="Times New Roman" w:hAnsi="Times New Roman"/>
                <w:sz w:val="20"/>
              </w:rPr>
            </w:pPr>
            <w:r>
              <w:rPr>
                <w:rFonts w:ascii="Times New Roman" w:hAnsi="Times New Roman"/>
                <w:sz w:val="20"/>
              </w:rPr>
              <w:t xml:space="preserve">Garantilønn inkl. tillegg </w:t>
            </w:r>
            <w:r w:rsidRPr="00B85D85">
              <w:rPr>
                <w:rFonts w:ascii="Times New Roman" w:hAnsi="Times New Roman"/>
                <w:sz w:val="20"/>
              </w:rPr>
              <w:t>1. mai 201</w:t>
            </w:r>
            <w:r>
              <w:rPr>
                <w:rFonts w:ascii="Times New Roman" w:hAnsi="Times New Roman"/>
                <w:sz w:val="20"/>
              </w:rPr>
              <w:t>5</w:t>
            </w:r>
          </w:p>
        </w:tc>
        <w:tc>
          <w:tcPr>
            <w:tcW w:w="507" w:type="pct"/>
            <w:tcBorders>
              <w:top w:val="nil"/>
              <w:left w:val="nil"/>
              <w:bottom w:val="single" w:sz="4" w:space="0" w:color="auto"/>
              <w:right w:val="nil"/>
            </w:tcBorders>
            <w:shd w:val="clear" w:color="auto" w:fill="auto"/>
            <w:noWrap/>
            <w:tcMar>
              <w:left w:w="57" w:type="dxa"/>
              <w:right w:w="57" w:type="dxa"/>
            </w:tcMar>
            <w:vAlign w:val="bottom"/>
          </w:tcPr>
          <w:p w14:paraId="706A322C" w14:textId="40CA706F" w:rsidR="00A82AB9" w:rsidRPr="00B85D85" w:rsidRDefault="00A82AB9" w:rsidP="00A2224C">
            <w:pPr>
              <w:spacing w:after="0"/>
              <w:jc w:val="center"/>
              <w:rPr>
                <w:rFonts w:ascii="Times New Roman" w:hAnsi="Times New Roman"/>
                <w:color w:val="000000"/>
                <w:sz w:val="20"/>
              </w:rPr>
            </w:pPr>
            <w:r>
              <w:rPr>
                <w:rFonts w:ascii="Times New Roman" w:hAnsi="Times New Roman"/>
                <w:sz w:val="20"/>
              </w:rPr>
              <w:t>Tillegg 1. mai 2015</w:t>
            </w:r>
          </w:p>
        </w:tc>
        <w:tc>
          <w:tcPr>
            <w:tcW w:w="416" w:type="pct"/>
            <w:gridSpan w:val="2"/>
            <w:tcBorders>
              <w:top w:val="nil"/>
              <w:left w:val="nil"/>
              <w:bottom w:val="single" w:sz="4" w:space="0" w:color="auto"/>
              <w:right w:val="nil"/>
            </w:tcBorders>
            <w:tcMar>
              <w:left w:w="57" w:type="dxa"/>
              <w:right w:w="57" w:type="dxa"/>
            </w:tcMar>
            <w:vAlign w:val="bottom"/>
          </w:tcPr>
          <w:p w14:paraId="3513BA78" w14:textId="481C9012" w:rsidR="00A82AB9" w:rsidRPr="00B85D85" w:rsidRDefault="00A82AB9" w:rsidP="00A2224C">
            <w:pPr>
              <w:spacing w:after="0"/>
              <w:jc w:val="center"/>
              <w:rPr>
                <w:rFonts w:ascii="Times New Roman" w:hAnsi="Times New Roman"/>
                <w:color w:val="000000"/>
                <w:sz w:val="20"/>
              </w:rPr>
            </w:pPr>
            <w:r w:rsidRPr="00B85D85">
              <w:rPr>
                <w:rFonts w:ascii="Times New Roman" w:hAnsi="Times New Roman"/>
                <w:sz w:val="20"/>
              </w:rPr>
              <w:t>Andel</w:t>
            </w:r>
            <w:r w:rsidRPr="00B85D85">
              <w:rPr>
                <w:rFonts w:ascii="Times New Roman" w:hAnsi="Times New Roman"/>
                <w:sz w:val="20"/>
                <w:vertAlign w:val="superscript"/>
              </w:rPr>
              <w:t>2</w:t>
            </w:r>
            <w:r w:rsidRPr="00B85D85">
              <w:rPr>
                <w:rFonts w:ascii="Times New Roman" w:hAnsi="Times New Roman"/>
                <w:sz w:val="20"/>
              </w:rPr>
              <w:t xml:space="preserve"> kvinner, prosent</w:t>
            </w:r>
          </w:p>
        </w:tc>
        <w:tc>
          <w:tcPr>
            <w:tcW w:w="526" w:type="pct"/>
            <w:gridSpan w:val="2"/>
            <w:tcBorders>
              <w:top w:val="nil"/>
              <w:left w:val="nil"/>
              <w:bottom w:val="single" w:sz="4" w:space="0" w:color="auto"/>
              <w:right w:val="nil"/>
            </w:tcBorders>
            <w:shd w:val="clear" w:color="auto" w:fill="auto"/>
            <w:vAlign w:val="bottom"/>
          </w:tcPr>
          <w:p w14:paraId="0C30D9D4" w14:textId="7EA0ED63" w:rsidR="00A82AB9" w:rsidRPr="00B85D85" w:rsidRDefault="00A82AB9" w:rsidP="00A2224C">
            <w:pPr>
              <w:spacing w:after="0"/>
              <w:jc w:val="center"/>
              <w:rPr>
                <w:rFonts w:ascii="Times New Roman" w:hAnsi="Times New Roman"/>
                <w:color w:val="000000"/>
                <w:sz w:val="20"/>
              </w:rPr>
            </w:pPr>
            <w:r>
              <w:rPr>
                <w:rFonts w:ascii="Times New Roman" w:hAnsi="Times New Roman"/>
                <w:sz w:val="20"/>
              </w:rPr>
              <w:t xml:space="preserve">Minste-lønnssats </w:t>
            </w:r>
            <w:r w:rsidRPr="00B85D85">
              <w:rPr>
                <w:rFonts w:ascii="Times New Roman" w:hAnsi="Times New Roman"/>
                <w:sz w:val="20"/>
              </w:rPr>
              <w:t>1. mai 2014</w:t>
            </w:r>
          </w:p>
        </w:tc>
        <w:tc>
          <w:tcPr>
            <w:tcW w:w="582" w:type="pct"/>
            <w:gridSpan w:val="2"/>
            <w:tcBorders>
              <w:top w:val="nil"/>
              <w:left w:val="nil"/>
              <w:bottom w:val="single" w:sz="4" w:space="0" w:color="auto"/>
              <w:right w:val="nil"/>
            </w:tcBorders>
            <w:shd w:val="clear" w:color="auto" w:fill="auto"/>
            <w:noWrap/>
            <w:vAlign w:val="bottom"/>
          </w:tcPr>
          <w:p w14:paraId="1BE080E2" w14:textId="28F1F27C" w:rsidR="00A82AB9" w:rsidRPr="00B85D85" w:rsidRDefault="00A2224C" w:rsidP="00A2224C">
            <w:pPr>
              <w:spacing w:after="0"/>
              <w:jc w:val="center"/>
              <w:rPr>
                <w:rFonts w:ascii="Times New Roman" w:hAnsi="Times New Roman"/>
                <w:color w:val="000000"/>
                <w:sz w:val="20"/>
              </w:rPr>
            </w:pPr>
            <w:r>
              <w:rPr>
                <w:rFonts w:ascii="Times New Roman" w:hAnsi="Times New Roman"/>
                <w:sz w:val="20"/>
              </w:rPr>
              <w:t>Garanti</w:t>
            </w:r>
            <w:r w:rsidR="00A82AB9">
              <w:rPr>
                <w:rFonts w:ascii="Times New Roman" w:hAnsi="Times New Roman"/>
                <w:sz w:val="20"/>
              </w:rPr>
              <w:t xml:space="preserve">lønn inkl. tillegg </w:t>
            </w:r>
            <w:r w:rsidR="00A82AB9" w:rsidRPr="00B85D85">
              <w:rPr>
                <w:rFonts w:ascii="Times New Roman" w:hAnsi="Times New Roman"/>
                <w:sz w:val="20"/>
              </w:rPr>
              <w:t>1. mai 201</w:t>
            </w:r>
            <w:r w:rsidR="00A82AB9">
              <w:rPr>
                <w:rFonts w:ascii="Times New Roman" w:hAnsi="Times New Roman"/>
                <w:sz w:val="20"/>
              </w:rPr>
              <w:t>5</w:t>
            </w:r>
          </w:p>
        </w:tc>
        <w:tc>
          <w:tcPr>
            <w:tcW w:w="409" w:type="pct"/>
            <w:tcBorders>
              <w:top w:val="nil"/>
              <w:left w:val="nil"/>
              <w:bottom w:val="single" w:sz="4" w:space="0" w:color="auto"/>
              <w:right w:val="nil"/>
            </w:tcBorders>
            <w:shd w:val="clear" w:color="auto" w:fill="auto"/>
            <w:noWrap/>
            <w:vAlign w:val="bottom"/>
          </w:tcPr>
          <w:p w14:paraId="061EAF07" w14:textId="2F11D13A" w:rsidR="00A82AB9" w:rsidRPr="00B85D85" w:rsidRDefault="00A82AB9" w:rsidP="00A2224C">
            <w:pPr>
              <w:spacing w:after="0"/>
              <w:jc w:val="center"/>
              <w:rPr>
                <w:rFonts w:ascii="Times New Roman" w:hAnsi="Times New Roman"/>
                <w:color w:val="000000"/>
                <w:sz w:val="20"/>
              </w:rPr>
            </w:pPr>
            <w:r>
              <w:rPr>
                <w:rFonts w:ascii="Times New Roman" w:hAnsi="Times New Roman"/>
                <w:sz w:val="20"/>
              </w:rPr>
              <w:t>Tillegg 1. mai 2015</w:t>
            </w:r>
          </w:p>
        </w:tc>
        <w:tc>
          <w:tcPr>
            <w:tcW w:w="456" w:type="pct"/>
            <w:gridSpan w:val="2"/>
            <w:tcBorders>
              <w:top w:val="nil"/>
              <w:left w:val="nil"/>
              <w:bottom w:val="single" w:sz="4" w:space="0" w:color="auto"/>
              <w:right w:val="nil"/>
            </w:tcBorders>
            <w:vAlign w:val="bottom"/>
          </w:tcPr>
          <w:p w14:paraId="622D5843" w14:textId="0D53BB63" w:rsidR="00A82AB9" w:rsidRPr="00B85D85" w:rsidRDefault="00A82AB9" w:rsidP="00A2224C">
            <w:pPr>
              <w:spacing w:after="0"/>
              <w:jc w:val="center"/>
              <w:rPr>
                <w:rFonts w:ascii="Times New Roman" w:hAnsi="Times New Roman"/>
                <w:color w:val="000000"/>
                <w:sz w:val="20"/>
              </w:rPr>
            </w:pPr>
            <w:r w:rsidRPr="00B85D85">
              <w:rPr>
                <w:rFonts w:ascii="Times New Roman" w:hAnsi="Times New Roman"/>
                <w:sz w:val="20"/>
              </w:rPr>
              <w:t>Andel</w:t>
            </w:r>
            <w:r w:rsidRPr="00B85D85">
              <w:rPr>
                <w:rFonts w:ascii="Times New Roman" w:hAnsi="Times New Roman"/>
                <w:sz w:val="20"/>
                <w:vertAlign w:val="superscript"/>
              </w:rPr>
              <w:t>2</w:t>
            </w:r>
            <w:r w:rsidRPr="00B85D85">
              <w:rPr>
                <w:rFonts w:ascii="Times New Roman" w:hAnsi="Times New Roman"/>
                <w:sz w:val="20"/>
              </w:rPr>
              <w:t xml:space="preserve"> kvinner, prosent</w:t>
            </w:r>
          </w:p>
        </w:tc>
      </w:tr>
      <w:tr w:rsidR="00E97C9D" w:rsidRPr="00B85D85" w14:paraId="5A19CE76" w14:textId="77777777" w:rsidTr="005610BC">
        <w:trPr>
          <w:trHeight w:val="255"/>
        </w:trPr>
        <w:tc>
          <w:tcPr>
            <w:tcW w:w="1017" w:type="pct"/>
            <w:tcBorders>
              <w:top w:val="nil"/>
              <w:left w:val="nil"/>
              <w:bottom w:val="nil"/>
              <w:right w:val="nil"/>
            </w:tcBorders>
            <w:shd w:val="clear" w:color="auto" w:fill="auto"/>
            <w:vAlign w:val="bottom"/>
          </w:tcPr>
          <w:p w14:paraId="12B16126" w14:textId="77777777" w:rsidR="00862A11" w:rsidRPr="00A2224C" w:rsidRDefault="00862A11" w:rsidP="00862A11">
            <w:pPr>
              <w:spacing w:after="0"/>
              <w:rPr>
                <w:rFonts w:ascii="Times New Roman" w:hAnsi="Times New Roman"/>
                <w:sz w:val="20"/>
              </w:rPr>
            </w:pPr>
            <w:r w:rsidRPr="00A2224C">
              <w:rPr>
                <w:rFonts w:ascii="Times New Roman" w:hAnsi="Times New Roman"/>
                <w:sz w:val="20"/>
              </w:rPr>
              <w:t xml:space="preserve">Lærer </w:t>
            </w:r>
          </w:p>
        </w:tc>
        <w:tc>
          <w:tcPr>
            <w:tcW w:w="478" w:type="pct"/>
            <w:tcBorders>
              <w:top w:val="nil"/>
              <w:left w:val="nil"/>
              <w:bottom w:val="nil"/>
              <w:right w:val="nil"/>
            </w:tcBorders>
            <w:shd w:val="clear" w:color="auto" w:fill="auto"/>
            <w:tcMar>
              <w:left w:w="57" w:type="dxa"/>
              <w:right w:w="57" w:type="dxa"/>
            </w:tcMar>
            <w:vAlign w:val="bottom"/>
          </w:tcPr>
          <w:p w14:paraId="39E8B0E5"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369 700</w:t>
            </w:r>
          </w:p>
        </w:tc>
        <w:tc>
          <w:tcPr>
            <w:tcW w:w="609" w:type="pct"/>
            <w:tcBorders>
              <w:top w:val="nil"/>
              <w:left w:val="nil"/>
              <w:bottom w:val="nil"/>
              <w:right w:val="nil"/>
            </w:tcBorders>
            <w:shd w:val="clear" w:color="auto" w:fill="auto"/>
            <w:noWrap/>
            <w:tcMar>
              <w:left w:w="57" w:type="dxa"/>
              <w:right w:w="57" w:type="dxa"/>
            </w:tcMar>
            <w:vAlign w:val="bottom"/>
          </w:tcPr>
          <w:p w14:paraId="2ED7081D"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373 700</w:t>
            </w:r>
          </w:p>
        </w:tc>
        <w:tc>
          <w:tcPr>
            <w:tcW w:w="507" w:type="pct"/>
            <w:tcBorders>
              <w:top w:val="nil"/>
              <w:left w:val="nil"/>
              <w:bottom w:val="nil"/>
              <w:right w:val="nil"/>
            </w:tcBorders>
            <w:shd w:val="clear" w:color="auto" w:fill="auto"/>
            <w:noWrap/>
            <w:tcMar>
              <w:left w:w="57" w:type="dxa"/>
              <w:right w:w="57" w:type="dxa"/>
            </w:tcMar>
            <w:vAlign w:val="bottom"/>
          </w:tcPr>
          <w:p w14:paraId="0A5F0446" w14:textId="77777777" w:rsidR="00862A11" w:rsidRPr="00A2224C" w:rsidRDefault="00862A11" w:rsidP="00862A11">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4 000 </w:t>
            </w:r>
          </w:p>
        </w:tc>
        <w:tc>
          <w:tcPr>
            <w:tcW w:w="416" w:type="pct"/>
            <w:gridSpan w:val="2"/>
            <w:tcBorders>
              <w:top w:val="nil"/>
              <w:left w:val="nil"/>
              <w:bottom w:val="nil"/>
              <w:right w:val="nil"/>
            </w:tcBorders>
            <w:tcMar>
              <w:left w:w="57" w:type="dxa"/>
              <w:right w:w="57" w:type="dxa"/>
            </w:tcMar>
            <w:vAlign w:val="bottom"/>
          </w:tcPr>
          <w:p w14:paraId="7A33ACB2" w14:textId="26B19F6D"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sz w:val="20"/>
              </w:rPr>
              <w:t>60</w:t>
            </w:r>
          </w:p>
        </w:tc>
        <w:tc>
          <w:tcPr>
            <w:tcW w:w="526" w:type="pct"/>
            <w:gridSpan w:val="2"/>
            <w:tcBorders>
              <w:top w:val="nil"/>
              <w:left w:val="nil"/>
              <w:bottom w:val="nil"/>
              <w:right w:val="nil"/>
            </w:tcBorders>
            <w:shd w:val="clear" w:color="auto" w:fill="auto"/>
            <w:vAlign w:val="bottom"/>
          </w:tcPr>
          <w:p w14:paraId="2B751C81"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451 200</w:t>
            </w:r>
          </w:p>
        </w:tc>
        <w:tc>
          <w:tcPr>
            <w:tcW w:w="582" w:type="pct"/>
            <w:gridSpan w:val="2"/>
            <w:tcBorders>
              <w:top w:val="nil"/>
              <w:left w:val="nil"/>
              <w:bottom w:val="nil"/>
              <w:right w:val="nil"/>
            </w:tcBorders>
            <w:shd w:val="clear" w:color="auto" w:fill="auto"/>
            <w:noWrap/>
            <w:vAlign w:val="bottom"/>
          </w:tcPr>
          <w:p w14:paraId="46D353CF"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456 500</w:t>
            </w:r>
          </w:p>
        </w:tc>
        <w:tc>
          <w:tcPr>
            <w:tcW w:w="409" w:type="pct"/>
            <w:tcBorders>
              <w:top w:val="nil"/>
              <w:left w:val="nil"/>
              <w:bottom w:val="nil"/>
              <w:right w:val="nil"/>
            </w:tcBorders>
            <w:shd w:val="clear" w:color="auto" w:fill="auto"/>
            <w:noWrap/>
            <w:vAlign w:val="bottom"/>
          </w:tcPr>
          <w:p w14:paraId="344308F6" w14:textId="77777777" w:rsidR="00862A11" w:rsidRPr="00A2224C" w:rsidRDefault="00862A11" w:rsidP="00862A11">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5 300 </w:t>
            </w:r>
          </w:p>
        </w:tc>
        <w:tc>
          <w:tcPr>
            <w:tcW w:w="456" w:type="pct"/>
            <w:gridSpan w:val="2"/>
            <w:tcBorders>
              <w:top w:val="nil"/>
              <w:left w:val="nil"/>
              <w:bottom w:val="nil"/>
              <w:right w:val="nil"/>
            </w:tcBorders>
            <w:vAlign w:val="bottom"/>
          </w:tcPr>
          <w:p w14:paraId="0ABB9A44" w14:textId="60486CE6"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sz w:val="20"/>
              </w:rPr>
              <w:t>69</w:t>
            </w:r>
          </w:p>
        </w:tc>
      </w:tr>
      <w:tr w:rsidR="00E97C9D" w:rsidRPr="00B85D85" w14:paraId="1A489E19" w14:textId="77777777" w:rsidTr="005610BC">
        <w:trPr>
          <w:trHeight w:val="255"/>
        </w:trPr>
        <w:tc>
          <w:tcPr>
            <w:tcW w:w="1017" w:type="pct"/>
            <w:tcBorders>
              <w:top w:val="nil"/>
              <w:left w:val="nil"/>
              <w:bottom w:val="nil"/>
              <w:right w:val="nil"/>
            </w:tcBorders>
            <w:shd w:val="clear" w:color="auto" w:fill="auto"/>
            <w:vAlign w:val="bottom"/>
          </w:tcPr>
          <w:p w14:paraId="2B1261B4" w14:textId="77777777" w:rsidR="00862A11" w:rsidRPr="00A2224C" w:rsidRDefault="00862A11" w:rsidP="00862A11">
            <w:pPr>
              <w:spacing w:after="0"/>
              <w:rPr>
                <w:rFonts w:ascii="Times New Roman" w:hAnsi="Times New Roman"/>
                <w:sz w:val="20"/>
              </w:rPr>
            </w:pPr>
            <w:r w:rsidRPr="00A2224C">
              <w:rPr>
                <w:rFonts w:ascii="Times New Roman" w:hAnsi="Times New Roman"/>
                <w:sz w:val="20"/>
              </w:rPr>
              <w:t xml:space="preserve">Adjunkt </w:t>
            </w:r>
          </w:p>
        </w:tc>
        <w:tc>
          <w:tcPr>
            <w:tcW w:w="478" w:type="pct"/>
            <w:tcBorders>
              <w:top w:val="nil"/>
              <w:left w:val="nil"/>
              <w:bottom w:val="nil"/>
              <w:right w:val="nil"/>
            </w:tcBorders>
            <w:shd w:val="clear" w:color="auto" w:fill="auto"/>
            <w:tcMar>
              <w:left w:w="57" w:type="dxa"/>
              <w:right w:w="57" w:type="dxa"/>
            </w:tcMar>
            <w:vAlign w:val="bottom"/>
          </w:tcPr>
          <w:p w14:paraId="7B3B1240"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410 800</w:t>
            </w:r>
          </w:p>
        </w:tc>
        <w:tc>
          <w:tcPr>
            <w:tcW w:w="609" w:type="pct"/>
            <w:tcBorders>
              <w:top w:val="nil"/>
              <w:left w:val="nil"/>
              <w:bottom w:val="nil"/>
              <w:right w:val="nil"/>
            </w:tcBorders>
            <w:shd w:val="clear" w:color="auto" w:fill="auto"/>
            <w:noWrap/>
            <w:tcMar>
              <w:left w:w="57" w:type="dxa"/>
              <w:right w:w="57" w:type="dxa"/>
            </w:tcMar>
            <w:vAlign w:val="bottom"/>
          </w:tcPr>
          <w:p w14:paraId="2438159E"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415 800</w:t>
            </w:r>
          </w:p>
        </w:tc>
        <w:tc>
          <w:tcPr>
            <w:tcW w:w="507" w:type="pct"/>
            <w:tcBorders>
              <w:top w:val="nil"/>
              <w:left w:val="nil"/>
              <w:bottom w:val="nil"/>
              <w:right w:val="nil"/>
            </w:tcBorders>
            <w:shd w:val="clear" w:color="auto" w:fill="auto"/>
            <w:noWrap/>
            <w:tcMar>
              <w:left w:w="57" w:type="dxa"/>
              <w:right w:w="57" w:type="dxa"/>
            </w:tcMar>
            <w:vAlign w:val="bottom"/>
          </w:tcPr>
          <w:p w14:paraId="16A20553" w14:textId="77777777" w:rsidR="00862A11" w:rsidRPr="00A2224C" w:rsidRDefault="00862A11" w:rsidP="00862A11">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5 000 </w:t>
            </w:r>
          </w:p>
        </w:tc>
        <w:tc>
          <w:tcPr>
            <w:tcW w:w="416" w:type="pct"/>
            <w:gridSpan w:val="2"/>
            <w:tcBorders>
              <w:top w:val="nil"/>
              <w:left w:val="nil"/>
              <w:bottom w:val="nil"/>
              <w:right w:val="nil"/>
            </w:tcBorders>
            <w:tcMar>
              <w:left w:w="57" w:type="dxa"/>
              <w:right w:w="57" w:type="dxa"/>
            </w:tcMar>
            <w:vAlign w:val="bottom"/>
          </w:tcPr>
          <w:p w14:paraId="60B2FA19" w14:textId="073DEA0C"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sz w:val="20"/>
              </w:rPr>
              <w:t>72</w:t>
            </w:r>
          </w:p>
        </w:tc>
        <w:tc>
          <w:tcPr>
            <w:tcW w:w="526" w:type="pct"/>
            <w:gridSpan w:val="2"/>
            <w:tcBorders>
              <w:top w:val="nil"/>
              <w:left w:val="nil"/>
              <w:bottom w:val="nil"/>
              <w:right w:val="nil"/>
            </w:tcBorders>
            <w:shd w:val="clear" w:color="auto" w:fill="auto"/>
            <w:vAlign w:val="bottom"/>
          </w:tcPr>
          <w:p w14:paraId="4D316CB8"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480 300</w:t>
            </w:r>
          </w:p>
        </w:tc>
        <w:tc>
          <w:tcPr>
            <w:tcW w:w="582" w:type="pct"/>
            <w:gridSpan w:val="2"/>
            <w:tcBorders>
              <w:top w:val="nil"/>
              <w:left w:val="nil"/>
              <w:bottom w:val="nil"/>
              <w:right w:val="nil"/>
            </w:tcBorders>
            <w:shd w:val="clear" w:color="auto" w:fill="auto"/>
            <w:noWrap/>
            <w:vAlign w:val="bottom"/>
          </w:tcPr>
          <w:p w14:paraId="7C24AE4D"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487 000</w:t>
            </w:r>
          </w:p>
        </w:tc>
        <w:tc>
          <w:tcPr>
            <w:tcW w:w="409" w:type="pct"/>
            <w:tcBorders>
              <w:top w:val="nil"/>
              <w:left w:val="nil"/>
              <w:bottom w:val="nil"/>
              <w:right w:val="nil"/>
            </w:tcBorders>
            <w:shd w:val="clear" w:color="auto" w:fill="auto"/>
            <w:noWrap/>
            <w:vAlign w:val="bottom"/>
          </w:tcPr>
          <w:p w14:paraId="263FA98C" w14:textId="77777777" w:rsidR="00862A11" w:rsidRPr="00A2224C" w:rsidRDefault="00862A11" w:rsidP="00862A11">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6 700 </w:t>
            </w:r>
          </w:p>
        </w:tc>
        <w:tc>
          <w:tcPr>
            <w:tcW w:w="456" w:type="pct"/>
            <w:gridSpan w:val="2"/>
            <w:tcBorders>
              <w:top w:val="nil"/>
              <w:left w:val="nil"/>
              <w:bottom w:val="nil"/>
              <w:right w:val="nil"/>
            </w:tcBorders>
            <w:vAlign w:val="bottom"/>
          </w:tcPr>
          <w:p w14:paraId="73583726" w14:textId="5586ACA3"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sz w:val="20"/>
              </w:rPr>
              <w:t>71</w:t>
            </w:r>
          </w:p>
        </w:tc>
      </w:tr>
      <w:tr w:rsidR="00E97C9D" w:rsidRPr="00B85D85" w14:paraId="6BB40785" w14:textId="77777777" w:rsidTr="005610BC">
        <w:trPr>
          <w:trHeight w:val="255"/>
        </w:trPr>
        <w:tc>
          <w:tcPr>
            <w:tcW w:w="1017" w:type="pct"/>
            <w:tcBorders>
              <w:top w:val="nil"/>
              <w:left w:val="nil"/>
              <w:bottom w:val="nil"/>
              <w:right w:val="nil"/>
            </w:tcBorders>
            <w:shd w:val="clear" w:color="auto" w:fill="auto"/>
            <w:vAlign w:val="bottom"/>
          </w:tcPr>
          <w:p w14:paraId="6EE5F122" w14:textId="77777777" w:rsidR="00862A11" w:rsidRPr="00A2224C" w:rsidRDefault="00862A11" w:rsidP="00862A11">
            <w:pPr>
              <w:spacing w:after="0"/>
              <w:rPr>
                <w:rFonts w:ascii="Times New Roman" w:hAnsi="Times New Roman"/>
                <w:sz w:val="20"/>
              </w:rPr>
            </w:pPr>
            <w:r w:rsidRPr="00A2224C">
              <w:rPr>
                <w:rFonts w:ascii="Times New Roman" w:hAnsi="Times New Roman"/>
                <w:sz w:val="20"/>
              </w:rPr>
              <w:t>Adjunkt (med tilleggsutdanning)</w:t>
            </w:r>
          </w:p>
        </w:tc>
        <w:tc>
          <w:tcPr>
            <w:tcW w:w="478" w:type="pct"/>
            <w:tcBorders>
              <w:top w:val="nil"/>
              <w:left w:val="nil"/>
              <w:bottom w:val="nil"/>
              <w:right w:val="nil"/>
            </w:tcBorders>
            <w:shd w:val="clear" w:color="auto" w:fill="auto"/>
            <w:tcMar>
              <w:left w:w="57" w:type="dxa"/>
              <w:right w:w="57" w:type="dxa"/>
            </w:tcMar>
            <w:vAlign w:val="bottom"/>
          </w:tcPr>
          <w:p w14:paraId="06608D35"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440 500</w:t>
            </w:r>
          </w:p>
        </w:tc>
        <w:tc>
          <w:tcPr>
            <w:tcW w:w="609" w:type="pct"/>
            <w:tcBorders>
              <w:top w:val="nil"/>
              <w:left w:val="nil"/>
              <w:bottom w:val="nil"/>
              <w:right w:val="nil"/>
            </w:tcBorders>
            <w:shd w:val="clear" w:color="auto" w:fill="auto"/>
            <w:noWrap/>
            <w:tcMar>
              <w:left w:w="57" w:type="dxa"/>
              <w:right w:w="57" w:type="dxa"/>
            </w:tcMar>
            <w:vAlign w:val="bottom"/>
          </w:tcPr>
          <w:p w14:paraId="4115D470"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446 200</w:t>
            </w:r>
          </w:p>
        </w:tc>
        <w:tc>
          <w:tcPr>
            <w:tcW w:w="507" w:type="pct"/>
            <w:tcBorders>
              <w:top w:val="nil"/>
              <w:left w:val="nil"/>
              <w:bottom w:val="nil"/>
              <w:right w:val="nil"/>
            </w:tcBorders>
            <w:shd w:val="clear" w:color="auto" w:fill="auto"/>
            <w:noWrap/>
            <w:tcMar>
              <w:left w:w="57" w:type="dxa"/>
              <w:right w:w="57" w:type="dxa"/>
            </w:tcMar>
            <w:vAlign w:val="bottom"/>
          </w:tcPr>
          <w:p w14:paraId="7D83B0A3" w14:textId="77777777" w:rsidR="00862A11" w:rsidRPr="00A2224C" w:rsidRDefault="00862A11" w:rsidP="00862A11">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5 700 </w:t>
            </w:r>
          </w:p>
        </w:tc>
        <w:tc>
          <w:tcPr>
            <w:tcW w:w="416" w:type="pct"/>
            <w:gridSpan w:val="2"/>
            <w:tcBorders>
              <w:top w:val="nil"/>
              <w:left w:val="nil"/>
              <w:bottom w:val="nil"/>
              <w:right w:val="nil"/>
            </w:tcBorders>
            <w:tcMar>
              <w:left w:w="57" w:type="dxa"/>
              <w:right w:w="57" w:type="dxa"/>
            </w:tcMar>
            <w:vAlign w:val="bottom"/>
          </w:tcPr>
          <w:p w14:paraId="401C6942" w14:textId="6D4892D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sz w:val="20"/>
              </w:rPr>
              <w:t>69</w:t>
            </w:r>
          </w:p>
        </w:tc>
        <w:tc>
          <w:tcPr>
            <w:tcW w:w="526" w:type="pct"/>
            <w:gridSpan w:val="2"/>
            <w:tcBorders>
              <w:top w:val="nil"/>
              <w:left w:val="nil"/>
              <w:bottom w:val="nil"/>
              <w:right w:val="nil"/>
            </w:tcBorders>
            <w:shd w:val="clear" w:color="auto" w:fill="auto"/>
            <w:vAlign w:val="bottom"/>
          </w:tcPr>
          <w:p w14:paraId="1CFECF30"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517 800</w:t>
            </w:r>
          </w:p>
        </w:tc>
        <w:tc>
          <w:tcPr>
            <w:tcW w:w="582" w:type="pct"/>
            <w:gridSpan w:val="2"/>
            <w:tcBorders>
              <w:top w:val="nil"/>
              <w:left w:val="nil"/>
              <w:bottom w:val="nil"/>
              <w:right w:val="nil"/>
            </w:tcBorders>
            <w:shd w:val="clear" w:color="auto" w:fill="auto"/>
            <w:noWrap/>
            <w:vAlign w:val="bottom"/>
          </w:tcPr>
          <w:p w14:paraId="765F1F7A"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525 200</w:t>
            </w:r>
          </w:p>
        </w:tc>
        <w:tc>
          <w:tcPr>
            <w:tcW w:w="409" w:type="pct"/>
            <w:tcBorders>
              <w:top w:val="nil"/>
              <w:left w:val="nil"/>
              <w:bottom w:val="nil"/>
              <w:right w:val="nil"/>
            </w:tcBorders>
            <w:shd w:val="clear" w:color="auto" w:fill="auto"/>
            <w:noWrap/>
            <w:vAlign w:val="bottom"/>
          </w:tcPr>
          <w:p w14:paraId="3A47909E" w14:textId="77777777" w:rsidR="00862A11" w:rsidRPr="00A2224C" w:rsidRDefault="00862A11" w:rsidP="00862A11">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7 400 </w:t>
            </w:r>
          </w:p>
        </w:tc>
        <w:tc>
          <w:tcPr>
            <w:tcW w:w="456" w:type="pct"/>
            <w:gridSpan w:val="2"/>
            <w:tcBorders>
              <w:top w:val="nil"/>
              <w:left w:val="nil"/>
              <w:bottom w:val="nil"/>
              <w:right w:val="nil"/>
            </w:tcBorders>
            <w:vAlign w:val="bottom"/>
          </w:tcPr>
          <w:p w14:paraId="6683DCA1" w14:textId="2A99D770"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sz w:val="20"/>
              </w:rPr>
              <w:t>68</w:t>
            </w:r>
          </w:p>
        </w:tc>
      </w:tr>
      <w:tr w:rsidR="00E97C9D" w:rsidRPr="00B85D85" w14:paraId="427C819F" w14:textId="77777777" w:rsidTr="005610BC">
        <w:trPr>
          <w:trHeight w:val="255"/>
        </w:trPr>
        <w:tc>
          <w:tcPr>
            <w:tcW w:w="1017" w:type="pct"/>
            <w:tcBorders>
              <w:top w:val="nil"/>
              <w:left w:val="nil"/>
              <w:right w:val="nil"/>
            </w:tcBorders>
            <w:shd w:val="clear" w:color="auto" w:fill="auto"/>
            <w:vAlign w:val="bottom"/>
          </w:tcPr>
          <w:p w14:paraId="74915CE5" w14:textId="77777777" w:rsidR="00862A11" w:rsidRPr="00A2224C" w:rsidRDefault="00862A11" w:rsidP="00862A11">
            <w:pPr>
              <w:spacing w:after="0"/>
              <w:rPr>
                <w:rFonts w:ascii="Times New Roman" w:hAnsi="Times New Roman"/>
                <w:sz w:val="20"/>
              </w:rPr>
            </w:pPr>
            <w:r w:rsidRPr="00A2224C">
              <w:rPr>
                <w:rFonts w:ascii="Times New Roman" w:hAnsi="Times New Roman"/>
                <w:sz w:val="20"/>
              </w:rPr>
              <w:t xml:space="preserve">Lektor </w:t>
            </w:r>
          </w:p>
        </w:tc>
        <w:tc>
          <w:tcPr>
            <w:tcW w:w="478" w:type="pct"/>
            <w:tcBorders>
              <w:top w:val="nil"/>
              <w:left w:val="nil"/>
              <w:right w:val="nil"/>
            </w:tcBorders>
            <w:shd w:val="clear" w:color="auto" w:fill="auto"/>
            <w:tcMar>
              <w:left w:w="57" w:type="dxa"/>
              <w:right w:w="57" w:type="dxa"/>
            </w:tcMar>
            <w:vAlign w:val="bottom"/>
          </w:tcPr>
          <w:p w14:paraId="07A5A678"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462 600</w:t>
            </w:r>
          </w:p>
        </w:tc>
        <w:tc>
          <w:tcPr>
            <w:tcW w:w="609" w:type="pct"/>
            <w:tcBorders>
              <w:top w:val="nil"/>
              <w:left w:val="nil"/>
              <w:right w:val="nil"/>
            </w:tcBorders>
            <w:shd w:val="clear" w:color="auto" w:fill="auto"/>
            <w:noWrap/>
            <w:tcMar>
              <w:left w:w="57" w:type="dxa"/>
              <w:right w:w="57" w:type="dxa"/>
            </w:tcMar>
            <w:vAlign w:val="bottom"/>
          </w:tcPr>
          <w:p w14:paraId="78F00502"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462 600</w:t>
            </w:r>
          </w:p>
        </w:tc>
        <w:tc>
          <w:tcPr>
            <w:tcW w:w="507" w:type="pct"/>
            <w:tcBorders>
              <w:top w:val="nil"/>
              <w:left w:val="nil"/>
              <w:right w:val="nil"/>
            </w:tcBorders>
            <w:shd w:val="clear" w:color="auto" w:fill="auto"/>
            <w:noWrap/>
            <w:tcMar>
              <w:left w:w="57" w:type="dxa"/>
              <w:right w:w="57" w:type="dxa"/>
            </w:tcMar>
            <w:vAlign w:val="bottom"/>
          </w:tcPr>
          <w:p w14:paraId="2AFD1F81" w14:textId="77777777" w:rsidR="00862A11" w:rsidRPr="00A2224C" w:rsidRDefault="00862A11" w:rsidP="00862A11">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6 200 </w:t>
            </w:r>
          </w:p>
        </w:tc>
        <w:tc>
          <w:tcPr>
            <w:tcW w:w="416" w:type="pct"/>
            <w:gridSpan w:val="2"/>
            <w:tcBorders>
              <w:top w:val="nil"/>
              <w:left w:val="nil"/>
              <w:right w:val="nil"/>
            </w:tcBorders>
            <w:tcMar>
              <w:left w:w="57" w:type="dxa"/>
              <w:right w:w="57" w:type="dxa"/>
            </w:tcMar>
            <w:vAlign w:val="bottom"/>
          </w:tcPr>
          <w:p w14:paraId="4BAE626B" w14:textId="1436430F"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sz w:val="20"/>
              </w:rPr>
              <w:t>66</w:t>
            </w:r>
          </w:p>
        </w:tc>
        <w:tc>
          <w:tcPr>
            <w:tcW w:w="526" w:type="pct"/>
            <w:gridSpan w:val="2"/>
            <w:tcBorders>
              <w:top w:val="nil"/>
              <w:left w:val="nil"/>
              <w:right w:val="nil"/>
            </w:tcBorders>
            <w:shd w:val="clear" w:color="auto" w:fill="auto"/>
            <w:vAlign w:val="bottom"/>
          </w:tcPr>
          <w:p w14:paraId="7C027271"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558 300</w:t>
            </w:r>
          </w:p>
        </w:tc>
        <w:tc>
          <w:tcPr>
            <w:tcW w:w="582" w:type="pct"/>
            <w:gridSpan w:val="2"/>
            <w:tcBorders>
              <w:top w:val="nil"/>
              <w:left w:val="nil"/>
              <w:right w:val="nil"/>
            </w:tcBorders>
            <w:shd w:val="clear" w:color="auto" w:fill="auto"/>
            <w:noWrap/>
            <w:vAlign w:val="bottom"/>
          </w:tcPr>
          <w:p w14:paraId="04ED5583"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566 800</w:t>
            </w:r>
          </w:p>
        </w:tc>
        <w:tc>
          <w:tcPr>
            <w:tcW w:w="409" w:type="pct"/>
            <w:tcBorders>
              <w:top w:val="nil"/>
              <w:left w:val="nil"/>
              <w:right w:val="nil"/>
            </w:tcBorders>
            <w:shd w:val="clear" w:color="auto" w:fill="auto"/>
            <w:noWrap/>
            <w:vAlign w:val="bottom"/>
          </w:tcPr>
          <w:p w14:paraId="1FF62AD4" w14:textId="77777777" w:rsidR="00862A11" w:rsidRPr="00A2224C" w:rsidRDefault="00862A11" w:rsidP="00862A11">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8 500 </w:t>
            </w:r>
          </w:p>
        </w:tc>
        <w:tc>
          <w:tcPr>
            <w:tcW w:w="456" w:type="pct"/>
            <w:gridSpan w:val="2"/>
            <w:tcBorders>
              <w:top w:val="nil"/>
              <w:left w:val="nil"/>
              <w:right w:val="nil"/>
            </w:tcBorders>
            <w:vAlign w:val="bottom"/>
          </w:tcPr>
          <w:p w14:paraId="41D5CF3F" w14:textId="6AEA9E94"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sz w:val="20"/>
              </w:rPr>
              <w:t>53</w:t>
            </w:r>
          </w:p>
        </w:tc>
      </w:tr>
      <w:tr w:rsidR="00E97C9D" w:rsidRPr="00B85D85" w14:paraId="5FE87E98" w14:textId="77777777" w:rsidTr="005610BC">
        <w:trPr>
          <w:trHeight w:val="255"/>
        </w:trPr>
        <w:tc>
          <w:tcPr>
            <w:tcW w:w="1017" w:type="pct"/>
            <w:tcBorders>
              <w:top w:val="nil"/>
              <w:left w:val="nil"/>
              <w:bottom w:val="single" w:sz="4" w:space="0" w:color="auto"/>
              <w:right w:val="nil"/>
            </w:tcBorders>
            <w:shd w:val="clear" w:color="auto" w:fill="auto"/>
            <w:vAlign w:val="bottom"/>
          </w:tcPr>
          <w:p w14:paraId="3D859385" w14:textId="77777777" w:rsidR="00862A11" w:rsidRPr="00A2224C" w:rsidRDefault="00862A11" w:rsidP="00862A11">
            <w:pPr>
              <w:spacing w:after="0"/>
              <w:rPr>
                <w:rFonts w:ascii="Times New Roman" w:hAnsi="Times New Roman"/>
                <w:sz w:val="20"/>
              </w:rPr>
            </w:pPr>
            <w:r w:rsidRPr="00A2224C">
              <w:rPr>
                <w:rFonts w:ascii="Times New Roman" w:hAnsi="Times New Roman"/>
                <w:sz w:val="20"/>
              </w:rPr>
              <w:t>Lektor (med tilleggsutdanning)</w:t>
            </w:r>
          </w:p>
        </w:tc>
        <w:tc>
          <w:tcPr>
            <w:tcW w:w="478" w:type="pct"/>
            <w:tcBorders>
              <w:top w:val="nil"/>
              <w:left w:val="nil"/>
              <w:bottom w:val="single" w:sz="4" w:space="0" w:color="auto"/>
              <w:right w:val="nil"/>
            </w:tcBorders>
            <w:shd w:val="clear" w:color="auto" w:fill="auto"/>
            <w:tcMar>
              <w:left w:w="57" w:type="dxa"/>
              <w:right w:w="57" w:type="dxa"/>
            </w:tcMar>
            <w:vAlign w:val="bottom"/>
          </w:tcPr>
          <w:p w14:paraId="4879183A"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477 700</w:t>
            </w:r>
          </w:p>
        </w:tc>
        <w:tc>
          <w:tcPr>
            <w:tcW w:w="609" w:type="pct"/>
            <w:tcBorders>
              <w:top w:val="nil"/>
              <w:left w:val="nil"/>
              <w:bottom w:val="single" w:sz="4" w:space="0" w:color="auto"/>
              <w:right w:val="nil"/>
            </w:tcBorders>
            <w:shd w:val="clear" w:color="auto" w:fill="auto"/>
            <w:noWrap/>
            <w:tcMar>
              <w:left w:w="57" w:type="dxa"/>
              <w:right w:w="57" w:type="dxa"/>
            </w:tcMar>
            <w:vAlign w:val="bottom"/>
          </w:tcPr>
          <w:p w14:paraId="68A34AC6"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484 200</w:t>
            </w:r>
          </w:p>
        </w:tc>
        <w:tc>
          <w:tcPr>
            <w:tcW w:w="507" w:type="pct"/>
            <w:tcBorders>
              <w:top w:val="nil"/>
              <w:left w:val="nil"/>
              <w:bottom w:val="single" w:sz="4" w:space="0" w:color="auto"/>
              <w:right w:val="nil"/>
            </w:tcBorders>
            <w:shd w:val="clear" w:color="auto" w:fill="auto"/>
            <w:noWrap/>
            <w:tcMar>
              <w:left w:w="57" w:type="dxa"/>
              <w:right w:w="57" w:type="dxa"/>
            </w:tcMar>
            <w:vAlign w:val="bottom"/>
          </w:tcPr>
          <w:p w14:paraId="5B7888BC" w14:textId="77777777" w:rsidR="00862A11" w:rsidRPr="00A2224C" w:rsidRDefault="00862A11" w:rsidP="00862A11">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6 500 </w:t>
            </w:r>
          </w:p>
        </w:tc>
        <w:tc>
          <w:tcPr>
            <w:tcW w:w="416" w:type="pct"/>
            <w:gridSpan w:val="2"/>
            <w:tcBorders>
              <w:top w:val="nil"/>
              <w:left w:val="nil"/>
              <w:bottom w:val="single" w:sz="4" w:space="0" w:color="auto"/>
              <w:right w:val="nil"/>
            </w:tcBorders>
            <w:tcMar>
              <w:left w:w="57" w:type="dxa"/>
              <w:right w:w="57" w:type="dxa"/>
            </w:tcMar>
            <w:vAlign w:val="bottom"/>
          </w:tcPr>
          <w:p w14:paraId="3A228956" w14:textId="00B76128"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sz w:val="20"/>
              </w:rPr>
              <w:t>63</w:t>
            </w:r>
          </w:p>
        </w:tc>
        <w:tc>
          <w:tcPr>
            <w:tcW w:w="526" w:type="pct"/>
            <w:gridSpan w:val="2"/>
            <w:tcBorders>
              <w:top w:val="nil"/>
              <w:left w:val="nil"/>
              <w:bottom w:val="single" w:sz="4" w:space="0" w:color="auto"/>
              <w:right w:val="nil"/>
            </w:tcBorders>
            <w:shd w:val="clear" w:color="auto" w:fill="auto"/>
            <w:vAlign w:val="bottom"/>
          </w:tcPr>
          <w:p w14:paraId="59FB7771"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583 100</w:t>
            </w:r>
          </w:p>
        </w:tc>
        <w:tc>
          <w:tcPr>
            <w:tcW w:w="582" w:type="pct"/>
            <w:gridSpan w:val="2"/>
            <w:tcBorders>
              <w:top w:val="nil"/>
              <w:left w:val="nil"/>
              <w:bottom w:val="single" w:sz="4" w:space="0" w:color="auto"/>
              <w:right w:val="nil"/>
            </w:tcBorders>
            <w:shd w:val="clear" w:color="auto" w:fill="auto"/>
            <w:noWrap/>
            <w:vAlign w:val="bottom"/>
          </w:tcPr>
          <w:p w14:paraId="1F2203AB" w14:textId="77777777"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color w:val="000000"/>
                <w:sz w:val="20"/>
              </w:rPr>
              <w:t>592 200</w:t>
            </w:r>
          </w:p>
        </w:tc>
        <w:tc>
          <w:tcPr>
            <w:tcW w:w="409" w:type="pct"/>
            <w:tcBorders>
              <w:top w:val="nil"/>
              <w:left w:val="nil"/>
              <w:bottom w:val="single" w:sz="4" w:space="0" w:color="auto"/>
              <w:right w:val="nil"/>
            </w:tcBorders>
            <w:shd w:val="clear" w:color="auto" w:fill="auto"/>
            <w:noWrap/>
            <w:vAlign w:val="bottom"/>
          </w:tcPr>
          <w:p w14:paraId="76F373E3" w14:textId="77777777" w:rsidR="00862A11" w:rsidRPr="00A2224C" w:rsidRDefault="00862A11" w:rsidP="00862A11">
            <w:pPr>
              <w:autoSpaceDE w:val="0"/>
              <w:autoSpaceDN w:val="0"/>
              <w:adjustRightInd w:val="0"/>
              <w:spacing w:after="0"/>
              <w:jc w:val="right"/>
              <w:rPr>
                <w:rFonts w:ascii="Times New Roman" w:eastAsia="Times New Roman" w:hAnsi="Times New Roman"/>
                <w:color w:val="000000"/>
                <w:sz w:val="20"/>
              </w:rPr>
            </w:pPr>
            <w:r w:rsidRPr="00A2224C">
              <w:rPr>
                <w:rFonts w:ascii="Times New Roman" w:eastAsia="Times New Roman" w:hAnsi="Times New Roman"/>
                <w:color w:val="000000"/>
                <w:sz w:val="20"/>
              </w:rPr>
              <w:t xml:space="preserve">9 100 </w:t>
            </w:r>
          </w:p>
        </w:tc>
        <w:tc>
          <w:tcPr>
            <w:tcW w:w="456" w:type="pct"/>
            <w:gridSpan w:val="2"/>
            <w:tcBorders>
              <w:top w:val="nil"/>
              <w:left w:val="nil"/>
              <w:bottom w:val="single" w:sz="4" w:space="0" w:color="auto"/>
              <w:right w:val="nil"/>
            </w:tcBorders>
            <w:vAlign w:val="bottom"/>
          </w:tcPr>
          <w:p w14:paraId="74B1B137" w14:textId="45D28B20" w:rsidR="00862A11" w:rsidRPr="00A2224C" w:rsidRDefault="00862A11" w:rsidP="00862A11">
            <w:pPr>
              <w:spacing w:after="0"/>
              <w:jc w:val="right"/>
              <w:rPr>
                <w:rFonts w:ascii="Times New Roman" w:hAnsi="Times New Roman"/>
                <w:color w:val="000000"/>
                <w:sz w:val="20"/>
              </w:rPr>
            </w:pPr>
            <w:r w:rsidRPr="00A2224C">
              <w:rPr>
                <w:rFonts w:ascii="Times New Roman" w:hAnsi="Times New Roman"/>
                <w:sz w:val="20"/>
              </w:rPr>
              <w:t>56</w:t>
            </w:r>
          </w:p>
        </w:tc>
      </w:tr>
    </w:tbl>
    <w:bookmarkEnd w:id="249"/>
    <w:p w14:paraId="754D718B" w14:textId="0CD2EC4E" w:rsidR="006E305B" w:rsidRPr="00B85D85" w:rsidRDefault="006E305B" w:rsidP="006E305B">
      <w:pPr>
        <w:pStyle w:val="tabell-noter"/>
      </w:pPr>
      <w:r>
        <w:rPr>
          <w:vertAlign w:val="superscript"/>
        </w:rPr>
        <w:t xml:space="preserve">1 </w:t>
      </w:r>
      <w:r w:rsidRPr="00B85D85">
        <w:t>Per 1. mai 201</w:t>
      </w:r>
      <w:r>
        <w:t>5</w:t>
      </w:r>
      <w:r w:rsidRPr="00B85D85">
        <w:t xml:space="preserve"> skal arbeidstakere med minimum 20 års lønnsansiennitet ikke ha lavere grunnlønn </w:t>
      </w:r>
      <w:r w:rsidRPr="00B85D85">
        <w:br/>
        <w:t>enn kr 3</w:t>
      </w:r>
      <w:r>
        <w:t>77</w:t>
      </w:r>
      <w:r w:rsidRPr="00B85D85">
        <w:t xml:space="preserve"> </w:t>
      </w:r>
      <w:r>
        <w:t>4</w:t>
      </w:r>
      <w:r w:rsidRPr="00B85D85">
        <w:t>00 i 100 prosent stilling. Kvinner utgjør 8</w:t>
      </w:r>
      <w:r w:rsidR="00A12275">
        <w:t>0</w:t>
      </w:r>
      <w:r w:rsidRPr="00B85D85">
        <w:t> prosent av disse arbeidstakerne.</w:t>
      </w:r>
    </w:p>
    <w:p w14:paraId="3709EA04" w14:textId="0D23F4A4" w:rsidR="006E305B" w:rsidRPr="000E7EB1" w:rsidRDefault="006E305B" w:rsidP="006E305B">
      <w:pPr>
        <w:pStyle w:val="tabell-noter"/>
      </w:pPr>
      <w:r>
        <w:rPr>
          <w:vertAlign w:val="superscript"/>
        </w:rPr>
        <w:t xml:space="preserve">2 </w:t>
      </w:r>
      <w:r w:rsidRPr="000E7EB1">
        <w:t xml:space="preserve">Per 1. desember </w:t>
      </w:r>
      <w:r w:rsidR="006708D3" w:rsidRPr="000E7EB1">
        <w:t>201</w:t>
      </w:r>
      <w:r w:rsidR="006708D3">
        <w:t>4</w:t>
      </w:r>
      <w:r w:rsidRPr="000E7EB1">
        <w:t>.  </w:t>
      </w:r>
    </w:p>
    <w:p w14:paraId="1263737F" w14:textId="77777777" w:rsidR="006E305B" w:rsidRDefault="006E305B" w:rsidP="006E305B">
      <w:pPr>
        <w:pStyle w:val="Overskrift2"/>
      </w:pPr>
      <w:bookmarkStart w:id="250" w:name="_Toc256681356"/>
      <w:bookmarkStart w:id="251" w:name="_Toc256684373"/>
      <w:bookmarkStart w:id="252" w:name="_Toc257118276"/>
      <w:bookmarkStart w:id="253" w:name="_Toc257201076"/>
      <w:bookmarkStart w:id="254" w:name="_Toc257462265"/>
      <w:bookmarkStart w:id="255" w:name="_Toc264463027"/>
      <w:bookmarkStart w:id="256" w:name="_Toc264645451"/>
      <w:bookmarkStart w:id="257" w:name="_Toc286073410"/>
      <w:bookmarkStart w:id="258" w:name="_Toc286074034"/>
      <w:bookmarkStart w:id="259" w:name="_Toc286075054"/>
      <w:bookmarkStart w:id="260" w:name="_Toc286075303"/>
      <w:bookmarkStart w:id="261" w:name="_Toc359263578"/>
      <w:bookmarkStart w:id="262" w:name="_Toc422226839"/>
      <w:r w:rsidRPr="00C61C17">
        <w:t>Oppgjørene i Spekter-området</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0C529306" w14:textId="77777777" w:rsidR="006E305B" w:rsidRPr="00A24F46" w:rsidRDefault="006E305B" w:rsidP="006E305B">
      <w:r w:rsidRPr="001B5AD3">
        <w:t>Forhandlingsordningen er hjemlet i fem hovedavtaler som er inngått mellom Spekter og hhv. hovedorganisasjonene LO, YS, Unio, Akademikerne og mellom Spekter og Sammenslutningen av akademikerorganisasjoner i Spekter, SAN.</w:t>
      </w:r>
    </w:p>
    <w:p w14:paraId="56DF1662" w14:textId="77777777" w:rsidR="006E305B" w:rsidRPr="001B5AD3" w:rsidRDefault="006E305B" w:rsidP="006E305B">
      <w:r w:rsidRPr="001B5AD3">
        <w:t>I tråd med forhandlingsmodellen i Spekter forhandles det først på nasjonalt nivå (A-nivå) om overenskomstens generelle del mellom Spekter og den enkelte hovedorganisasjon. Denne delen er felles for alle virksomheter innenfor et overenskomstområde og forplikter arbeidsgiver og den aktuelle hovedorganisasjonens medlemmer. Deretter forhandles overenskomstens spesielle del (B-delen) mellom den enkelte virksomhet på den ene siden og på den andre siden hovedorganisasjonenes forbund eller forhandlingsgrupper. Det kan avtales avvikende ordninger.</w:t>
      </w:r>
    </w:p>
    <w:p w14:paraId="476A9933" w14:textId="41444F8B" w:rsidR="006E305B" w:rsidRDefault="006E305B" w:rsidP="006E305B">
      <w:r w:rsidRPr="006E2241">
        <w:rPr>
          <w:rFonts w:hint="eastAsia"/>
        </w:rPr>
        <w:t xml:space="preserve">På A-nivå </w:t>
      </w:r>
      <w:r w:rsidRPr="006E2241">
        <w:t>ble</w:t>
      </w:r>
      <w:r w:rsidRPr="006E2241">
        <w:rPr>
          <w:rFonts w:hint="eastAsia"/>
        </w:rPr>
        <w:t xml:space="preserve"> det mellom </w:t>
      </w:r>
      <w:r w:rsidRPr="006E2241">
        <w:t>Spekter</w:t>
      </w:r>
      <w:r w:rsidRPr="006E2241">
        <w:rPr>
          <w:rFonts w:hint="eastAsia"/>
        </w:rPr>
        <w:t xml:space="preserve"> og LO</w:t>
      </w:r>
      <w:r w:rsidRPr="006E2241">
        <w:t xml:space="preserve"> </w:t>
      </w:r>
      <w:r w:rsidRPr="006E2241">
        <w:rPr>
          <w:rFonts w:hint="eastAsia"/>
        </w:rPr>
        <w:t>Stat og mellom S</w:t>
      </w:r>
      <w:r w:rsidRPr="006E2241">
        <w:t>pekter</w:t>
      </w:r>
      <w:r w:rsidRPr="006E2241">
        <w:rPr>
          <w:rFonts w:hint="eastAsia"/>
        </w:rPr>
        <w:t xml:space="preserve"> og YS</w:t>
      </w:r>
      <w:r w:rsidRPr="006E2241">
        <w:t xml:space="preserve"> Spekter</w:t>
      </w:r>
      <w:r w:rsidRPr="006E2241">
        <w:rPr>
          <w:rFonts w:hint="eastAsia"/>
        </w:rPr>
        <w:t xml:space="preserve"> enighet om et </w:t>
      </w:r>
      <w:r w:rsidRPr="006E2241">
        <w:t xml:space="preserve">generelt </w:t>
      </w:r>
      <w:r w:rsidRPr="006E2241">
        <w:rPr>
          <w:rFonts w:hint="eastAsia"/>
        </w:rPr>
        <w:t>tillegg fra 1. april 20</w:t>
      </w:r>
      <w:r>
        <w:t>15</w:t>
      </w:r>
      <w:r w:rsidRPr="006E2241">
        <w:rPr>
          <w:rFonts w:hint="eastAsia"/>
        </w:rPr>
        <w:t xml:space="preserve"> på kr</w:t>
      </w:r>
      <w:r w:rsidRPr="006E2241">
        <w:t xml:space="preserve"> </w:t>
      </w:r>
      <w:r>
        <w:t xml:space="preserve">3 413 </w:t>
      </w:r>
      <w:r w:rsidRPr="006E2241">
        <w:rPr>
          <w:rFonts w:hint="eastAsia"/>
        </w:rPr>
        <w:t>p</w:t>
      </w:r>
      <w:r w:rsidRPr="006E2241">
        <w:t>er</w:t>
      </w:r>
      <w:r w:rsidRPr="006E2241">
        <w:rPr>
          <w:rFonts w:hint="eastAsia"/>
        </w:rPr>
        <w:t xml:space="preserve"> år </w:t>
      </w:r>
      <w:r>
        <w:t>til arbeidstakere (unntatt lærlinger og unge arbeidstakere) med årslønn på kr 388 013 eller lavere. For helseforetakene ble det avtalt at lønnstillegg skulle avtales i de videre forhandlinger.</w:t>
      </w:r>
      <w:r w:rsidR="00FA2947">
        <w:t xml:space="preserve"> Nettbuss var ikke omfattet av lønnsreguleringen avtalt på A- nivå, da lønnsreguleringer her følger lønnsreguleringene i bussbransjen i NHO.</w:t>
      </w:r>
    </w:p>
    <w:p w14:paraId="5F840D12" w14:textId="77777777" w:rsidR="006E305B" w:rsidRPr="006E2241" w:rsidRDefault="006E305B" w:rsidP="006E305B">
      <w:r w:rsidRPr="006E2241">
        <w:t>Det ble ført forhandlinger i de enkelte virksomheter (B-nivå) om ytterligere lønnstillegg. I disse forhandlingene ble det gitt noe varierende tillegg.  </w:t>
      </w:r>
    </w:p>
    <w:p w14:paraId="67F659AE" w14:textId="77777777" w:rsidR="006E305B" w:rsidRDefault="006E305B" w:rsidP="006E305B">
      <w:r>
        <w:t>For akademikergruppene i Spekter (ekskl. Legeforeningen) gis det ikke sentrale generelle tillegg. Lønnstilleggene for disse gruppene avtales lokalt.</w:t>
      </w:r>
    </w:p>
    <w:p w14:paraId="70DB68DC" w14:textId="77777777" w:rsidR="006E305B" w:rsidRDefault="006E305B" w:rsidP="006E305B">
      <w:r>
        <w:t xml:space="preserve">I </w:t>
      </w:r>
      <w:r w:rsidRPr="00E32A04">
        <w:rPr>
          <w:i/>
        </w:rPr>
        <w:t>helseforetakene</w:t>
      </w:r>
      <w:r>
        <w:t xml:space="preserve"> </w:t>
      </w:r>
      <w:r w:rsidRPr="00843AC3">
        <w:t xml:space="preserve">kom Spekter og forbundene i LO og YS til enighet i de sentrale forbundsvise forhandlingene (A2). </w:t>
      </w:r>
      <w:r>
        <w:t>D</w:t>
      </w:r>
      <w:r w:rsidRPr="00843AC3">
        <w:t xml:space="preserve">et </w:t>
      </w:r>
      <w:r>
        <w:t>ble enighet om</w:t>
      </w:r>
      <w:r w:rsidRPr="00843AC3">
        <w:t xml:space="preserve"> et generelt tillegg </w:t>
      </w:r>
      <w:r>
        <w:t xml:space="preserve">fra 1. august 2015 </w:t>
      </w:r>
      <w:r w:rsidRPr="00843AC3">
        <w:t xml:space="preserve">på kr </w:t>
      </w:r>
      <w:r>
        <w:t>2 0</w:t>
      </w:r>
      <w:r w:rsidRPr="00843AC3">
        <w:t>00</w:t>
      </w:r>
      <w:r>
        <w:t xml:space="preserve"> per år i stillingsgruppene 1-4 og kr 4 000 i stillingsgruppe 5 og til ledere som leder ansatte i stillingsgruppe 5. Øvrige medlemmer i LO- og YS-forbundene fikk et tillegg på kr 2 000 per år fra 1. august 2015. M</w:t>
      </w:r>
      <w:r w:rsidRPr="00843AC3">
        <w:t xml:space="preserve">instelønnssatsene </w:t>
      </w:r>
      <w:r>
        <w:t xml:space="preserve">ble </w:t>
      </w:r>
      <w:r w:rsidRPr="00843AC3">
        <w:t>heve</w:t>
      </w:r>
      <w:r>
        <w:t>t</w:t>
      </w:r>
      <w:r w:rsidRPr="00843AC3">
        <w:t xml:space="preserve"> </w:t>
      </w:r>
      <w:r>
        <w:t>tilsvarende fra samme dato, se tabell 1.3</w:t>
      </w:r>
      <w:r w:rsidRPr="00843AC3">
        <w:t xml:space="preserve">. </w:t>
      </w:r>
      <w:r>
        <w:t xml:space="preserve">Avtalen innebærer også at </w:t>
      </w:r>
      <w:r w:rsidRPr="00843AC3">
        <w:t xml:space="preserve">minstelønnen i stillingsgruppe l </w:t>
      </w:r>
      <w:r>
        <w:t>for ansatte med 20 års ansiennitet (s</w:t>
      </w:r>
      <w:r w:rsidRPr="003A7076">
        <w:t>tillinger hvor det ikke kreves særskilt utdanning</w:t>
      </w:r>
      <w:r>
        <w:t>), økes ytterligere med kr 7 000 til kr 373 000</w:t>
      </w:r>
      <w:r w:rsidRPr="00843AC3">
        <w:t xml:space="preserve"> fra 1. </w:t>
      </w:r>
      <w:r>
        <w:t>januar 2016. D</w:t>
      </w:r>
      <w:r w:rsidRPr="00843AC3">
        <w:t xml:space="preserve">et </w:t>
      </w:r>
      <w:r>
        <w:t>skal ikke</w:t>
      </w:r>
      <w:r w:rsidRPr="00843AC3">
        <w:t xml:space="preserve"> gjennomfør</w:t>
      </w:r>
      <w:r>
        <w:t>es</w:t>
      </w:r>
      <w:r w:rsidRPr="00843AC3">
        <w:t xml:space="preserve"> lokale forhandlinger </w:t>
      </w:r>
      <w:r>
        <w:t xml:space="preserve">på B-nivå </w:t>
      </w:r>
      <w:r w:rsidRPr="00843AC3">
        <w:t>i 20</w:t>
      </w:r>
      <w:r>
        <w:t xml:space="preserve">15. </w:t>
      </w:r>
    </w:p>
    <w:p w14:paraId="2C52BB68" w14:textId="5FA1B2A7" w:rsidR="006E305B" w:rsidRPr="00157754" w:rsidRDefault="006E305B" w:rsidP="00BA4488">
      <w:pPr>
        <w:rPr>
          <w:rFonts w:ascii="Times New Roman" w:hAnsi="Times New Roman"/>
        </w:rPr>
      </w:pPr>
      <w:r w:rsidRPr="00157754">
        <w:rPr>
          <w:rFonts w:ascii="Times New Roman" w:hAnsi="Times New Roman"/>
        </w:rPr>
        <w:t xml:space="preserve">For helseforetakene er Spekter og forbundene i Unio med sentral forbundsvis avtaledel (Norsk Sykepleierforbund, Norsk Fysioterapeutforbund, Norsk Ergoterapeutforbund og Utdanningsforbundet) kommet til enighet i de sentrale forbundsvise forhandlingene (A2). </w:t>
      </w:r>
      <w:r>
        <w:rPr>
          <w:rFonts w:ascii="Times New Roman" w:hAnsi="Times New Roman"/>
        </w:rPr>
        <w:t xml:space="preserve">Sykepleiere, fysioterapeuter, </w:t>
      </w:r>
      <w:r w:rsidR="001A66B9">
        <w:rPr>
          <w:rFonts w:ascii="Times New Roman" w:hAnsi="Times New Roman"/>
        </w:rPr>
        <w:t>ergoterapeuter</w:t>
      </w:r>
      <w:r>
        <w:rPr>
          <w:rFonts w:ascii="Times New Roman" w:hAnsi="Times New Roman"/>
        </w:rPr>
        <w:t xml:space="preserve"> og førskolelærere fikk et generelt tillegg på kr 2 000 per år med virkning fra 1. mai 2015, mens spesialsykepleiere, jordmødre, spesialfysioterapeuter, spesialergoterapeuter, pedagoger med </w:t>
      </w:r>
      <w:r w:rsidR="001A66B9">
        <w:rPr>
          <w:rFonts w:ascii="Times New Roman" w:hAnsi="Times New Roman"/>
        </w:rPr>
        <w:t>spesialkompetanse</w:t>
      </w:r>
      <w:r>
        <w:rPr>
          <w:rFonts w:ascii="Times New Roman" w:hAnsi="Times New Roman"/>
        </w:rPr>
        <w:t xml:space="preserve"> og ledere fikk kr 4 000 fra samme dato. </w:t>
      </w:r>
      <w:r w:rsidRPr="00157754">
        <w:rPr>
          <w:rFonts w:ascii="Times New Roman" w:hAnsi="Times New Roman"/>
        </w:rPr>
        <w:t xml:space="preserve">Minstelønnssatsene ble hevet </w:t>
      </w:r>
      <w:r>
        <w:rPr>
          <w:rFonts w:ascii="Times New Roman" w:hAnsi="Times New Roman"/>
        </w:rPr>
        <w:t>tilsvarende</w:t>
      </w:r>
      <w:r w:rsidRPr="00157754">
        <w:rPr>
          <w:rFonts w:ascii="Times New Roman" w:hAnsi="Times New Roman"/>
        </w:rPr>
        <w:t>, se tabell 1.</w:t>
      </w:r>
      <w:r>
        <w:rPr>
          <w:rFonts w:ascii="Times New Roman" w:hAnsi="Times New Roman"/>
        </w:rPr>
        <w:t>4</w:t>
      </w:r>
      <w:r w:rsidRPr="00157754">
        <w:rPr>
          <w:rFonts w:ascii="Times New Roman" w:hAnsi="Times New Roman"/>
        </w:rPr>
        <w:t xml:space="preserve">.  </w:t>
      </w:r>
      <w:r>
        <w:t>D</w:t>
      </w:r>
      <w:r w:rsidRPr="00843AC3">
        <w:t xml:space="preserve">et </w:t>
      </w:r>
      <w:r>
        <w:t>skal ikke</w:t>
      </w:r>
      <w:r w:rsidRPr="00843AC3">
        <w:t xml:space="preserve"> gjennomfør</w:t>
      </w:r>
      <w:r>
        <w:t>es</w:t>
      </w:r>
      <w:r w:rsidRPr="00843AC3">
        <w:t xml:space="preserve"> lokale forhandlinger </w:t>
      </w:r>
      <w:r>
        <w:t xml:space="preserve">på B-nivå </w:t>
      </w:r>
      <w:r w:rsidRPr="00843AC3">
        <w:t>i 20</w:t>
      </w:r>
      <w:r>
        <w:t>15.</w:t>
      </w:r>
      <w:r w:rsidRPr="00157754">
        <w:rPr>
          <w:rFonts w:ascii="Times New Roman" w:hAnsi="Times New Roman"/>
        </w:rPr>
        <w:t xml:space="preserve"> For medlemmer av Unio som ikke er omfattet av sentrale forbundsvise forhandlinger, ble det gjennomført lokale forhandlinger.</w:t>
      </w:r>
    </w:p>
    <w:p w14:paraId="0F30F6E4" w14:textId="77777777" w:rsidR="006E305B" w:rsidRDefault="006E305B" w:rsidP="006E305B">
      <w:pPr>
        <w:pStyle w:val="NormalWeb"/>
      </w:pPr>
      <w:r>
        <w:t>I oppgjøret mellom Spekter-Helse og Den norske legeforening kom partene til enighet i de sentrale forbundsvise forhandlingene (A 2) for helseforetakene. I helseforetakene fikk turnusleger et tillegg på kr 12 000 per år og leger i spesialisering et tillegg fra kr 14 500 til kr 17 500. Tilleggene ble gitt med virkning fra 1. januar 2015. Det ble gjennomføres lokale forhandlinger på B-nivå for medlemmer av Den norske legeforening som ikke fikk generelle tillegg i A 2-forhandlingene. For øvrige forbund i Akademikerne ble det gjennomført lokale forhandlinger.</w:t>
      </w:r>
    </w:p>
    <w:p w14:paraId="6C31AF4E" w14:textId="77777777" w:rsidR="006E305B" w:rsidRPr="001438F2" w:rsidRDefault="006E305B" w:rsidP="006E305B">
      <w:pPr>
        <w:pStyle w:val="figur-tittel"/>
        <w:numPr>
          <w:ilvl w:val="5"/>
          <w:numId w:val="0"/>
        </w:numPr>
        <w:spacing w:after="0" w:line="240" w:lineRule="auto"/>
        <w:rPr>
          <w:rFonts w:cs="Arial"/>
          <w:i/>
        </w:rPr>
      </w:pPr>
      <w:r w:rsidRPr="001438F2">
        <w:rPr>
          <w:rFonts w:cs="Arial"/>
        </w:rPr>
        <w:t>Tabell 1.</w:t>
      </w:r>
      <w:r>
        <w:rPr>
          <w:rFonts w:cs="Arial"/>
        </w:rPr>
        <w:t>3</w:t>
      </w:r>
      <w:r w:rsidRPr="001438F2">
        <w:rPr>
          <w:rFonts w:cs="Arial"/>
        </w:rPr>
        <w:t xml:space="preserve"> Minstelønnssatser for stillingsgrupper i Spekter-området for LO- og YS-forbundene. Ingen ansiennitet (0 år) og maksimal ansiennitet (10 år) </w:t>
      </w:r>
    </w:p>
    <w:tbl>
      <w:tblPr>
        <w:tblW w:w="5000" w:type="pct"/>
        <w:tblLook w:val="01E0" w:firstRow="1" w:lastRow="1" w:firstColumn="1" w:lastColumn="1" w:noHBand="0" w:noVBand="0"/>
      </w:tblPr>
      <w:tblGrid>
        <w:gridCol w:w="2613"/>
        <w:gridCol w:w="1072"/>
        <w:gridCol w:w="1177"/>
        <w:gridCol w:w="990"/>
        <w:gridCol w:w="1239"/>
        <w:gridCol w:w="1110"/>
        <w:gridCol w:w="1013"/>
      </w:tblGrid>
      <w:tr w:rsidR="006E305B" w:rsidRPr="003A7076" w14:paraId="110B52A9" w14:textId="77777777" w:rsidTr="000617D2">
        <w:trPr>
          <w:tblHeader/>
        </w:trPr>
        <w:tc>
          <w:tcPr>
            <w:tcW w:w="1419" w:type="pct"/>
            <w:tcBorders>
              <w:top w:val="single" w:sz="4" w:space="0" w:color="auto"/>
            </w:tcBorders>
          </w:tcPr>
          <w:p w14:paraId="491F220C" w14:textId="77777777" w:rsidR="006E305B" w:rsidRPr="003A7076" w:rsidRDefault="006E305B" w:rsidP="000617D2">
            <w:pPr>
              <w:spacing w:after="0"/>
            </w:pPr>
          </w:p>
        </w:tc>
        <w:tc>
          <w:tcPr>
            <w:tcW w:w="1755" w:type="pct"/>
            <w:gridSpan w:val="3"/>
            <w:tcBorders>
              <w:top w:val="single" w:sz="4" w:space="0" w:color="auto"/>
              <w:bottom w:val="single" w:sz="4" w:space="0" w:color="auto"/>
            </w:tcBorders>
          </w:tcPr>
          <w:p w14:paraId="4A69F09D" w14:textId="77777777" w:rsidR="006E305B" w:rsidRPr="003A7076" w:rsidRDefault="006E305B" w:rsidP="000617D2">
            <w:pPr>
              <w:spacing w:after="0"/>
              <w:jc w:val="center"/>
            </w:pPr>
            <w:r w:rsidRPr="003A7076">
              <w:t>Ansiennitet 0 år</w:t>
            </w:r>
          </w:p>
        </w:tc>
        <w:tc>
          <w:tcPr>
            <w:tcW w:w="1826" w:type="pct"/>
            <w:gridSpan w:val="3"/>
            <w:tcBorders>
              <w:top w:val="single" w:sz="4" w:space="0" w:color="auto"/>
              <w:bottom w:val="single" w:sz="4" w:space="0" w:color="auto"/>
            </w:tcBorders>
          </w:tcPr>
          <w:p w14:paraId="5D409119" w14:textId="77777777" w:rsidR="006E305B" w:rsidRPr="003A7076" w:rsidRDefault="006E305B" w:rsidP="000617D2">
            <w:pPr>
              <w:spacing w:after="0"/>
              <w:jc w:val="center"/>
            </w:pPr>
            <w:r w:rsidRPr="003A7076">
              <w:t>Ansiennitet 10 år</w:t>
            </w:r>
          </w:p>
        </w:tc>
      </w:tr>
      <w:tr w:rsidR="006E305B" w:rsidRPr="003A7076" w14:paraId="0243BA63" w14:textId="77777777" w:rsidTr="000617D2">
        <w:trPr>
          <w:tblHeader/>
        </w:trPr>
        <w:tc>
          <w:tcPr>
            <w:tcW w:w="1419" w:type="pct"/>
            <w:tcBorders>
              <w:bottom w:val="single" w:sz="4" w:space="0" w:color="auto"/>
            </w:tcBorders>
          </w:tcPr>
          <w:p w14:paraId="7A6EEA6B" w14:textId="77777777" w:rsidR="006E305B" w:rsidRPr="003A7076" w:rsidRDefault="006E305B" w:rsidP="000617D2">
            <w:pPr>
              <w:spacing w:after="0"/>
            </w:pPr>
          </w:p>
        </w:tc>
        <w:tc>
          <w:tcPr>
            <w:tcW w:w="583" w:type="pct"/>
            <w:tcBorders>
              <w:top w:val="single" w:sz="4" w:space="0" w:color="auto"/>
              <w:bottom w:val="single" w:sz="4" w:space="0" w:color="auto"/>
            </w:tcBorders>
          </w:tcPr>
          <w:p w14:paraId="0C240096" w14:textId="77777777" w:rsidR="006E305B" w:rsidRPr="003A7076" w:rsidRDefault="006E305B" w:rsidP="000617D2">
            <w:pPr>
              <w:spacing w:after="0"/>
              <w:jc w:val="right"/>
            </w:pPr>
            <w:r>
              <w:t>1. juli 2014</w:t>
            </w:r>
          </w:p>
        </w:tc>
        <w:tc>
          <w:tcPr>
            <w:tcW w:w="639" w:type="pct"/>
            <w:tcBorders>
              <w:top w:val="single" w:sz="4" w:space="0" w:color="auto"/>
              <w:bottom w:val="single" w:sz="4" w:space="0" w:color="auto"/>
            </w:tcBorders>
          </w:tcPr>
          <w:p w14:paraId="5C373BC1" w14:textId="77777777" w:rsidR="006E305B" w:rsidRPr="003A7076" w:rsidRDefault="006E305B" w:rsidP="000617D2">
            <w:pPr>
              <w:spacing w:after="0"/>
              <w:jc w:val="right"/>
            </w:pPr>
            <w:r>
              <w:t>1. august 2015</w:t>
            </w:r>
          </w:p>
        </w:tc>
        <w:tc>
          <w:tcPr>
            <w:tcW w:w="533" w:type="pct"/>
            <w:tcBorders>
              <w:top w:val="single" w:sz="4" w:space="0" w:color="auto"/>
              <w:bottom w:val="single" w:sz="4" w:space="0" w:color="auto"/>
            </w:tcBorders>
          </w:tcPr>
          <w:p w14:paraId="4DFC3CF8" w14:textId="77777777" w:rsidR="006E305B" w:rsidRPr="003A7076" w:rsidRDefault="006E305B" w:rsidP="000617D2">
            <w:pPr>
              <w:spacing w:after="0"/>
              <w:jc w:val="right"/>
            </w:pPr>
            <w:r w:rsidRPr="003A7076">
              <w:t>Endring</w:t>
            </w:r>
          </w:p>
        </w:tc>
        <w:tc>
          <w:tcPr>
            <w:tcW w:w="673" w:type="pct"/>
            <w:tcBorders>
              <w:top w:val="single" w:sz="4" w:space="0" w:color="auto"/>
              <w:bottom w:val="single" w:sz="4" w:space="0" w:color="auto"/>
            </w:tcBorders>
          </w:tcPr>
          <w:p w14:paraId="60BBD879" w14:textId="77777777" w:rsidR="006E305B" w:rsidRPr="003A7076" w:rsidRDefault="006E305B" w:rsidP="000617D2">
            <w:pPr>
              <w:spacing w:after="0"/>
              <w:jc w:val="right"/>
            </w:pPr>
            <w:r>
              <w:t>1. juli 2014</w:t>
            </w:r>
          </w:p>
        </w:tc>
        <w:tc>
          <w:tcPr>
            <w:tcW w:w="603" w:type="pct"/>
            <w:tcBorders>
              <w:top w:val="single" w:sz="4" w:space="0" w:color="auto"/>
              <w:bottom w:val="single" w:sz="4" w:space="0" w:color="auto"/>
            </w:tcBorders>
          </w:tcPr>
          <w:p w14:paraId="216C86C1" w14:textId="77777777" w:rsidR="006E305B" w:rsidRPr="003A7076" w:rsidRDefault="006E305B" w:rsidP="000617D2">
            <w:pPr>
              <w:spacing w:after="0"/>
              <w:jc w:val="right"/>
            </w:pPr>
            <w:r>
              <w:t>1. august 2015</w:t>
            </w:r>
          </w:p>
        </w:tc>
        <w:tc>
          <w:tcPr>
            <w:tcW w:w="550" w:type="pct"/>
            <w:tcBorders>
              <w:top w:val="single" w:sz="4" w:space="0" w:color="auto"/>
              <w:bottom w:val="single" w:sz="4" w:space="0" w:color="auto"/>
            </w:tcBorders>
          </w:tcPr>
          <w:p w14:paraId="5B7A6A0F" w14:textId="77777777" w:rsidR="006E305B" w:rsidRPr="003A7076" w:rsidRDefault="006E305B" w:rsidP="000617D2">
            <w:pPr>
              <w:spacing w:after="0"/>
              <w:jc w:val="right"/>
            </w:pPr>
            <w:r w:rsidRPr="003A7076">
              <w:t>Endring</w:t>
            </w:r>
          </w:p>
        </w:tc>
      </w:tr>
      <w:tr w:rsidR="006E305B" w:rsidRPr="00316648" w14:paraId="3695E03F" w14:textId="77777777" w:rsidTr="000617D2">
        <w:tc>
          <w:tcPr>
            <w:tcW w:w="1419" w:type="pct"/>
            <w:tcBorders>
              <w:top w:val="single" w:sz="4" w:space="0" w:color="auto"/>
            </w:tcBorders>
          </w:tcPr>
          <w:p w14:paraId="7B5221E2" w14:textId="77777777" w:rsidR="006E305B" w:rsidRPr="00A96192" w:rsidRDefault="006E305B" w:rsidP="000617D2">
            <w:pPr>
              <w:spacing w:after="0"/>
              <w:rPr>
                <w:szCs w:val="24"/>
              </w:rPr>
            </w:pPr>
            <w:r w:rsidRPr="00A96192">
              <w:rPr>
                <w:szCs w:val="24"/>
              </w:rPr>
              <w:t>Stillinger hvor det ikke kreves særskilt utdanning</w:t>
            </w:r>
            <w:r w:rsidRPr="00A96192">
              <w:rPr>
                <w:szCs w:val="24"/>
                <w:vertAlign w:val="superscript"/>
              </w:rPr>
              <w:t>1</w:t>
            </w:r>
          </w:p>
        </w:tc>
        <w:tc>
          <w:tcPr>
            <w:tcW w:w="583" w:type="pct"/>
            <w:tcBorders>
              <w:top w:val="single" w:sz="4" w:space="0" w:color="auto"/>
            </w:tcBorders>
            <w:vAlign w:val="bottom"/>
          </w:tcPr>
          <w:p w14:paraId="18EAC49B" w14:textId="77777777" w:rsidR="006E305B" w:rsidRPr="00316648" w:rsidRDefault="006E305B" w:rsidP="000617D2">
            <w:pPr>
              <w:spacing w:after="0"/>
              <w:jc w:val="right"/>
              <w:rPr>
                <w:sz w:val="22"/>
                <w:szCs w:val="22"/>
              </w:rPr>
            </w:pPr>
            <w:r>
              <w:rPr>
                <w:sz w:val="22"/>
                <w:szCs w:val="22"/>
              </w:rPr>
              <w:t>283 000</w:t>
            </w:r>
          </w:p>
        </w:tc>
        <w:tc>
          <w:tcPr>
            <w:tcW w:w="639" w:type="pct"/>
            <w:tcBorders>
              <w:top w:val="single" w:sz="4" w:space="0" w:color="auto"/>
            </w:tcBorders>
            <w:vAlign w:val="bottom"/>
          </w:tcPr>
          <w:p w14:paraId="01852F47" w14:textId="77777777" w:rsidR="006E305B" w:rsidRPr="00316648" w:rsidRDefault="006E305B" w:rsidP="000617D2">
            <w:pPr>
              <w:spacing w:after="0"/>
              <w:jc w:val="right"/>
              <w:rPr>
                <w:sz w:val="22"/>
                <w:szCs w:val="22"/>
              </w:rPr>
            </w:pPr>
            <w:r>
              <w:rPr>
                <w:sz w:val="22"/>
                <w:szCs w:val="22"/>
              </w:rPr>
              <w:t>285 000</w:t>
            </w:r>
          </w:p>
        </w:tc>
        <w:tc>
          <w:tcPr>
            <w:tcW w:w="533" w:type="pct"/>
            <w:tcBorders>
              <w:top w:val="single" w:sz="4" w:space="0" w:color="auto"/>
            </w:tcBorders>
            <w:vAlign w:val="bottom"/>
          </w:tcPr>
          <w:p w14:paraId="6D735669" w14:textId="77777777" w:rsidR="006E305B" w:rsidRPr="00316648" w:rsidRDefault="006E305B" w:rsidP="000617D2">
            <w:pPr>
              <w:spacing w:after="0"/>
              <w:jc w:val="right"/>
              <w:rPr>
                <w:sz w:val="22"/>
                <w:szCs w:val="22"/>
              </w:rPr>
            </w:pPr>
            <w:r>
              <w:rPr>
                <w:sz w:val="22"/>
                <w:szCs w:val="22"/>
              </w:rPr>
              <w:t>2 000</w:t>
            </w:r>
          </w:p>
        </w:tc>
        <w:tc>
          <w:tcPr>
            <w:tcW w:w="673" w:type="pct"/>
            <w:tcBorders>
              <w:top w:val="single" w:sz="4" w:space="0" w:color="auto"/>
            </w:tcBorders>
            <w:vAlign w:val="bottom"/>
          </w:tcPr>
          <w:p w14:paraId="7CC6ED02" w14:textId="77777777" w:rsidR="006E305B" w:rsidRPr="00316648" w:rsidRDefault="006E305B" w:rsidP="000617D2">
            <w:pPr>
              <w:spacing w:after="0"/>
              <w:jc w:val="right"/>
              <w:rPr>
                <w:sz w:val="22"/>
                <w:szCs w:val="22"/>
              </w:rPr>
            </w:pPr>
            <w:r>
              <w:rPr>
                <w:sz w:val="22"/>
                <w:szCs w:val="22"/>
              </w:rPr>
              <w:t>344 000</w:t>
            </w:r>
          </w:p>
        </w:tc>
        <w:tc>
          <w:tcPr>
            <w:tcW w:w="603" w:type="pct"/>
            <w:tcBorders>
              <w:top w:val="single" w:sz="4" w:space="0" w:color="auto"/>
            </w:tcBorders>
            <w:vAlign w:val="bottom"/>
          </w:tcPr>
          <w:p w14:paraId="767F5CA3" w14:textId="77777777" w:rsidR="006E305B" w:rsidRPr="00316648" w:rsidRDefault="006E305B" w:rsidP="000617D2">
            <w:pPr>
              <w:spacing w:after="0"/>
              <w:jc w:val="right"/>
              <w:rPr>
                <w:sz w:val="22"/>
                <w:szCs w:val="22"/>
              </w:rPr>
            </w:pPr>
            <w:r>
              <w:rPr>
                <w:sz w:val="22"/>
                <w:szCs w:val="22"/>
              </w:rPr>
              <w:t>346 000</w:t>
            </w:r>
          </w:p>
        </w:tc>
        <w:tc>
          <w:tcPr>
            <w:tcW w:w="550" w:type="pct"/>
            <w:tcBorders>
              <w:top w:val="single" w:sz="4" w:space="0" w:color="auto"/>
            </w:tcBorders>
            <w:vAlign w:val="bottom"/>
          </w:tcPr>
          <w:p w14:paraId="0F11BD3F" w14:textId="77777777" w:rsidR="006E305B" w:rsidRPr="00316648" w:rsidRDefault="006E305B" w:rsidP="000617D2">
            <w:pPr>
              <w:spacing w:after="0"/>
              <w:jc w:val="right"/>
              <w:rPr>
                <w:sz w:val="22"/>
                <w:szCs w:val="22"/>
              </w:rPr>
            </w:pPr>
            <w:r>
              <w:rPr>
                <w:sz w:val="22"/>
                <w:szCs w:val="22"/>
              </w:rPr>
              <w:t>2 000</w:t>
            </w:r>
          </w:p>
        </w:tc>
      </w:tr>
      <w:tr w:rsidR="006E305B" w:rsidRPr="00316648" w14:paraId="4B4E98F7" w14:textId="77777777" w:rsidTr="000617D2">
        <w:tc>
          <w:tcPr>
            <w:tcW w:w="1419" w:type="pct"/>
          </w:tcPr>
          <w:p w14:paraId="2EC899DE" w14:textId="77777777" w:rsidR="006E305B" w:rsidRPr="00A96192" w:rsidRDefault="006E305B" w:rsidP="000617D2">
            <w:pPr>
              <w:spacing w:after="0"/>
              <w:rPr>
                <w:szCs w:val="24"/>
              </w:rPr>
            </w:pPr>
            <w:r w:rsidRPr="00A96192">
              <w:rPr>
                <w:szCs w:val="24"/>
              </w:rPr>
              <w:t>Fagarbeiderstillinger</w:t>
            </w:r>
            <w:r w:rsidRPr="00A96192">
              <w:rPr>
                <w:i/>
                <w:szCs w:val="24"/>
              </w:rPr>
              <w:t>/</w:t>
            </w:r>
            <w:r w:rsidRPr="00A96192">
              <w:rPr>
                <w:i/>
                <w:szCs w:val="24"/>
              </w:rPr>
              <w:br/>
            </w:r>
            <w:r w:rsidRPr="00A96192">
              <w:rPr>
                <w:szCs w:val="24"/>
              </w:rPr>
              <w:t>3 års videregående utdanning m.m.</w:t>
            </w:r>
          </w:p>
        </w:tc>
        <w:tc>
          <w:tcPr>
            <w:tcW w:w="583" w:type="pct"/>
            <w:vAlign w:val="bottom"/>
          </w:tcPr>
          <w:p w14:paraId="60C3B057" w14:textId="77777777" w:rsidR="006E305B" w:rsidRPr="00316648" w:rsidRDefault="006E305B" w:rsidP="000617D2">
            <w:pPr>
              <w:spacing w:after="0"/>
              <w:jc w:val="right"/>
              <w:rPr>
                <w:sz w:val="22"/>
                <w:szCs w:val="22"/>
              </w:rPr>
            </w:pPr>
            <w:r>
              <w:rPr>
                <w:sz w:val="22"/>
                <w:szCs w:val="22"/>
              </w:rPr>
              <w:t>319 000</w:t>
            </w:r>
          </w:p>
        </w:tc>
        <w:tc>
          <w:tcPr>
            <w:tcW w:w="639" w:type="pct"/>
            <w:vAlign w:val="bottom"/>
          </w:tcPr>
          <w:p w14:paraId="4E50D983" w14:textId="77777777" w:rsidR="006E305B" w:rsidRPr="00316648" w:rsidRDefault="006E305B" w:rsidP="000617D2">
            <w:pPr>
              <w:spacing w:after="0"/>
              <w:jc w:val="right"/>
              <w:rPr>
                <w:sz w:val="22"/>
                <w:szCs w:val="22"/>
              </w:rPr>
            </w:pPr>
            <w:r>
              <w:rPr>
                <w:sz w:val="22"/>
                <w:szCs w:val="22"/>
              </w:rPr>
              <w:t>321 000</w:t>
            </w:r>
          </w:p>
        </w:tc>
        <w:tc>
          <w:tcPr>
            <w:tcW w:w="533" w:type="pct"/>
            <w:vAlign w:val="bottom"/>
          </w:tcPr>
          <w:p w14:paraId="0EB5639D" w14:textId="77777777" w:rsidR="006E305B" w:rsidRPr="00316648" w:rsidRDefault="006E305B" w:rsidP="000617D2">
            <w:pPr>
              <w:spacing w:after="0"/>
              <w:jc w:val="right"/>
              <w:rPr>
                <w:sz w:val="22"/>
                <w:szCs w:val="22"/>
              </w:rPr>
            </w:pPr>
            <w:r>
              <w:rPr>
                <w:sz w:val="22"/>
                <w:szCs w:val="22"/>
              </w:rPr>
              <w:t>2 000</w:t>
            </w:r>
          </w:p>
        </w:tc>
        <w:tc>
          <w:tcPr>
            <w:tcW w:w="673" w:type="pct"/>
            <w:vAlign w:val="bottom"/>
          </w:tcPr>
          <w:p w14:paraId="5FBB3C86" w14:textId="77777777" w:rsidR="006E305B" w:rsidRPr="00316648" w:rsidRDefault="006E305B" w:rsidP="000617D2">
            <w:pPr>
              <w:spacing w:after="0"/>
              <w:jc w:val="right"/>
              <w:rPr>
                <w:sz w:val="22"/>
                <w:szCs w:val="22"/>
              </w:rPr>
            </w:pPr>
            <w:r>
              <w:rPr>
                <w:sz w:val="22"/>
                <w:szCs w:val="22"/>
              </w:rPr>
              <w:t>376 000</w:t>
            </w:r>
          </w:p>
        </w:tc>
        <w:tc>
          <w:tcPr>
            <w:tcW w:w="603" w:type="pct"/>
            <w:vAlign w:val="bottom"/>
          </w:tcPr>
          <w:p w14:paraId="2D0DCD41" w14:textId="77777777" w:rsidR="006E305B" w:rsidRPr="00316648" w:rsidRDefault="006E305B" w:rsidP="000617D2">
            <w:pPr>
              <w:spacing w:after="0"/>
              <w:jc w:val="right"/>
              <w:rPr>
                <w:sz w:val="22"/>
                <w:szCs w:val="22"/>
              </w:rPr>
            </w:pPr>
            <w:r>
              <w:rPr>
                <w:sz w:val="22"/>
                <w:szCs w:val="22"/>
              </w:rPr>
              <w:t>378 000</w:t>
            </w:r>
          </w:p>
        </w:tc>
        <w:tc>
          <w:tcPr>
            <w:tcW w:w="550" w:type="pct"/>
            <w:vAlign w:val="bottom"/>
          </w:tcPr>
          <w:p w14:paraId="0587F1A9" w14:textId="77777777" w:rsidR="006E305B" w:rsidRPr="00316648" w:rsidRDefault="006E305B" w:rsidP="000617D2">
            <w:pPr>
              <w:spacing w:after="0"/>
              <w:jc w:val="right"/>
              <w:rPr>
                <w:sz w:val="22"/>
                <w:szCs w:val="22"/>
              </w:rPr>
            </w:pPr>
            <w:r>
              <w:rPr>
                <w:sz w:val="22"/>
                <w:szCs w:val="22"/>
              </w:rPr>
              <w:t>2 000</w:t>
            </w:r>
          </w:p>
        </w:tc>
      </w:tr>
      <w:tr w:rsidR="006E305B" w:rsidRPr="00316648" w14:paraId="796DF5EB" w14:textId="77777777" w:rsidTr="000617D2">
        <w:tc>
          <w:tcPr>
            <w:tcW w:w="1419" w:type="pct"/>
          </w:tcPr>
          <w:p w14:paraId="214F1AE4" w14:textId="77777777" w:rsidR="006E305B" w:rsidRPr="00A96192" w:rsidRDefault="006E305B" w:rsidP="000617D2">
            <w:pPr>
              <w:spacing w:after="0"/>
              <w:rPr>
                <w:szCs w:val="24"/>
              </w:rPr>
            </w:pPr>
            <w:r w:rsidRPr="00A96192">
              <w:rPr>
                <w:szCs w:val="24"/>
              </w:rPr>
              <w:t>Stillinger med krav om høyskoleutdanning</w:t>
            </w:r>
          </w:p>
        </w:tc>
        <w:tc>
          <w:tcPr>
            <w:tcW w:w="583" w:type="pct"/>
            <w:vAlign w:val="bottom"/>
          </w:tcPr>
          <w:p w14:paraId="72C76A87" w14:textId="77777777" w:rsidR="006E305B" w:rsidRPr="00316648" w:rsidRDefault="006E305B" w:rsidP="000617D2">
            <w:pPr>
              <w:spacing w:after="0"/>
              <w:jc w:val="right"/>
              <w:rPr>
                <w:sz w:val="22"/>
                <w:szCs w:val="22"/>
              </w:rPr>
            </w:pPr>
            <w:r>
              <w:rPr>
                <w:sz w:val="22"/>
                <w:szCs w:val="22"/>
              </w:rPr>
              <w:t>369 000</w:t>
            </w:r>
          </w:p>
        </w:tc>
        <w:tc>
          <w:tcPr>
            <w:tcW w:w="639" w:type="pct"/>
            <w:vAlign w:val="bottom"/>
          </w:tcPr>
          <w:p w14:paraId="674EA4BE" w14:textId="77777777" w:rsidR="006E305B" w:rsidRPr="00316648" w:rsidRDefault="006E305B" w:rsidP="000617D2">
            <w:pPr>
              <w:spacing w:after="0"/>
              <w:jc w:val="right"/>
              <w:rPr>
                <w:sz w:val="22"/>
                <w:szCs w:val="22"/>
              </w:rPr>
            </w:pPr>
            <w:r>
              <w:rPr>
                <w:sz w:val="22"/>
                <w:szCs w:val="22"/>
              </w:rPr>
              <w:t>371 000</w:t>
            </w:r>
          </w:p>
        </w:tc>
        <w:tc>
          <w:tcPr>
            <w:tcW w:w="533" w:type="pct"/>
            <w:vAlign w:val="bottom"/>
          </w:tcPr>
          <w:p w14:paraId="4F12F5D9" w14:textId="77777777" w:rsidR="006E305B" w:rsidRPr="00316648" w:rsidRDefault="006E305B" w:rsidP="000617D2">
            <w:pPr>
              <w:spacing w:after="0"/>
              <w:jc w:val="right"/>
              <w:rPr>
                <w:sz w:val="22"/>
                <w:szCs w:val="22"/>
              </w:rPr>
            </w:pPr>
            <w:r>
              <w:rPr>
                <w:sz w:val="22"/>
                <w:szCs w:val="22"/>
              </w:rPr>
              <w:t>2 000</w:t>
            </w:r>
          </w:p>
        </w:tc>
        <w:tc>
          <w:tcPr>
            <w:tcW w:w="673" w:type="pct"/>
            <w:vAlign w:val="bottom"/>
          </w:tcPr>
          <w:p w14:paraId="256E6418" w14:textId="77777777" w:rsidR="006E305B" w:rsidRPr="00316648" w:rsidRDefault="006E305B" w:rsidP="000617D2">
            <w:pPr>
              <w:spacing w:after="0"/>
              <w:jc w:val="right"/>
              <w:rPr>
                <w:sz w:val="22"/>
                <w:szCs w:val="22"/>
              </w:rPr>
            </w:pPr>
            <w:r>
              <w:rPr>
                <w:sz w:val="22"/>
                <w:szCs w:val="22"/>
              </w:rPr>
              <w:t>425 000</w:t>
            </w:r>
          </w:p>
        </w:tc>
        <w:tc>
          <w:tcPr>
            <w:tcW w:w="603" w:type="pct"/>
            <w:vAlign w:val="bottom"/>
          </w:tcPr>
          <w:p w14:paraId="1702B387" w14:textId="77777777" w:rsidR="006E305B" w:rsidRPr="00316648" w:rsidRDefault="006E305B" w:rsidP="000617D2">
            <w:pPr>
              <w:spacing w:after="0"/>
              <w:jc w:val="right"/>
              <w:rPr>
                <w:sz w:val="22"/>
                <w:szCs w:val="22"/>
              </w:rPr>
            </w:pPr>
            <w:r>
              <w:rPr>
                <w:sz w:val="22"/>
                <w:szCs w:val="22"/>
              </w:rPr>
              <w:t>427 000</w:t>
            </w:r>
          </w:p>
        </w:tc>
        <w:tc>
          <w:tcPr>
            <w:tcW w:w="550" w:type="pct"/>
            <w:vAlign w:val="bottom"/>
          </w:tcPr>
          <w:p w14:paraId="5DAE0E78" w14:textId="77777777" w:rsidR="006E305B" w:rsidRPr="00316648" w:rsidRDefault="006E305B" w:rsidP="000617D2">
            <w:pPr>
              <w:spacing w:after="0"/>
              <w:jc w:val="right"/>
              <w:rPr>
                <w:sz w:val="22"/>
                <w:szCs w:val="22"/>
              </w:rPr>
            </w:pPr>
            <w:r>
              <w:rPr>
                <w:sz w:val="22"/>
                <w:szCs w:val="22"/>
              </w:rPr>
              <w:t>2 000</w:t>
            </w:r>
          </w:p>
        </w:tc>
      </w:tr>
      <w:tr w:rsidR="006E305B" w:rsidRPr="00316648" w14:paraId="2BA157FA" w14:textId="77777777" w:rsidTr="000617D2">
        <w:tc>
          <w:tcPr>
            <w:tcW w:w="1419" w:type="pct"/>
            <w:tcBorders>
              <w:bottom w:val="single" w:sz="4" w:space="0" w:color="auto"/>
            </w:tcBorders>
          </w:tcPr>
          <w:p w14:paraId="0A8040E5" w14:textId="77777777" w:rsidR="006E305B" w:rsidRPr="00A96192" w:rsidRDefault="006E305B" w:rsidP="000617D2">
            <w:pPr>
              <w:spacing w:after="0"/>
              <w:rPr>
                <w:szCs w:val="24"/>
              </w:rPr>
            </w:pPr>
            <w:r w:rsidRPr="00A96192">
              <w:rPr>
                <w:szCs w:val="24"/>
              </w:rPr>
              <w:t>Stillinger med krav om høyskoleutdanning med spesialutdanning</w:t>
            </w:r>
          </w:p>
        </w:tc>
        <w:tc>
          <w:tcPr>
            <w:tcW w:w="583" w:type="pct"/>
            <w:tcBorders>
              <w:bottom w:val="single" w:sz="4" w:space="0" w:color="auto"/>
            </w:tcBorders>
            <w:vAlign w:val="bottom"/>
          </w:tcPr>
          <w:p w14:paraId="754642DE" w14:textId="77777777" w:rsidR="006E305B" w:rsidRPr="00316648" w:rsidRDefault="006E305B" w:rsidP="000617D2">
            <w:pPr>
              <w:spacing w:after="0"/>
              <w:jc w:val="right"/>
              <w:rPr>
                <w:sz w:val="22"/>
                <w:szCs w:val="22"/>
              </w:rPr>
            </w:pPr>
            <w:r>
              <w:rPr>
                <w:sz w:val="22"/>
                <w:szCs w:val="22"/>
              </w:rPr>
              <w:t>396 000</w:t>
            </w:r>
          </w:p>
        </w:tc>
        <w:tc>
          <w:tcPr>
            <w:tcW w:w="639" w:type="pct"/>
            <w:tcBorders>
              <w:bottom w:val="single" w:sz="4" w:space="0" w:color="auto"/>
            </w:tcBorders>
            <w:vAlign w:val="bottom"/>
          </w:tcPr>
          <w:p w14:paraId="238028E6" w14:textId="77777777" w:rsidR="006E305B" w:rsidRPr="00316648" w:rsidRDefault="006E305B" w:rsidP="000617D2">
            <w:pPr>
              <w:spacing w:after="0"/>
              <w:jc w:val="right"/>
              <w:rPr>
                <w:sz w:val="22"/>
                <w:szCs w:val="22"/>
              </w:rPr>
            </w:pPr>
            <w:r>
              <w:rPr>
                <w:sz w:val="22"/>
                <w:szCs w:val="22"/>
              </w:rPr>
              <w:t>400 000</w:t>
            </w:r>
          </w:p>
        </w:tc>
        <w:tc>
          <w:tcPr>
            <w:tcW w:w="533" w:type="pct"/>
            <w:tcBorders>
              <w:bottom w:val="single" w:sz="4" w:space="0" w:color="auto"/>
            </w:tcBorders>
            <w:vAlign w:val="bottom"/>
          </w:tcPr>
          <w:p w14:paraId="06ADC8EA" w14:textId="77777777" w:rsidR="006E305B" w:rsidRPr="00316648" w:rsidRDefault="006E305B" w:rsidP="000617D2">
            <w:pPr>
              <w:spacing w:after="0"/>
              <w:jc w:val="right"/>
              <w:rPr>
                <w:sz w:val="22"/>
                <w:szCs w:val="22"/>
              </w:rPr>
            </w:pPr>
            <w:r>
              <w:rPr>
                <w:sz w:val="22"/>
                <w:szCs w:val="22"/>
              </w:rPr>
              <w:t>4 000</w:t>
            </w:r>
          </w:p>
        </w:tc>
        <w:tc>
          <w:tcPr>
            <w:tcW w:w="673" w:type="pct"/>
            <w:tcBorders>
              <w:bottom w:val="single" w:sz="4" w:space="0" w:color="auto"/>
            </w:tcBorders>
            <w:vAlign w:val="bottom"/>
          </w:tcPr>
          <w:p w14:paraId="540165D0" w14:textId="77777777" w:rsidR="006E305B" w:rsidRPr="00316648" w:rsidRDefault="006E305B" w:rsidP="000617D2">
            <w:pPr>
              <w:spacing w:after="0"/>
              <w:jc w:val="right"/>
              <w:rPr>
                <w:sz w:val="22"/>
                <w:szCs w:val="22"/>
              </w:rPr>
            </w:pPr>
            <w:r>
              <w:rPr>
                <w:sz w:val="22"/>
                <w:szCs w:val="22"/>
              </w:rPr>
              <w:t>465 000</w:t>
            </w:r>
          </w:p>
        </w:tc>
        <w:tc>
          <w:tcPr>
            <w:tcW w:w="603" w:type="pct"/>
            <w:tcBorders>
              <w:bottom w:val="single" w:sz="4" w:space="0" w:color="auto"/>
            </w:tcBorders>
            <w:vAlign w:val="bottom"/>
          </w:tcPr>
          <w:p w14:paraId="54ABCE3A" w14:textId="77777777" w:rsidR="006E305B" w:rsidRPr="00316648" w:rsidRDefault="006E305B" w:rsidP="000617D2">
            <w:pPr>
              <w:spacing w:after="0"/>
              <w:jc w:val="right"/>
              <w:rPr>
                <w:sz w:val="22"/>
                <w:szCs w:val="22"/>
              </w:rPr>
            </w:pPr>
            <w:r>
              <w:rPr>
                <w:sz w:val="22"/>
                <w:szCs w:val="22"/>
              </w:rPr>
              <w:t>469 000</w:t>
            </w:r>
          </w:p>
        </w:tc>
        <w:tc>
          <w:tcPr>
            <w:tcW w:w="550" w:type="pct"/>
            <w:tcBorders>
              <w:bottom w:val="single" w:sz="4" w:space="0" w:color="auto"/>
            </w:tcBorders>
            <w:vAlign w:val="bottom"/>
          </w:tcPr>
          <w:p w14:paraId="5E1375F6" w14:textId="77777777" w:rsidR="006E305B" w:rsidRPr="00316648" w:rsidRDefault="006E305B" w:rsidP="000617D2">
            <w:pPr>
              <w:spacing w:after="0"/>
              <w:jc w:val="right"/>
              <w:rPr>
                <w:sz w:val="22"/>
                <w:szCs w:val="22"/>
              </w:rPr>
            </w:pPr>
            <w:r>
              <w:rPr>
                <w:sz w:val="22"/>
                <w:szCs w:val="22"/>
              </w:rPr>
              <w:t>4 000</w:t>
            </w:r>
          </w:p>
        </w:tc>
      </w:tr>
    </w:tbl>
    <w:p w14:paraId="67B8E417" w14:textId="594F899B" w:rsidR="006E305B" w:rsidRPr="00B27524" w:rsidRDefault="006E305B" w:rsidP="006E305B">
      <w:r>
        <w:rPr>
          <w:vertAlign w:val="superscript"/>
        </w:rPr>
        <w:t>1</w:t>
      </w:r>
      <w:r w:rsidRPr="00725914">
        <w:t xml:space="preserve">Etter 20 års ansiennitet </w:t>
      </w:r>
      <w:r>
        <w:t>var</w:t>
      </w:r>
      <w:r w:rsidRPr="00725914">
        <w:t xml:space="preserve"> </w:t>
      </w:r>
      <w:r w:rsidR="001A66B9" w:rsidRPr="00725914">
        <w:t>minstelønnssatsen</w:t>
      </w:r>
      <w:r w:rsidRPr="00725914">
        <w:t xml:space="preserve"> </w:t>
      </w:r>
      <w:r>
        <w:t>fra 1. juli 2014 kr 364 000. Fra 1. august 2015 er den økt til kr 366 000 og til kr 373 000 fra 1. januar 2016.</w:t>
      </w:r>
    </w:p>
    <w:p w14:paraId="3B133121" w14:textId="77777777" w:rsidR="006E305B" w:rsidRDefault="006E305B" w:rsidP="006E305B">
      <w:pPr>
        <w:pStyle w:val="tabell-tit"/>
        <w:spacing w:after="0"/>
        <w:rPr>
          <w:rFonts w:ascii="Arial" w:hAnsi="Arial" w:cs="Arial"/>
          <w:i w:val="0"/>
        </w:rPr>
      </w:pPr>
    </w:p>
    <w:p w14:paraId="6A50929B" w14:textId="77777777" w:rsidR="006E305B" w:rsidRPr="001438F2" w:rsidRDefault="006E305B" w:rsidP="006E305B">
      <w:pPr>
        <w:pStyle w:val="tabell-tit"/>
        <w:spacing w:after="0"/>
        <w:rPr>
          <w:rFonts w:ascii="Arial" w:hAnsi="Arial" w:cs="Arial"/>
          <w:i w:val="0"/>
        </w:rPr>
      </w:pPr>
      <w:r w:rsidRPr="001438F2">
        <w:rPr>
          <w:rFonts w:ascii="Arial" w:hAnsi="Arial" w:cs="Arial"/>
          <w:i w:val="0"/>
        </w:rPr>
        <w:t>Tabell 1.</w:t>
      </w:r>
      <w:r>
        <w:rPr>
          <w:rFonts w:ascii="Arial" w:hAnsi="Arial" w:cs="Arial"/>
          <w:i w:val="0"/>
        </w:rPr>
        <w:t>4</w:t>
      </w:r>
      <w:r w:rsidRPr="001438F2">
        <w:rPr>
          <w:rFonts w:ascii="Arial" w:hAnsi="Arial" w:cs="Arial"/>
          <w:i w:val="0"/>
        </w:rPr>
        <w:t xml:space="preserve"> Minstelønnssatser for stillingsgrupper i Spekter-området for Unios medlemsforbund. Ingen ansiennitet (0 år) og maksimal ansiennitet (10 år) </w:t>
      </w:r>
    </w:p>
    <w:tbl>
      <w:tblPr>
        <w:tblW w:w="5000" w:type="pct"/>
        <w:tblLook w:val="01E0" w:firstRow="1" w:lastRow="1" w:firstColumn="1" w:lastColumn="1" w:noHBand="0" w:noVBand="0"/>
      </w:tblPr>
      <w:tblGrid>
        <w:gridCol w:w="2412"/>
        <w:gridCol w:w="1146"/>
        <w:gridCol w:w="1243"/>
        <w:gridCol w:w="1116"/>
        <w:gridCol w:w="1118"/>
        <w:gridCol w:w="1189"/>
        <w:gridCol w:w="990"/>
      </w:tblGrid>
      <w:tr w:rsidR="006E305B" w:rsidRPr="003E7C47" w14:paraId="17F88C27" w14:textId="77777777" w:rsidTr="000617D2">
        <w:tc>
          <w:tcPr>
            <w:tcW w:w="1310" w:type="pct"/>
            <w:tcBorders>
              <w:top w:val="single" w:sz="4" w:space="0" w:color="auto"/>
            </w:tcBorders>
          </w:tcPr>
          <w:p w14:paraId="3015396C" w14:textId="77777777" w:rsidR="006E305B" w:rsidRPr="003E7C47" w:rsidRDefault="006E305B" w:rsidP="000617D2">
            <w:pPr>
              <w:spacing w:after="0"/>
            </w:pPr>
          </w:p>
        </w:tc>
        <w:tc>
          <w:tcPr>
            <w:tcW w:w="1904" w:type="pct"/>
            <w:gridSpan w:val="3"/>
            <w:tcBorders>
              <w:top w:val="single" w:sz="4" w:space="0" w:color="auto"/>
              <w:bottom w:val="single" w:sz="4" w:space="0" w:color="auto"/>
            </w:tcBorders>
            <w:vAlign w:val="bottom"/>
          </w:tcPr>
          <w:p w14:paraId="3948BA67" w14:textId="77777777" w:rsidR="006E305B" w:rsidRPr="003E7C47" w:rsidRDefault="006E305B" w:rsidP="000617D2">
            <w:pPr>
              <w:spacing w:after="0"/>
              <w:jc w:val="center"/>
            </w:pPr>
            <w:r w:rsidRPr="003E7C47">
              <w:t>Ansiennitet 0 år</w:t>
            </w:r>
          </w:p>
        </w:tc>
        <w:tc>
          <w:tcPr>
            <w:tcW w:w="1786" w:type="pct"/>
            <w:gridSpan w:val="3"/>
            <w:tcBorders>
              <w:top w:val="single" w:sz="4" w:space="0" w:color="auto"/>
              <w:bottom w:val="single" w:sz="4" w:space="0" w:color="auto"/>
            </w:tcBorders>
            <w:vAlign w:val="bottom"/>
          </w:tcPr>
          <w:p w14:paraId="3623D6E9" w14:textId="77777777" w:rsidR="006E305B" w:rsidRPr="003E7C47" w:rsidRDefault="006E305B" w:rsidP="000617D2">
            <w:pPr>
              <w:spacing w:after="0"/>
              <w:jc w:val="center"/>
            </w:pPr>
            <w:r w:rsidRPr="003E7C47">
              <w:t>Ansiennitet 10 år</w:t>
            </w:r>
          </w:p>
        </w:tc>
      </w:tr>
      <w:tr w:rsidR="006E305B" w:rsidRPr="003E7C47" w14:paraId="650FAEB2" w14:textId="77777777" w:rsidTr="000617D2">
        <w:trPr>
          <w:trHeight w:val="543"/>
        </w:trPr>
        <w:tc>
          <w:tcPr>
            <w:tcW w:w="1310" w:type="pct"/>
            <w:tcBorders>
              <w:bottom w:val="single" w:sz="4" w:space="0" w:color="auto"/>
            </w:tcBorders>
          </w:tcPr>
          <w:p w14:paraId="35257009" w14:textId="77777777" w:rsidR="006E305B" w:rsidRPr="003E7C47" w:rsidRDefault="006E305B" w:rsidP="000617D2">
            <w:pPr>
              <w:spacing w:after="0"/>
            </w:pPr>
          </w:p>
        </w:tc>
        <w:tc>
          <w:tcPr>
            <w:tcW w:w="623" w:type="pct"/>
            <w:tcBorders>
              <w:top w:val="single" w:sz="4" w:space="0" w:color="auto"/>
              <w:bottom w:val="single" w:sz="4" w:space="0" w:color="auto"/>
            </w:tcBorders>
            <w:vAlign w:val="bottom"/>
          </w:tcPr>
          <w:p w14:paraId="7847E820" w14:textId="77777777" w:rsidR="006E305B" w:rsidRPr="003E7C47" w:rsidRDefault="006E305B" w:rsidP="000617D2">
            <w:pPr>
              <w:spacing w:after="0"/>
              <w:jc w:val="right"/>
            </w:pPr>
            <w:r>
              <w:t>1. juli 2014</w:t>
            </w:r>
          </w:p>
        </w:tc>
        <w:tc>
          <w:tcPr>
            <w:tcW w:w="675" w:type="pct"/>
            <w:tcBorders>
              <w:top w:val="single" w:sz="4" w:space="0" w:color="auto"/>
              <w:bottom w:val="single" w:sz="4" w:space="0" w:color="auto"/>
            </w:tcBorders>
            <w:vAlign w:val="bottom"/>
          </w:tcPr>
          <w:p w14:paraId="79A1122D" w14:textId="77777777" w:rsidR="006E305B" w:rsidRPr="003E7C47" w:rsidRDefault="006E305B" w:rsidP="000617D2">
            <w:pPr>
              <w:spacing w:after="0"/>
              <w:jc w:val="right"/>
            </w:pPr>
            <w:r>
              <w:t>1. mai 2015</w:t>
            </w:r>
          </w:p>
        </w:tc>
        <w:tc>
          <w:tcPr>
            <w:tcW w:w="606" w:type="pct"/>
            <w:tcBorders>
              <w:bottom w:val="single" w:sz="4" w:space="0" w:color="auto"/>
            </w:tcBorders>
            <w:vAlign w:val="bottom"/>
          </w:tcPr>
          <w:p w14:paraId="3343409C" w14:textId="77777777" w:rsidR="006E305B" w:rsidRPr="003E7C47" w:rsidRDefault="006E305B" w:rsidP="000617D2">
            <w:pPr>
              <w:spacing w:after="0"/>
            </w:pPr>
          </w:p>
          <w:p w14:paraId="361268AE" w14:textId="77777777" w:rsidR="006E305B" w:rsidRPr="003E7C47" w:rsidRDefault="006E305B" w:rsidP="000617D2">
            <w:pPr>
              <w:spacing w:after="0"/>
              <w:jc w:val="right"/>
            </w:pPr>
            <w:r w:rsidRPr="003E7C47">
              <w:t>Endring</w:t>
            </w:r>
          </w:p>
        </w:tc>
        <w:tc>
          <w:tcPr>
            <w:tcW w:w="607" w:type="pct"/>
            <w:tcBorders>
              <w:top w:val="single" w:sz="4" w:space="0" w:color="auto"/>
              <w:bottom w:val="single" w:sz="4" w:space="0" w:color="auto"/>
            </w:tcBorders>
            <w:vAlign w:val="bottom"/>
          </w:tcPr>
          <w:p w14:paraId="7B46A40A" w14:textId="77777777" w:rsidR="006E305B" w:rsidRPr="003E7C47" w:rsidRDefault="006E305B" w:rsidP="000617D2">
            <w:pPr>
              <w:spacing w:after="0"/>
              <w:jc w:val="right"/>
            </w:pPr>
            <w:r>
              <w:t>1. juli 2014</w:t>
            </w:r>
          </w:p>
        </w:tc>
        <w:tc>
          <w:tcPr>
            <w:tcW w:w="646" w:type="pct"/>
            <w:tcBorders>
              <w:top w:val="single" w:sz="4" w:space="0" w:color="auto"/>
              <w:bottom w:val="single" w:sz="4" w:space="0" w:color="auto"/>
            </w:tcBorders>
            <w:vAlign w:val="bottom"/>
          </w:tcPr>
          <w:p w14:paraId="601002C0" w14:textId="77777777" w:rsidR="006E305B" w:rsidRPr="003E7C47" w:rsidRDefault="006E305B" w:rsidP="000617D2">
            <w:pPr>
              <w:spacing w:after="0"/>
              <w:jc w:val="right"/>
            </w:pPr>
            <w:r>
              <w:t>1. mai 2015</w:t>
            </w:r>
          </w:p>
        </w:tc>
        <w:tc>
          <w:tcPr>
            <w:tcW w:w="533" w:type="pct"/>
            <w:tcBorders>
              <w:bottom w:val="single" w:sz="4" w:space="0" w:color="auto"/>
            </w:tcBorders>
            <w:vAlign w:val="bottom"/>
          </w:tcPr>
          <w:p w14:paraId="614667F9" w14:textId="77777777" w:rsidR="006E305B" w:rsidRPr="003E7C47" w:rsidRDefault="006E305B" w:rsidP="000617D2">
            <w:pPr>
              <w:spacing w:after="0"/>
              <w:jc w:val="right"/>
            </w:pPr>
            <w:r w:rsidRPr="003E7C47">
              <w:t>Endring</w:t>
            </w:r>
          </w:p>
        </w:tc>
      </w:tr>
      <w:tr w:rsidR="006E305B" w:rsidRPr="003E7C47" w14:paraId="07D8B718" w14:textId="77777777" w:rsidTr="000617D2">
        <w:tc>
          <w:tcPr>
            <w:tcW w:w="1310" w:type="pct"/>
            <w:tcBorders>
              <w:top w:val="single" w:sz="4" w:space="0" w:color="auto"/>
            </w:tcBorders>
          </w:tcPr>
          <w:p w14:paraId="25ADCA71" w14:textId="77777777" w:rsidR="006E305B" w:rsidRPr="003E7C47" w:rsidRDefault="006E305B" w:rsidP="000617D2">
            <w:pPr>
              <w:spacing w:after="0"/>
            </w:pPr>
            <w:r w:rsidRPr="003E7C47">
              <w:t>Grunnstillinger</w:t>
            </w:r>
          </w:p>
        </w:tc>
        <w:tc>
          <w:tcPr>
            <w:tcW w:w="623" w:type="pct"/>
            <w:tcBorders>
              <w:top w:val="single" w:sz="4" w:space="0" w:color="auto"/>
            </w:tcBorders>
            <w:vAlign w:val="bottom"/>
          </w:tcPr>
          <w:p w14:paraId="173C1A7C" w14:textId="77777777" w:rsidR="006E305B" w:rsidRPr="00774D1C" w:rsidRDefault="006E305B" w:rsidP="000617D2">
            <w:pPr>
              <w:spacing w:after="0"/>
              <w:jc w:val="right"/>
              <w:rPr>
                <w:sz w:val="22"/>
                <w:szCs w:val="22"/>
              </w:rPr>
            </w:pPr>
            <w:r w:rsidRPr="00774D1C">
              <w:rPr>
                <w:sz w:val="22"/>
                <w:szCs w:val="22"/>
              </w:rPr>
              <w:t>369 000</w:t>
            </w:r>
          </w:p>
        </w:tc>
        <w:tc>
          <w:tcPr>
            <w:tcW w:w="675" w:type="pct"/>
            <w:tcBorders>
              <w:top w:val="single" w:sz="4" w:space="0" w:color="auto"/>
            </w:tcBorders>
            <w:vAlign w:val="bottom"/>
          </w:tcPr>
          <w:p w14:paraId="77D0BAD2" w14:textId="77777777" w:rsidR="006E305B" w:rsidRPr="00774D1C" w:rsidRDefault="006E305B" w:rsidP="000617D2">
            <w:pPr>
              <w:spacing w:after="0"/>
              <w:jc w:val="right"/>
              <w:rPr>
                <w:sz w:val="22"/>
                <w:szCs w:val="22"/>
              </w:rPr>
            </w:pPr>
            <w:r w:rsidRPr="00774D1C">
              <w:rPr>
                <w:sz w:val="22"/>
                <w:szCs w:val="22"/>
              </w:rPr>
              <w:t>371 000</w:t>
            </w:r>
          </w:p>
        </w:tc>
        <w:tc>
          <w:tcPr>
            <w:tcW w:w="606" w:type="pct"/>
            <w:tcBorders>
              <w:top w:val="single" w:sz="4" w:space="0" w:color="auto"/>
            </w:tcBorders>
            <w:vAlign w:val="bottom"/>
          </w:tcPr>
          <w:p w14:paraId="1D9BF7D6" w14:textId="77777777" w:rsidR="006E305B" w:rsidRPr="00774D1C" w:rsidRDefault="006E305B" w:rsidP="000617D2">
            <w:pPr>
              <w:spacing w:after="0"/>
              <w:jc w:val="right"/>
              <w:rPr>
                <w:sz w:val="22"/>
                <w:szCs w:val="22"/>
              </w:rPr>
            </w:pPr>
            <w:r w:rsidRPr="00774D1C">
              <w:rPr>
                <w:sz w:val="22"/>
                <w:szCs w:val="22"/>
              </w:rPr>
              <w:t>2 000</w:t>
            </w:r>
          </w:p>
        </w:tc>
        <w:tc>
          <w:tcPr>
            <w:tcW w:w="607" w:type="pct"/>
            <w:tcBorders>
              <w:top w:val="single" w:sz="4" w:space="0" w:color="auto"/>
            </w:tcBorders>
            <w:vAlign w:val="bottom"/>
          </w:tcPr>
          <w:p w14:paraId="037F95CD" w14:textId="77777777" w:rsidR="006E305B" w:rsidRPr="00774D1C" w:rsidRDefault="006E305B" w:rsidP="000617D2">
            <w:pPr>
              <w:spacing w:after="0"/>
              <w:jc w:val="right"/>
              <w:rPr>
                <w:sz w:val="22"/>
                <w:szCs w:val="22"/>
              </w:rPr>
            </w:pPr>
            <w:r w:rsidRPr="00774D1C">
              <w:rPr>
                <w:sz w:val="22"/>
                <w:szCs w:val="22"/>
              </w:rPr>
              <w:t>425 000</w:t>
            </w:r>
          </w:p>
        </w:tc>
        <w:tc>
          <w:tcPr>
            <w:tcW w:w="646" w:type="pct"/>
            <w:tcBorders>
              <w:top w:val="single" w:sz="4" w:space="0" w:color="auto"/>
            </w:tcBorders>
            <w:vAlign w:val="bottom"/>
          </w:tcPr>
          <w:p w14:paraId="50A290C5" w14:textId="77777777" w:rsidR="006E305B" w:rsidRPr="00774D1C" w:rsidRDefault="006E305B" w:rsidP="000617D2">
            <w:pPr>
              <w:spacing w:after="0"/>
              <w:jc w:val="right"/>
              <w:rPr>
                <w:sz w:val="22"/>
                <w:szCs w:val="22"/>
              </w:rPr>
            </w:pPr>
            <w:r w:rsidRPr="00774D1C">
              <w:rPr>
                <w:sz w:val="22"/>
                <w:szCs w:val="22"/>
              </w:rPr>
              <w:t>427 000</w:t>
            </w:r>
          </w:p>
        </w:tc>
        <w:tc>
          <w:tcPr>
            <w:tcW w:w="533" w:type="pct"/>
            <w:tcBorders>
              <w:top w:val="single" w:sz="4" w:space="0" w:color="auto"/>
            </w:tcBorders>
            <w:vAlign w:val="bottom"/>
          </w:tcPr>
          <w:p w14:paraId="0798B15B" w14:textId="77777777" w:rsidR="006E305B" w:rsidRPr="00774D1C" w:rsidRDefault="006E305B" w:rsidP="000617D2">
            <w:pPr>
              <w:spacing w:after="0"/>
              <w:jc w:val="right"/>
              <w:rPr>
                <w:sz w:val="22"/>
                <w:szCs w:val="22"/>
              </w:rPr>
            </w:pPr>
            <w:r w:rsidRPr="00774D1C">
              <w:rPr>
                <w:sz w:val="22"/>
                <w:szCs w:val="22"/>
              </w:rPr>
              <w:t>2 000</w:t>
            </w:r>
          </w:p>
        </w:tc>
      </w:tr>
      <w:tr w:rsidR="006E305B" w:rsidRPr="003E7C47" w14:paraId="71572AE6" w14:textId="77777777" w:rsidTr="000617D2">
        <w:tc>
          <w:tcPr>
            <w:tcW w:w="1310" w:type="pct"/>
            <w:tcBorders>
              <w:bottom w:val="single" w:sz="4" w:space="0" w:color="auto"/>
            </w:tcBorders>
          </w:tcPr>
          <w:p w14:paraId="1FF4CEB1" w14:textId="77777777" w:rsidR="006E305B" w:rsidRPr="003E7C47" w:rsidRDefault="006E305B" w:rsidP="000617D2">
            <w:pPr>
              <w:spacing w:after="0"/>
            </w:pPr>
            <w:r w:rsidRPr="003E7C47">
              <w:t>Stillinger med spesialkompetanse</w:t>
            </w:r>
          </w:p>
        </w:tc>
        <w:tc>
          <w:tcPr>
            <w:tcW w:w="623" w:type="pct"/>
            <w:tcBorders>
              <w:bottom w:val="single" w:sz="4" w:space="0" w:color="auto"/>
            </w:tcBorders>
            <w:vAlign w:val="bottom"/>
          </w:tcPr>
          <w:p w14:paraId="0DAA0DE8" w14:textId="77777777" w:rsidR="006E305B" w:rsidRPr="00774D1C" w:rsidRDefault="006E305B" w:rsidP="000617D2">
            <w:pPr>
              <w:spacing w:after="0"/>
              <w:jc w:val="right"/>
              <w:rPr>
                <w:sz w:val="22"/>
                <w:szCs w:val="22"/>
              </w:rPr>
            </w:pPr>
            <w:r w:rsidRPr="00774D1C">
              <w:rPr>
                <w:sz w:val="22"/>
                <w:szCs w:val="22"/>
              </w:rPr>
              <w:t>396 000</w:t>
            </w:r>
          </w:p>
        </w:tc>
        <w:tc>
          <w:tcPr>
            <w:tcW w:w="675" w:type="pct"/>
            <w:tcBorders>
              <w:bottom w:val="single" w:sz="4" w:space="0" w:color="auto"/>
            </w:tcBorders>
            <w:vAlign w:val="bottom"/>
          </w:tcPr>
          <w:p w14:paraId="4FE43A33" w14:textId="77777777" w:rsidR="006E305B" w:rsidRPr="00774D1C" w:rsidRDefault="006E305B" w:rsidP="000617D2">
            <w:pPr>
              <w:spacing w:after="0"/>
              <w:jc w:val="right"/>
              <w:rPr>
                <w:sz w:val="22"/>
                <w:szCs w:val="22"/>
              </w:rPr>
            </w:pPr>
            <w:r w:rsidRPr="00774D1C">
              <w:rPr>
                <w:sz w:val="22"/>
                <w:szCs w:val="22"/>
              </w:rPr>
              <w:t>400 000</w:t>
            </w:r>
          </w:p>
        </w:tc>
        <w:tc>
          <w:tcPr>
            <w:tcW w:w="606" w:type="pct"/>
            <w:tcBorders>
              <w:bottom w:val="single" w:sz="4" w:space="0" w:color="auto"/>
            </w:tcBorders>
            <w:vAlign w:val="bottom"/>
          </w:tcPr>
          <w:p w14:paraId="019983DC" w14:textId="77777777" w:rsidR="006E305B" w:rsidRPr="00774D1C" w:rsidRDefault="006E305B" w:rsidP="000617D2">
            <w:pPr>
              <w:spacing w:after="0"/>
              <w:jc w:val="right"/>
              <w:rPr>
                <w:sz w:val="22"/>
                <w:szCs w:val="22"/>
              </w:rPr>
            </w:pPr>
            <w:r w:rsidRPr="00774D1C">
              <w:rPr>
                <w:sz w:val="22"/>
                <w:szCs w:val="22"/>
              </w:rPr>
              <w:t>4 000</w:t>
            </w:r>
          </w:p>
        </w:tc>
        <w:tc>
          <w:tcPr>
            <w:tcW w:w="607" w:type="pct"/>
            <w:tcBorders>
              <w:bottom w:val="single" w:sz="4" w:space="0" w:color="auto"/>
            </w:tcBorders>
            <w:vAlign w:val="bottom"/>
          </w:tcPr>
          <w:p w14:paraId="79642D6A" w14:textId="77777777" w:rsidR="006E305B" w:rsidRPr="00774D1C" w:rsidRDefault="006E305B" w:rsidP="000617D2">
            <w:pPr>
              <w:spacing w:after="0"/>
              <w:jc w:val="right"/>
              <w:rPr>
                <w:sz w:val="22"/>
                <w:szCs w:val="22"/>
              </w:rPr>
            </w:pPr>
            <w:r w:rsidRPr="00774D1C">
              <w:rPr>
                <w:sz w:val="22"/>
                <w:szCs w:val="22"/>
              </w:rPr>
              <w:t>465 000</w:t>
            </w:r>
          </w:p>
        </w:tc>
        <w:tc>
          <w:tcPr>
            <w:tcW w:w="646" w:type="pct"/>
            <w:tcBorders>
              <w:bottom w:val="single" w:sz="4" w:space="0" w:color="auto"/>
            </w:tcBorders>
            <w:vAlign w:val="bottom"/>
          </w:tcPr>
          <w:p w14:paraId="132F38F1" w14:textId="77777777" w:rsidR="006E305B" w:rsidRPr="00774D1C" w:rsidRDefault="006E305B" w:rsidP="000617D2">
            <w:pPr>
              <w:spacing w:after="0"/>
              <w:jc w:val="right"/>
              <w:rPr>
                <w:sz w:val="22"/>
                <w:szCs w:val="22"/>
              </w:rPr>
            </w:pPr>
            <w:r w:rsidRPr="00774D1C">
              <w:rPr>
                <w:sz w:val="22"/>
                <w:szCs w:val="22"/>
              </w:rPr>
              <w:t>469 000</w:t>
            </w:r>
          </w:p>
        </w:tc>
        <w:tc>
          <w:tcPr>
            <w:tcW w:w="533" w:type="pct"/>
            <w:tcBorders>
              <w:bottom w:val="single" w:sz="4" w:space="0" w:color="auto"/>
            </w:tcBorders>
            <w:vAlign w:val="bottom"/>
          </w:tcPr>
          <w:p w14:paraId="15A8371E" w14:textId="77777777" w:rsidR="006E305B" w:rsidRPr="00774D1C" w:rsidRDefault="006E305B" w:rsidP="000617D2">
            <w:pPr>
              <w:spacing w:after="0"/>
              <w:jc w:val="right"/>
              <w:rPr>
                <w:sz w:val="22"/>
                <w:szCs w:val="22"/>
              </w:rPr>
            </w:pPr>
            <w:r w:rsidRPr="00774D1C">
              <w:rPr>
                <w:sz w:val="22"/>
                <w:szCs w:val="22"/>
              </w:rPr>
              <w:t>4 000</w:t>
            </w:r>
          </w:p>
        </w:tc>
      </w:tr>
    </w:tbl>
    <w:p w14:paraId="3815B1D1" w14:textId="77777777" w:rsidR="006E305B" w:rsidRDefault="006E305B" w:rsidP="006E305B">
      <w:pPr>
        <w:pStyle w:val="tabell-noter"/>
        <w:spacing w:after="0"/>
        <w:ind w:left="720"/>
      </w:pPr>
      <w:r>
        <w:t xml:space="preserve"> </w:t>
      </w:r>
      <w:r w:rsidRPr="00E25CAE">
        <w:t xml:space="preserve">  </w:t>
      </w:r>
      <w:r>
        <w:br/>
      </w:r>
    </w:p>
    <w:p w14:paraId="335366EF" w14:textId="77777777" w:rsidR="006E305B" w:rsidRDefault="006E305B" w:rsidP="006E305B">
      <w:pPr>
        <w:pStyle w:val="Overskrift2"/>
      </w:pPr>
      <w:bookmarkStart w:id="263" w:name="_Toc256681357"/>
      <w:bookmarkStart w:id="264" w:name="_Toc256684374"/>
      <w:bookmarkStart w:id="265" w:name="_Toc257118277"/>
      <w:bookmarkStart w:id="266" w:name="_Toc257201077"/>
      <w:bookmarkStart w:id="267" w:name="_Toc257462266"/>
      <w:bookmarkStart w:id="268" w:name="_Toc264463028"/>
      <w:bookmarkStart w:id="269" w:name="_Toc264645452"/>
      <w:bookmarkStart w:id="270" w:name="_Toc286073411"/>
      <w:bookmarkStart w:id="271" w:name="_Toc286074035"/>
      <w:bookmarkStart w:id="272" w:name="_Toc286075055"/>
      <w:bookmarkStart w:id="273" w:name="_Toc286075304"/>
      <w:bookmarkStart w:id="274" w:name="_Toc358202907"/>
      <w:bookmarkStart w:id="275" w:name="_Toc359263579"/>
      <w:bookmarkStart w:id="276" w:name="_Toc422226840"/>
      <w:r w:rsidRPr="00143EF3">
        <w:t>Konflikter i 201</w:t>
      </w:r>
      <w:r>
        <w:t>5</w:t>
      </w:r>
      <w:r w:rsidRPr="00143EF3">
        <w:t>-oppgjøret</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143EF3">
        <w:t xml:space="preserve"> </w:t>
      </w:r>
    </w:p>
    <w:p w14:paraId="21A0A7A8" w14:textId="1B2FA1E3" w:rsidR="006E305B" w:rsidRDefault="00A96192" w:rsidP="006E305B">
      <w:r>
        <w:t xml:space="preserve">Meklingen mellom </w:t>
      </w:r>
      <w:r>
        <w:rPr>
          <w:i/>
          <w:iCs/>
        </w:rPr>
        <w:t>Norsk Cockpitforbund og NHO Luftfart om opprettelse av avtale for piloter i SAS</w:t>
      </w:r>
      <w:r>
        <w:t xml:space="preserve"> førte ikke til enighet. Seks piloter ble tatt ut i streik fra 21. mai, deretter seks nye den 22. mai, og ytterligere syv fra den 24. mai. Den 27. mai ble meklingen gjenopptatt og den 28. </w:t>
      </w:r>
      <w:r w:rsidR="00E05A3C">
        <w:t xml:space="preserve">mai </w:t>
      </w:r>
      <w:r>
        <w:t xml:space="preserve">la </w:t>
      </w:r>
      <w:r>
        <w:rPr>
          <w:rFonts w:ascii="Times New Roman" w:hAnsi="Times New Roman"/>
        </w:rPr>
        <w:t>Riksmekleren fram forslag til løsning. Arbeidsgiversiden aksepterte forslaget og det er senere også godkjent av arbeidstakersiden.</w:t>
      </w:r>
      <w:r w:rsidR="006E305B" w:rsidRPr="00264436">
        <w:t xml:space="preserve"> </w:t>
      </w:r>
    </w:p>
    <w:p w14:paraId="2B4CA0CA" w14:textId="77777777" w:rsidR="006E305B" w:rsidRDefault="006E305B" w:rsidP="006E305B">
      <w:pPr>
        <w:spacing w:after="0"/>
      </w:pPr>
      <w:r>
        <w:br w:type="page"/>
      </w:r>
    </w:p>
    <w:p w14:paraId="35C1272C" w14:textId="77777777" w:rsidR="006E305B" w:rsidRPr="00020344" w:rsidRDefault="006E305B" w:rsidP="006E305B">
      <w:pPr>
        <w:rPr>
          <w:b/>
          <w:sz w:val="28"/>
          <w:szCs w:val="28"/>
        </w:rPr>
      </w:pPr>
      <w:r w:rsidRPr="00020344">
        <w:rPr>
          <w:b/>
          <w:sz w:val="28"/>
          <w:szCs w:val="28"/>
        </w:rPr>
        <w:t>Undervedlegg 1</w:t>
      </w:r>
    </w:p>
    <w:p w14:paraId="4E0888E4" w14:textId="77777777" w:rsidR="006E305B" w:rsidRDefault="006E305B" w:rsidP="006E305B"/>
    <w:p w14:paraId="38787EBA" w14:textId="77777777" w:rsidR="006E305B" w:rsidRDefault="006E305B" w:rsidP="006E305B">
      <w:pPr>
        <w:rPr>
          <w:b/>
        </w:rPr>
      </w:pPr>
      <w:r w:rsidRPr="00D4244F">
        <w:rPr>
          <w:b/>
        </w:rPr>
        <w:t>Brev fra LO og NHO til statsminister Erna Solberg</w:t>
      </w:r>
    </w:p>
    <w:p w14:paraId="01A26EA1" w14:textId="77777777" w:rsidR="006E305B" w:rsidRDefault="006E305B" w:rsidP="006E305B">
      <w:pPr>
        <w:spacing w:before="81"/>
        <w:ind w:left="140"/>
        <w:rPr>
          <w:rFonts w:ascii="Arial" w:eastAsia="Arial" w:hAnsi="Arial" w:cs="Arial"/>
        </w:rPr>
      </w:pPr>
    </w:p>
    <w:p w14:paraId="4F7ACDC9" w14:textId="77777777" w:rsidR="006E305B" w:rsidRPr="00B7375C" w:rsidRDefault="006E305B" w:rsidP="006E305B">
      <w:pPr>
        <w:spacing w:after="0"/>
      </w:pPr>
      <w:r w:rsidRPr="00B7375C">
        <w:t xml:space="preserve">Statsminister Erna Solberg </w:t>
      </w:r>
      <w:r>
        <w:br/>
      </w:r>
      <w:r w:rsidRPr="00B7375C">
        <w:t xml:space="preserve">Statsministerens kontor </w:t>
      </w:r>
      <w:r>
        <w:br/>
      </w:r>
      <w:r w:rsidRPr="00B7375C">
        <w:t>Postboks 8001 Dep</w:t>
      </w:r>
    </w:p>
    <w:p w14:paraId="353573CF" w14:textId="77777777" w:rsidR="006E305B" w:rsidRPr="00B7375C" w:rsidRDefault="006E305B" w:rsidP="006E305B">
      <w:r w:rsidRPr="00B7375C">
        <w:t>0030 Oslo</w:t>
      </w:r>
      <w:r w:rsidRPr="00B7375C">
        <w:tab/>
      </w:r>
      <w:r>
        <w:tab/>
      </w:r>
      <w:r>
        <w:tab/>
      </w:r>
      <w:r>
        <w:tab/>
      </w:r>
      <w:r>
        <w:tab/>
      </w:r>
      <w:r>
        <w:tab/>
      </w:r>
      <w:r>
        <w:tab/>
      </w:r>
      <w:r>
        <w:tab/>
      </w:r>
      <w:r w:rsidRPr="00B7375C">
        <w:t>Oslo, 26. mars 2015</w:t>
      </w:r>
    </w:p>
    <w:p w14:paraId="5EA89EB2" w14:textId="77777777" w:rsidR="006E305B" w:rsidRPr="00B7375C" w:rsidRDefault="006E305B" w:rsidP="006E305B"/>
    <w:p w14:paraId="05DCEBFC" w14:textId="77777777" w:rsidR="006E305B" w:rsidRPr="00B7375C" w:rsidRDefault="006E305B" w:rsidP="006E305B">
      <w:r w:rsidRPr="00B7375C">
        <w:t>LO og NHO har ved mellomoppgjøret lagt vekt på å tilpasse lønnsutviklingen til en ny makroøkonomisk situasjon for Norge. Gjennom dette gir partene et viktig bidrag til å sikre arbeidsplasser og bedriftenes økonomi. Det øker myndighetenes spillerom for egen tiltaksinnsats som fremmer kompetanse og bærekraft i næringslivet.</w:t>
      </w:r>
    </w:p>
    <w:p w14:paraId="0755C372" w14:textId="77777777" w:rsidR="006E305B" w:rsidRPr="00B7375C" w:rsidRDefault="006E305B" w:rsidP="006E305B">
      <w:r w:rsidRPr="00B7375C">
        <w:t>Lav oljepris har ført til at utsiktene er særlig svake for oljerelaterte deler av næringslivet. Men det drar med seg svakere vekst også i andre næringer. Perioden med svakere aktivitetsvekst bør brukes til kompetanseheving, for å gjøre arbeidstakere og bedrifter bedre rustet til omstillinger og styrke deres posisjon i det framtidige arbeids- og næringsliv. Det bør legges til rette for økt bruk av bedriftsintern opplæring (</w:t>
      </w:r>
      <w:r>
        <w:t>BIO</w:t>
      </w:r>
      <w:r w:rsidRPr="00B7375C">
        <w:t>), jfr. gode erfaringer med det i forbindelse med finanskrisen. Målgruppen og innholdet i arbeidsmarkedspolitikkens utdanningstiltak bør også utvides.</w:t>
      </w:r>
    </w:p>
    <w:p w14:paraId="003795EE" w14:textId="77777777" w:rsidR="006E305B" w:rsidRPr="00B7375C" w:rsidRDefault="006E305B" w:rsidP="006E305B">
      <w:r w:rsidRPr="00B7375C">
        <w:t>Permittering er en mulighet for å hjelpe bedrifter og ansatte i en kritisk fase ved markedssvikt. Målet er ikke å sementere en næringsstruktur som ikke har livets rett, men å hindre at en kortvarig svikt fører til unødvendige nedleggelser og oppsigelser.</w:t>
      </w:r>
    </w:p>
    <w:p w14:paraId="6F7F70B3" w14:textId="77777777" w:rsidR="006E305B" w:rsidRPr="00B7375C" w:rsidRDefault="006E305B" w:rsidP="006E305B">
      <w:r w:rsidRPr="00B7375C">
        <w:t>NHO og LO erkjenner at et regelverk som åpner for omfattende og langvarig permitteringer vil kunne gi negative effekter. Partene mener dog at dagens regelverk er langt unna det nivået.</w:t>
      </w:r>
    </w:p>
    <w:p w14:paraId="07136770" w14:textId="540BBB09" w:rsidR="006E305B" w:rsidRPr="00B7375C" w:rsidRDefault="006E305B" w:rsidP="006E305B">
      <w:r>
        <w:rPr>
          <w:noProof/>
        </w:rPr>
        <mc:AlternateContent>
          <mc:Choice Requires="wpg">
            <w:drawing>
              <wp:anchor distT="0" distB="0" distL="114300" distR="114300" simplePos="0" relativeHeight="251673600" behindDoc="0" locked="0" layoutInCell="1" allowOverlap="1" wp14:anchorId="462BBB4A" wp14:editId="4504610B">
                <wp:simplePos x="0" y="0"/>
                <wp:positionH relativeFrom="page">
                  <wp:posOffset>7463155</wp:posOffset>
                </wp:positionH>
                <wp:positionV relativeFrom="paragraph">
                  <wp:posOffset>231775</wp:posOffset>
                </wp:positionV>
                <wp:extent cx="1270" cy="3663950"/>
                <wp:effectExtent l="14605" t="16510" r="12700" b="15240"/>
                <wp:wrapNone/>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63950"/>
                          <a:chOff x="11753" y="365"/>
                          <a:chExt cx="2" cy="5770"/>
                        </a:xfrm>
                      </wpg:grpSpPr>
                      <wps:wsp>
                        <wps:cNvPr id="5" name="Freeform 5"/>
                        <wps:cNvSpPr>
                          <a:spLocks/>
                        </wps:cNvSpPr>
                        <wps:spPr bwMode="auto">
                          <a:xfrm>
                            <a:off x="11753" y="365"/>
                            <a:ext cx="2" cy="5770"/>
                          </a:xfrm>
                          <a:custGeom>
                            <a:avLst/>
                            <a:gdLst>
                              <a:gd name="T0" fmla="+- 0 6134 365"/>
                              <a:gd name="T1" fmla="*/ 6134 h 5770"/>
                              <a:gd name="T2" fmla="+- 0 365 365"/>
                              <a:gd name="T3" fmla="*/ 365 h 5770"/>
                            </a:gdLst>
                            <a:ahLst/>
                            <a:cxnLst>
                              <a:cxn ang="0">
                                <a:pos x="0" y="T1"/>
                              </a:cxn>
                              <a:cxn ang="0">
                                <a:pos x="0" y="T3"/>
                              </a:cxn>
                            </a:cxnLst>
                            <a:rect l="0" t="0" r="r" b="b"/>
                            <a:pathLst>
                              <a:path h="5770">
                                <a:moveTo>
                                  <a:pt x="0" y="5769"/>
                                </a:moveTo>
                                <a:lnTo>
                                  <a:pt x="0" y="0"/>
                                </a:lnTo>
                              </a:path>
                            </a:pathLst>
                          </a:custGeom>
                          <a:noFill/>
                          <a:ln w="22733">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A6C0B" id="Gruppe 2" o:spid="_x0000_s1026" style="position:absolute;margin-left:587.65pt;margin-top:18.25pt;width:.1pt;height:288.5pt;z-index:251673600;mso-position-horizontal-relative:page" coordorigin="11753,365" coordsize="2,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">
                <v:shape id="Freeform 5" o:spid="_x0000_s1027" style="position:absolute;left:11753;top:365;width:2;height:5770;visibility:visible;mso-wrap-style:square;v-text-anchor:top" coordsize="2,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hKMAA&#10;AADaAAAADwAAAGRycy9kb3ducmV2LnhtbESPS6vCMBSE9xf8D+EI7q6pchWtRtELPsCVD3B7aI5N&#10;sTkpTdT6740guBxm5htmOm9sKe5U+8Kxgl43AUGcOV1wruB0XP2OQPiArLF0TAqe5GE+a/1MMdXu&#10;wXu6H0IuIoR9igpMCFUqpc8MWfRdVxFH7+JqiyHKOpe6xkeE21L2k2QoLRYcFwxW9G8oux5uVsHY&#10;7IO+yeVaLy87t8hWZ/+HG6U67WYxARGoCd/wp73VCgbwvhJv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zhKMAAAADaAAAADwAAAAAAAAAAAAAAAACYAgAAZHJzL2Rvd25y&#10;ZXYueG1sUEsFBgAAAAAEAAQA9QAAAIUDAAAAAA==&#10;" path="m,5769l,e" filled="f" strokecolor="#d8d8d8" strokeweight="1.79pt">
                  <v:path arrowok="t" o:connecttype="custom" o:connectlocs="0,6134;0,365" o:connectangles="0,0"/>
                </v:shape>
                <w10:wrap anchorx="page"/>
              </v:group>
            </w:pict>
          </mc:Fallback>
        </mc:AlternateContent>
      </w:r>
      <w:r w:rsidRPr="00B7375C">
        <w:t>For stort omfang av oppsigelser og større utskiftning av arbeidskraft kan medføre lavere produktivitetsvekst.  Hensynet til at bedriftene kan miste nødvendig kompetanse som vanskelig lar seg erstatte når produksjonen igjen tar seg opp er viktig. For de ansatte vil det bety inntektssikring og tryggere rammer, særlig dersom alternativet er oppsigelse.</w:t>
      </w:r>
    </w:p>
    <w:p w14:paraId="0E73DE7A" w14:textId="77777777" w:rsidR="006E305B" w:rsidRDefault="006E305B" w:rsidP="006E305B">
      <w:r w:rsidRPr="00B7375C">
        <w:t>LO og NHO ber om at Regjeringen endrer loven om dagpenger under permittering gjennom at bedriftene får redusert antall dager med lønnsplikt og at dagpengeperioden økes.</w:t>
      </w:r>
      <w:r>
        <w:t xml:space="preserve"> </w:t>
      </w:r>
      <w:r w:rsidRPr="00B7375C">
        <w:t>Permitteringsperioden bør så langt som mulig brukes til kompetanseheving.</w:t>
      </w:r>
    </w:p>
    <w:p w14:paraId="0E2A96EF" w14:textId="77777777" w:rsidR="006E305B" w:rsidRDefault="006E305B" w:rsidP="006E305B">
      <w:pPr>
        <w:spacing w:before="6"/>
        <w:rPr>
          <w:rFonts w:ascii="Times New Roman" w:eastAsia="Times New Roman" w:hAnsi="Times New Roman"/>
          <w:sz w:val="18"/>
          <w:szCs w:val="18"/>
        </w:rPr>
      </w:pPr>
    </w:p>
    <w:p w14:paraId="12ED1389" w14:textId="77777777" w:rsidR="006E305B" w:rsidRPr="001A77D7" w:rsidRDefault="006E305B" w:rsidP="006E305B">
      <w:pPr>
        <w:spacing w:before="73"/>
        <w:ind w:left="126"/>
        <w:rPr>
          <w:rFonts w:ascii="Times New Roman" w:eastAsia="Arial" w:hAnsi="Times New Roman"/>
          <w:szCs w:val="24"/>
        </w:rPr>
      </w:pPr>
      <w:r w:rsidRPr="001A77D7">
        <w:rPr>
          <w:rFonts w:ascii="Times New Roman" w:hAnsi="Times New Roman"/>
          <w:color w:val="3F3F3F"/>
          <w:w w:val="105"/>
          <w:szCs w:val="24"/>
        </w:rPr>
        <w:t>Venn</w:t>
      </w:r>
      <w:r w:rsidRPr="001A77D7">
        <w:rPr>
          <w:rFonts w:ascii="Times New Roman" w:hAnsi="Times New Roman"/>
          <w:color w:val="3F3F3F"/>
          <w:spacing w:val="14"/>
          <w:w w:val="105"/>
          <w:szCs w:val="24"/>
        </w:rPr>
        <w:t>l</w:t>
      </w:r>
      <w:r w:rsidRPr="001A77D7">
        <w:rPr>
          <w:rFonts w:ascii="Times New Roman" w:hAnsi="Times New Roman"/>
          <w:color w:val="3F3F3F"/>
          <w:spacing w:val="-20"/>
          <w:w w:val="105"/>
          <w:szCs w:val="24"/>
        </w:rPr>
        <w:t>i</w:t>
      </w:r>
      <w:r w:rsidRPr="001A77D7">
        <w:rPr>
          <w:rFonts w:ascii="Times New Roman" w:hAnsi="Times New Roman"/>
          <w:color w:val="3F3F3F"/>
          <w:w w:val="105"/>
          <w:szCs w:val="24"/>
        </w:rPr>
        <w:t>g</w:t>
      </w:r>
      <w:r w:rsidRPr="001A77D7">
        <w:rPr>
          <w:rFonts w:ascii="Times New Roman" w:hAnsi="Times New Roman"/>
          <w:color w:val="3F3F3F"/>
          <w:spacing w:val="5"/>
          <w:w w:val="105"/>
          <w:szCs w:val="24"/>
        </w:rPr>
        <w:t xml:space="preserve"> </w:t>
      </w:r>
      <w:r w:rsidRPr="001A77D7">
        <w:rPr>
          <w:rFonts w:ascii="Times New Roman" w:hAnsi="Times New Roman"/>
          <w:color w:val="3F3F3F"/>
          <w:w w:val="105"/>
          <w:szCs w:val="24"/>
        </w:rPr>
        <w:t>h</w:t>
      </w:r>
      <w:r w:rsidRPr="001A77D7">
        <w:rPr>
          <w:rFonts w:ascii="Times New Roman" w:hAnsi="Times New Roman"/>
          <w:color w:val="3F3F3F"/>
          <w:spacing w:val="-8"/>
          <w:w w:val="105"/>
          <w:szCs w:val="24"/>
        </w:rPr>
        <w:t>i</w:t>
      </w:r>
      <w:r w:rsidRPr="001A77D7">
        <w:rPr>
          <w:rFonts w:ascii="Times New Roman" w:hAnsi="Times New Roman"/>
          <w:color w:val="3F3F3F"/>
          <w:spacing w:val="-19"/>
          <w:w w:val="105"/>
          <w:szCs w:val="24"/>
        </w:rPr>
        <w:t>l</w:t>
      </w:r>
      <w:r w:rsidRPr="001A77D7">
        <w:rPr>
          <w:rFonts w:ascii="Times New Roman" w:hAnsi="Times New Roman"/>
          <w:color w:val="3F3F3F"/>
          <w:w w:val="105"/>
          <w:szCs w:val="24"/>
        </w:rPr>
        <w:t>sen</w:t>
      </w:r>
    </w:p>
    <w:p w14:paraId="2C1337E7" w14:textId="77777777" w:rsidR="006E305B" w:rsidRDefault="006E305B" w:rsidP="006E305B">
      <w:pPr>
        <w:spacing w:line="200" w:lineRule="atLeast"/>
        <w:ind w:left="104"/>
        <w:rPr>
          <w:rFonts w:ascii="Arial" w:eastAsia="Arial" w:hAnsi="Arial" w:cs="Arial"/>
          <w:sz w:val="20"/>
        </w:rPr>
      </w:pPr>
      <w:r>
        <w:rPr>
          <w:rFonts w:ascii="Arial" w:eastAsia="Arial" w:hAnsi="Arial" w:cs="Arial"/>
          <w:noProof/>
          <w:sz w:val="20"/>
        </w:rPr>
        <w:drawing>
          <wp:inline distT="0" distB="0" distL="0" distR="0" wp14:anchorId="3CBB8215" wp14:editId="007A46A9">
            <wp:extent cx="1014984" cy="356616"/>
            <wp:effectExtent l="0" t="0" r="0" b="0"/>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9" cstate="print"/>
                    <a:stretch>
                      <a:fillRect/>
                    </a:stretch>
                  </pic:blipFill>
                  <pic:spPr>
                    <a:xfrm>
                      <a:off x="0" y="0"/>
                      <a:ext cx="1014984" cy="356616"/>
                    </a:xfrm>
                    <a:prstGeom prst="rect">
                      <a:avLst/>
                    </a:prstGeom>
                  </pic:spPr>
                </pic:pic>
              </a:graphicData>
            </a:graphic>
          </wp:inline>
        </w:drawing>
      </w:r>
    </w:p>
    <w:p w14:paraId="7854572E" w14:textId="77777777" w:rsidR="006E305B" w:rsidRPr="006C7BA3" w:rsidRDefault="006E305B" w:rsidP="006E305B">
      <w:pPr>
        <w:spacing w:before="81"/>
        <w:ind w:left="140"/>
      </w:pPr>
      <w:r>
        <w:rPr>
          <w:rFonts w:asciiTheme="minorHAnsi" w:eastAsiaTheme="minorHAnsi" w:hAnsiTheme="minorHAnsi" w:cstheme="minorBidi"/>
          <w:noProof/>
        </w:rPr>
        <w:drawing>
          <wp:anchor distT="0" distB="0" distL="114300" distR="114300" simplePos="0" relativeHeight="251672576" behindDoc="0" locked="0" layoutInCell="1" allowOverlap="1" wp14:anchorId="6DF56B80" wp14:editId="7B2A10D9">
            <wp:simplePos x="0" y="0"/>
            <wp:positionH relativeFrom="page">
              <wp:posOffset>4389120</wp:posOffset>
            </wp:positionH>
            <wp:positionV relativeFrom="paragraph">
              <wp:posOffset>-421005</wp:posOffset>
            </wp:positionV>
            <wp:extent cx="2464435" cy="640080"/>
            <wp:effectExtent l="19050" t="0" r="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2464435" cy="640080"/>
                    </a:xfrm>
                    <a:prstGeom prst="rect">
                      <a:avLst/>
                    </a:prstGeom>
                    <a:noFill/>
                  </pic:spPr>
                </pic:pic>
              </a:graphicData>
            </a:graphic>
          </wp:anchor>
        </w:drawing>
      </w:r>
      <w:r>
        <w:rPr>
          <w:rFonts w:ascii="Arial"/>
          <w:color w:val="3F3F3F"/>
          <w:w w:val="95"/>
          <w:sz w:val="21"/>
        </w:rPr>
        <w:t>Kristin</w:t>
      </w:r>
      <w:r>
        <w:rPr>
          <w:rFonts w:ascii="Arial"/>
          <w:color w:val="3F3F3F"/>
          <w:spacing w:val="-4"/>
          <w:w w:val="95"/>
          <w:sz w:val="21"/>
        </w:rPr>
        <w:t xml:space="preserve"> </w:t>
      </w:r>
      <w:r>
        <w:rPr>
          <w:rFonts w:ascii="Arial"/>
          <w:color w:val="3F3F3F"/>
          <w:w w:val="95"/>
          <w:sz w:val="21"/>
        </w:rPr>
        <w:t>Skogen</w:t>
      </w:r>
      <w:r>
        <w:rPr>
          <w:rFonts w:ascii="Arial"/>
          <w:color w:val="3F3F3F"/>
          <w:spacing w:val="13"/>
          <w:w w:val="95"/>
          <w:sz w:val="21"/>
        </w:rPr>
        <w:t xml:space="preserve"> </w:t>
      </w:r>
      <w:r w:rsidRPr="006C7BA3">
        <w:rPr>
          <w:rFonts w:ascii="Arial" w:hAnsi="Arial" w:cs="Arial"/>
          <w:sz w:val="21"/>
          <w:szCs w:val="21"/>
        </w:rPr>
        <w:t>Lund</w:t>
      </w:r>
    </w:p>
    <w:p w14:paraId="56A17DBD" w14:textId="77777777" w:rsidR="006E305B" w:rsidRDefault="006E305B" w:rsidP="006E305B">
      <w:pPr>
        <w:spacing w:after="0"/>
        <w:rPr>
          <w:rFonts w:ascii="Arial" w:eastAsia="Arial" w:hAnsi="Arial" w:cs="Arial"/>
        </w:rPr>
      </w:pPr>
      <w:r>
        <w:rPr>
          <w:rFonts w:ascii="Arial" w:eastAsia="Arial" w:hAnsi="Arial" w:cs="Arial"/>
        </w:rPr>
        <w:br w:type="page"/>
      </w:r>
    </w:p>
    <w:p w14:paraId="0C61A995" w14:textId="77777777" w:rsidR="006E305B" w:rsidRDefault="006E305B" w:rsidP="006E305B">
      <w:pPr>
        <w:spacing w:before="81"/>
        <w:rPr>
          <w:rFonts w:ascii="Times New Roman" w:eastAsia="Arial" w:hAnsi="Times New Roman"/>
          <w:b/>
        </w:rPr>
      </w:pPr>
      <w:r w:rsidRPr="007A1F1A">
        <w:rPr>
          <w:rFonts w:ascii="Times New Roman" w:eastAsia="Arial" w:hAnsi="Times New Roman"/>
          <w:b/>
        </w:rPr>
        <w:t>Svarbrev fra statsminister Erna Solberg til LO og NHO</w:t>
      </w:r>
    </w:p>
    <w:p w14:paraId="19B37E84" w14:textId="77777777" w:rsidR="006E305B" w:rsidRPr="007A1F1A" w:rsidRDefault="006E305B" w:rsidP="006E305B">
      <w:pPr>
        <w:spacing w:before="81"/>
        <w:rPr>
          <w:rFonts w:ascii="Times New Roman" w:eastAsia="Arial" w:hAnsi="Times New Roman"/>
          <w:b/>
        </w:rPr>
      </w:pPr>
    </w:p>
    <w:p w14:paraId="16094913" w14:textId="77777777" w:rsidR="006E305B" w:rsidRPr="00D815A1" w:rsidRDefault="006E305B" w:rsidP="006E305B">
      <w:pPr>
        <w:pStyle w:val="Brdtekst"/>
      </w:pPr>
      <w:r w:rsidRPr="00D815A1">
        <w:rPr>
          <w:color w:val="3A3B36"/>
          <w:spacing w:val="-10"/>
        </w:rPr>
        <w:t>L</w:t>
      </w:r>
      <w:r w:rsidRPr="00D815A1">
        <w:rPr>
          <w:color w:val="3A3B36"/>
          <w:spacing w:val="-9"/>
        </w:rPr>
        <w:t>O</w:t>
      </w:r>
    </w:p>
    <w:p w14:paraId="7D451D70" w14:textId="77777777" w:rsidR="006E305B" w:rsidRPr="00D815A1" w:rsidRDefault="006E305B" w:rsidP="006E305B">
      <w:pPr>
        <w:pStyle w:val="Brdtekst"/>
        <w:spacing w:before="19"/>
      </w:pPr>
      <w:r w:rsidRPr="00D815A1">
        <w:rPr>
          <w:color w:val="3A3B36"/>
          <w:spacing w:val="-2"/>
          <w:w w:val="105"/>
        </w:rPr>
        <w:t>v/leder</w:t>
      </w:r>
      <w:r w:rsidRPr="00D815A1">
        <w:rPr>
          <w:color w:val="3A3B36"/>
          <w:spacing w:val="22"/>
          <w:w w:val="105"/>
        </w:rPr>
        <w:t xml:space="preserve"> </w:t>
      </w:r>
      <w:r w:rsidRPr="00D815A1">
        <w:rPr>
          <w:color w:val="3A3B36"/>
          <w:w w:val="105"/>
        </w:rPr>
        <w:t>Gerd</w:t>
      </w:r>
      <w:r w:rsidRPr="00D815A1">
        <w:rPr>
          <w:color w:val="3A3B36"/>
          <w:spacing w:val="21"/>
          <w:w w:val="105"/>
        </w:rPr>
        <w:t xml:space="preserve"> </w:t>
      </w:r>
      <w:r w:rsidRPr="00D815A1">
        <w:rPr>
          <w:color w:val="3A3B36"/>
          <w:spacing w:val="-2"/>
          <w:w w:val="105"/>
        </w:rPr>
        <w:t>Kri</w:t>
      </w:r>
      <w:r w:rsidRPr="00D815A1">
        <w:rPr>
          <w:color w:val="1F1F1C"/>
          <w:spacing w:val="-1"/>
          <w:w w:val="105"/>
        </w:rPr>
        <w:t>s</w:t>
      </w:r>
      <w:r w:rsidRPr="00D815A1">
        <w:rPr>
          <w:color w:val="3A3B36"/>
          <w:spacing w:val="-1"/>
          <w:w w:val="105"/>
        </w:rPr>
        <w:t>tiansen</w:t>
      </w:r>
      <w:r>
        <w:rPr>
          <w:color w:val="3A3B36"/>
          <w:spacing w:val="-1"/>
          <w:w w:val="105"/>
        </w:rPr>
        <w:tab/>
      </w:r>
      <w:r>
        <w:rPr>
          <w:color w:val="3A3B36"/>
          <w:spacing w:val="-1"/>
          <w:w w:val="105"/>
        </w:rPr>
        <w:tab/>
      </w:r>
      <w:r>
        <w:rPr>
          <w:color w:val="3A3B36"/>
          <w:spacing w:val="-1"/>
          <w:w w:val="105"/>
        </w:rPr>
        <w:tab/>
      </w:r>
      <w:r>
        <w:rPr>
          <w:color w:val="3A3B36"/>
          <w:spacing w:val="-1"/>
          <w:w w:val="105"/>
        </w:rPr>
        <w:tab/>
      </w:r>
      <w:r>
        <w:rPr>
          <w:color w:val="3A3B36"/>
          <w:spacing w:val="-1"/>
          <w:w w:val="105"/>
        </w:rPr>
        <w:tab/>
      </w:r>
      <w:r>
        <w:rPr>
          <w:color w:val="3A3B36"/>
          <w:spacing w:val="-1"/>
          <w:w w:val="105"/>
        </w:rPr>
        <w:tab/>
        <w:t>Oslo, 27. mars 2015</w:t>
      </w:r>
    </w:p>
    <w:p w14:paraId="5F875316" w14:textId="77777777" w:rsidR="006E305B" w:rsidRPr="00D815A1" w:rsidRDefault="006E305B" w:rsidP="006E305B">
      <w:pPr>
        <w:pStyle w:val="Brdtekst"/>
        <w:spacing w:before="67"/>
      </w:pPr>
      <w:r w:rsidRPr="00D815A1">
        <w:rPr>
          <w:color w:val="3A3B36"/>
        </w:rPr>
        <w:t>NHO</w:t>
      </w:r>
    </w:p>
    <w:p w14:paraId="658B6781" w14:textId="77777777" w:rsidR="006E305B" w:rsidRPr="00D815A1" w:rsidRDefault="006E305B" w:rsidP="006E305B">
      <w:pPr>
        <w:pStyle w:val="Brdtekst"/>
        <w:spacing w:before="19"/>
      </w:pPr>
      <w:r w:rsidRPr="00D815A1">
        <w:rPr>
          <w:color w:val="3A3B36"/>
          <w:spacing w:val="-3"/>
          <w:w w:val="105"/>
        </w:rPr>
        <w:t>v</w:t>
      </w:r>
      <w:r w:rsidRPr="00D815A1">
        <w:rPr>
          <w:color w:val="3A3B36"/>
          <w:spacing w:val="-2"/>
          <w:w w:val="105"/>
        </w:rPr>
        <w:t>/leder</w:t>
      </w:r>
      <w:r w:rsidRPr="00D815A1">
        <w:rPr>
          <w:color w:val="3A3B36"/>
          <w:spacing w:val="-7"/>
          <w:w w:val="105"/>
        </w:rPr>
        <w:t xml:space="preserve"> </w:t>
      </w:r>
      <w:r w:rsidRPr="00D815A1">
        <w:rPr>
          <w:color w:val="3A3B36"/>
          <w:w w:val="105"/>
        </w:rPr>
        <w:t>Kristin</w:t>
      </w:r>
      <w:r w:rsidRPr="00D815A1">
        <w:rPr>
          <w:color w:val="3A3B36"/>
          <w:spacing w:val="-10"/>
          <w:w w:val="105"/>
        </w:rPr>
        <w:t xml:space="preserve"> </w:t>
      </w:r>
      <w:r w:rsidRPr="00D815A1">
        <w:rPr>
          <w:color w:val="3A3B36"/>
          <w:w w:val="105"/>
        </w:rPr>
        <w:t>Skogen</w:t>
      </w:r>
      <w:r w:rsidRPr="00D815A1">
        <w:rPr>
          <w:color w:val="3A3B36"/>
          <w:spacing w:val="-13"/>
          <w:w w:val="105"/>
        </w:rPr>
        <w:t xml:space="preserve"> </w:t>
      </w:r>
      <w:r w:rsidRPr="00D815A1">
        <w:rPr>
          <w:color w:val="3A3B36"/>
          <w:w w:val="105"/>
        </w:rPr>
        <w:t>Lund</w:t>
      </w:r>
    </w:p>
    <w:p w14:paraId="300EAB03" w14:textId="77777777" w:rsidR="006E305B" w:rsidRPr="00D815A1" w:rsidRDefault="006E305B" w:rsidP="006E305B">
      <w:pPr>
        <w:rPr>
          <w:rFonts w:ascii="Times New Roman" w:eastAsia="Times New Roman" w:hAnsi="Times New Roman"/>
          <w:szCs w:val="24"/>
        </w:rPr>
      </w:pPr>
    </w:p>
    <w:p w14:paraId="3DC36230" w14:textId="77777777" w:rsidR="006E305B" w:rsidRPr="00D815A1" w:rsidRDefault="006E305B" w:rsidP="006E305B">
      <w:pPr>
        <w:spacing w:after="0"/>
      </w:pPr>
      <w:r w:rsidRPr="00D815A1">
        <w:t>Jeg viser til felles brev fra leder i LO og leder i NHO, datert 26. mars 2015.</w:t>
      </w:r>
      <w:r>
        <w:br/>
      </w:r>
    </w:p>
    <w:p w14:paraId="0B9AABF3" w14:textId="77777777" w:rsidR="006E305B" w:rsidRPr="00D815A1" w:rsidRDefault="006E305B" w:rsidP="006E305B">
      <w:pPr>
        <w:spacing w:after="0"/>
      </w:pPr>
      <w:r w:rsidRPr="00D815A1">
        <w:t>Jeg er glad for at LO og NHO har kommet fram til et lønnsoppgjør som er godt tilpasset de utfordringer som norsk økonomi nå står overfor.</w:t>
      </w:r>
      <w:r>
        <w:br/>
      </w:r>
    </w:p>
    <w:p w14:paraId="47C33AF4" w14:textId="0D62498D" w:rsidR="006E305B" w:rsidRPr="006C7BA3" w:rsidRDefault="006E305B" w:rsidP="006E305B">
      <w:pPr>
        <w:spacing w:after="0"/>
      </w:pPr>
      <w:r w:rsidRPr="00D815A1">
        <w:t xml:space="preserve">I årene framover må vi være forberedt på lavere etterspørsel fra </w:t>
      </w:r>
      <w:r w:rsidR="001A66B9" w:rsidRPr="00D815A1">
        <w:t>oljevirksomheten</w:t>
      </w:r>
      <w:r w:rsidRPr="00D815A1">
        <w:t xml:space="preserve">. Fallet I oljeprisen siden i fjor sommer kan framskynde og forsterke denne utviklingen. Mange bedrifter må vende seg mot nye markeder. En fortsatt høy sysselsetting og verdiskaping krever dermed omstillinger og strukturelle endringer i norsk økonomi. Disse utfordringene sto sentralt også </w:t>
      </w:r>
      <w:r>
        <w:t>i</w:t>
      </w:r>
      <w:r w:rsidRPr="00D815A1">
        <w:t xml:space="preserve"> rapporten fra det partssammensatte Holden IIl­ utvalget, som ble lagt frem i</w:t>
      </w:r>
      <w:r>
        <w:t xml:space="preserve"> </w:t>
      </w:r>
      <w:r w:rsidRPr="00D815A1">
        <w:t xml:space="preserve">desember 2013. En moderat lønnsvekst og økt produktivitet, sammen med svekkelsen vi har sett i kronekursen de siste par årene, er den beste hjelpen vi kan få </w:t>
      </w:r>
      <w:r>
        <w:t xml:space="preserve">i </w:t>
      </w:r>
      <w:r w:rsidRPr="00D815A1">
        <w:t>møte med disse utfordringene. Regjeringen legger for sin del stor vekt på politikktiltak som støtter opp under en produktiv og vekstkraftig økonomi.</w:t>
      </w:r>
      <w:r>
        <w:br/>
      </w:r>
      <w:r>
        <w:br/>
      </w:r>
      <w:r w:rsidRPr="006C7BA3">
        <w:t xml:space="preserve">Det er ingen krise i arbeidsmarkedet, selv om det gradvis har blitt mindre stramt i løpet av de siste to årene. Sysselsettingen har fortsatt å vokse i et mer avdempet tempo enn tidligere. Den registrerte arbeidsledigheten har så langt i år holdt seg på om lag samme nivå som i fjor. Det er likevel store strukturelle forskjeller i utviklingen. Ledigheten har økt mye særlig </w:t>
      </w:r>
      <w:r>
        <w:t>i</w:t>
      </w:r>
      <w:r w:rsidRPr="006C7BA3">
        <w:t xml:space="preserve"> Rogaland og for yrkesgrupper som kan knyttes til oljenæringen, som IKT- og ingeniørfag. Samtidig er dette etterspurte yrkesgrupper med høy kompetanse. Så langt synes det som mange har funnet nytt arbeid. Regjeringen vil følge utviklingen i arbeidsmarkedet nøye og vurdere behovet for tilpasninger fram mot Revidert nasjonalbudsjett.</w:t>
      </w:r>
      <w:r>
        <w:br/>
      </w:r>
    </w:p>
    <w:p w14:paraId="27B98CE4" w14:textId="77777777" w:rsidR="006E305B" w:rsidRDefault="006E305B" w:rsidP="006E305B">
      <w:r w:rsidRPr="006C7BA3">
        <w:t>Jeg har samtidig merket meg de innspillene LO og NHO har når det gjelder permitteringsordningen. Regjeringen vektlegger partenes syn. Det kan være behov for å være føre var i dagens situasjon. Regjeringen vil derfor foreslå enkelte endringer i permitteringsregelverket for Stortinget i forbindelse med Revidert nasjonalbudsjett som legges fram 12. mai. Konkret vil vi foreslå å øke den maksimale dagpengeperioden under permittering fra 26 til 30 uker, samt å redusere bedriftenes lønnsplikt under permittering fra 20 til 10 dager med virkning fra 1. juli 2015.</w:t>
      </w:r>
    </w:p>
    <w:p w14:paraId="145ED009" w14:textId="77777777" w:rsidR="006E305B" w:rsidRPr="006C7BA3" w:rsidRDefault="006E305B" w:rsidP="006E305B"/>
    <w:p w14:paraId="145FAE82" w14:textId="77777777" w:rsidR="006E305B" w:rsidRPr="006C7BA3" w:rsidRDefault="006E305B" w:rsidP="006E305B">
      <w:pPr>
        <w:jc w:val="center"/>
      </w:pPr>
      <w:r w:rsidRPr="006C7BA3">
        <w:t>Med vennlig hilsen</w:t>
      </w:r>
    </w:p>
    <w:p w14:paraId="35B65E69" w14:textId="77777777" w:rsidR="006E305B" w:rsidRDefault="006E305B" w:rsidP="006E305B">
      <w:pPr>
        <w:rPr>
          <w:rFonts w:ascii="Times New Roman" w:eastAsia="Times New Roman" w:hAnsi="Times New Roman"/>
          <w:sz w:val="20"/>
        </w:rPr>
      </w:pPr>
    </w:p>
    <w:p w14:paraId="3050A9ED" w14:textId="77777777" w:rsidR="006E305B" w:rsidRPr="00684E9C" w:rsidRDefault="006E305B" w:rsidP="006E305B">
      <w:pPr>
        <w:spacing w:after="0" w:line="200" w:lineRule="atLeast"/>
        <w:ind w:left="2563"/>
        <w:rPr>
          <w:rFonts w:ascii="Times New Roman" w:eastAsia="Times New Roman" w:hAnsi="Times New Roman"/>
          <w:sz w:val="20"/>
        </w:rPr>
      </w:pPr>
      <w:r>
        <w:rPr>
          <w:rFonts w:ascii="Times New Roman" w:eastAsia="Times New Roman" w:hAnsi="Times New Roman"/>
          <w:noProof/>
          <w:sz w:val="20"/>
        </w:rPr>
        <w:drawing>
          <wp:inline distT="0" distB="0" distL="0" distR="0" wp14:anchorId="17D54A3F" wp14:editId="6C8E1EA3">
            <wp:extent cx="2499360" cy="43891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print"/>
                    <a:stretch>
                      <a:fillRect/>
                    </a:stretch>
                  </pic:blipFill>
                  <pic:spPr>
                    <a:xfrm>
                      <a:off x="0" y="0"/>
                      <a:ext cx="2499360" cy="438912"/>
                    </a:xfrm>
                    <a:prstGeom prst="rect">
                      <a:avLst/>
                    </a:prstGeom>
                  </pic:spPr>
                </pic:pic>
              </a:graphicData>
            </a:graphic>
          </wp:inline>
        </w:drawing>
      </w:r>
    </w:p>
    <w:p w14:paraId="02709E3C" w14:textId="77777777" w:rsidR="00486FBF" w:rsidRDefault="006E305B" w:rsidP="006E305B">
      <w:pPr>
        <w:ind w:left="3540" w:firstLine="708"/>
        <w:rPr>
          <w:rFonts w:ascii="Times New Roman"/>
          <w:color w:val="383834"/>
          <w:w w:val="110"/>
        </w:rPr>
        <w:sectPr w:rsidR="00486FBF" w:rsidSect="00E62E61">
          <w:footerReference w:type="even" r:id="rId22"/>
          <w:footerReference w:type="default" r:id="rId23"/>
          <w:pgSz w:w="11906" w:h="16838"/>
          <w:pgMar w:top="1418" w:right="1274" w:bottom="1701" w:left="1418" w:header="709" w:footer="709" w:gutter="0"/>
          <w:cols w:space="708"/>
          <w:docGrid w:linePitch="360"/>
        </w:sectPr>
      </w:pPr>
      <w:r>
        <w:rPr>
          <w:rFonts w:ascii="Times New Roman"/>
          <w:color w:val="383834"/>
          <w:w w:val="110"/>
        </w:rPr>
        <w:t>Erna</w:t>
      </w:r>
      <w:r>
        <w:rPr>
          <w:rFonts w:ascii="Times New Roman"/>
          <w:color w:val="383834"/>
          <w:spacing w:val="-3"/>
          <w:w w:val="110"/>
        </w:rPr>
        <w:t xml:space="preserve"> </w:t>
      </w:r>
      <w:r>
        <w:rPr>
          <w:rFonts w:ascii="Times New Roman"/>
          <w:color w:val="383834"/>
          <w:spacing w:val="-30"/>
          <w:w w:val="110"/>
        </w:rPr>
        <w:t>S</w:t>
      </w:r>
      <w:r>
        <w:rPr>
          <w:rFonts w:ascii="Times New Roman"/>
          <w:color w:val="383834"/>
          <w:w w:val="110"/>
        </w:rPr>
        <w:t>olberg</w:t>
      </w:r>
    </w:p>
    <w:p w14:paraId="13BEEFF8" w14:textId="4D4449BB" w:rsidR="00556B43" w:rsidRPr="00E20BAD" w:rsidRDefault="00556B43" w:rsidP="00290FE6">
      <w:pPr>
        <w:pStyle w:val="vedlegg-nr"/>
        <w:numPr>
          <w:ilvl w:val="0"/>
          <w:numId w:val="0"/>
        </w:numPr>
        <w:spacing w:after="0"/>
        <w:rPr>
          <w:u w:val="none"/>
        </w:rPr>
      </w:pPr>
      <w:r>
        <w:rPr>
          <w:u w:val="none"/>
        </w:rPr>
        <w:t xml:space="preserve">Vedlegg </w:t>
      </w:r>
      <w:r w:rsidR="000617D2">
        <w:rPr>
          <w:u w:val="none"/>
        </w:rPr>
        <w:t>2</w:t>
      </w:r>
      <w:r w:rsidR="00567A12">
        <w:rPr>
          <w:u w:val="none"/>
        </w:rPr>
        <w:t>.</w:t>
      </w:r>
      <w:r w:rsidRPr="00E20BAD">
        <w:rPr>
          <w:u w:val="none"/>
        </w:rPr>
        <w:t xml:space="preserve"> </w:t>
      </w:r>
    </w:p>
    <w:p w14:paraId="1F08A688" w14:textId="77777777" w:rsidR="00F90866" w:rsidRDefault="00E20BAD" w:rsidP="00290FE6">
      <w:pPr>
        <w:pStyle w:val="Overskrift1"/>
        <w:numPr>
          <w:ilvl w:val="0"/>
          <w:numId w:val="32"/>
        </w:numPr>
        <w:spacing w:before="120"/>
        <w:jc w:val="center"/>
      </w:pPr>
      <w:bookmarkStart w:id="277" w:name="_Toc422226841"/>
      <w:r w:rsidRPr="005360D7">
        <w:t>Tabellvedlegg</w:t>
      </w:r>
      <w:bookmarkEnd w:id="277"/>
    </w:p>
    <w:p w14:paraId="7C158C28" w14:textId="0B0BC020" w:rsidR="00A41346" w:rsidRPr="00804D37" w:rsidRDefault="00A41346" w:rsidP="00A41346">
      <w:pPr>
        <w:spacing w:after="0"/>
        <w:rPr>
          <w:rFonts w:ascii="Times New Roman" w:hAnsi="Times New Roman"/>
          <w:sz w:val="18"/>
          <w:szCs w:val="18"/>
          <w:lang w:val="nn-NO" w:eastAsia="en-US"/>
        </w:rPr>
      </w:pPr>
      <w:r w:rsidRPr="00824196">
        <w:rPr>
          <w:rFonts w:ascii="Times New Roman" w:hAnsi="Times New Roman"/>
        </w:rPr>
        <w:t xml:space="preserve">Tabell </w:t>
      </w:r>
      <w:r w:rsidR="0065791D">
        <w:rPr>
          <w:rFonts w:ascii="Times New Roman" w:hAnsi="Times New Roman"/>
        </w:rPr>
        <w:t>2.1</w:t>
      </w:r>
      <w:r w:rsidR="00E365D8" w:rsidRPr="00824196">
        <w:rPr>
          <w:rFonts w:ascii="Times New Roman" w:hAnsi="Times New Roman"/>
        </w:rPr>
        <w:t xml:space="preserve"> Beregnet</w:t>
      </w:r>
      <w:r w:rsidRPr="00824196">
        <w:rPr>
          <w:rFonts w:ascii="Times New Roman" w:hAnsi="Times New Roman"/>
        </w:rPr>
        <w:t xml:space="preserve"> årslønnsvekst</w:t>
      </w:r>
      <w:r w:rsidRPr="00824196">
        <w:rPr>
          <w:rFonts w:ascii="Times New Roman" w:hAnsi="Times New Roman"/>
          <w:vertAlign w:val="superscript"/>
        </w:rPr>
        <w:t>1</w:t>
      </w:r>
      <w:r w:rsidRPr="00824196">
        <w:rPr>
          <w:rFonts w:ascii="Times New Roman" w:hAnsi="Times New Roman"/>
        </w:rPr>
        <w:t xml:space="preserve"> fra året før</w:t>
      </w:r>
      <w:r w:rsidR="00824196">
        <w:rPr>
          <w:rFonts w:ascii="Times New Roman" w:hAnsi="Times New Roman"/>
        </w:rPr>
        <w:t xml:space="preserve">. </w:t>
      </w:r>
      <w:r w:rsidR="00824196" w:rsidRPr="00804D37">
        <w:rPr>
          <w:rFonts w:ascii="Times New Roman" w:hAnsi="Times New Roman"/>
          <w:lang w:val="nn-NO"/>
        </w:rPr>
        <w:t>Supplement til tabell 1.1 i kapittel 1</w:t>
      </w:r>
      <w:r w:rsidRPr="00804D37">
        <w:rPr>
          <w:rFonts w:ascii="Times New Roman" w:hAnsi="Times New Roman"/>
          <w:lang w:val="nn-NO"/>
        </w:rPr>
        <w:tab/>
      </w:r>
      <w:r w:rsidRPr="00804D37">
        <w:rPr>
          <w:rFonts w:ascii="Times New Roman" w:hAnsi="Times New Roman"/>
          <w:lang w:val="nn-NO"/>
        </w:rPr>
        <w:tab/>
      </w:r>
      <w:r w:rsidRPr="00804D37">
        <w:rPr>
          <w:rFonts w:ascii="Times New Roman" w:hAnsi="Times New Roman"/>
          <w:sz w:val="18"/>
          <w:szCs w:val="18"/>
          <w:lang w:val="nn-NO" w:eastAsia="en-US"/>
        </w:rPr>
        <w:tab/>
      </w:r>
      <w:r w:rsidRPr="00804D37">
        <w:rPr>
          <w:rFonts w:ascii="Times New Roman" w:hAnsi="Times New Roman"/>
          <w:sz w:val="18"/>
          <w:szCs w:val="18"/>
          <w:lang w:val="nn-NO" w:eastAsia="en-US"/>
        </w:rPr>
        <w:tab/>
      </w:r>
      <w:r w:rsidRPr="00804D37">
        <w:rPr>
          <w:rFonts w:ascii="Times New Roman" w:hAnsi="Times New Roman"/>
          <w:sz w:val="18"/>
          <w:szCs w:val="18"/>
          <w:lang w:val="nn-NO" w:eastAsia="en-US"/>
        </w:rPr>
        <w:tab/>
      </w:r>
    </w:p>
    <w:tbl>
      <w:tblPr>
        <w:tblStyle w:val="TrykketTabell"/>
        <w:tblW w:w="5000" w:type="pct"/>
        <w:tblLook w:val="04A0" w:firstRow="1" w:lastRow="0" w:firstColumn="1" w:lastColumn="0" w:noHBand="0" w:noVBand="1"/>
      </w:tblPr>
      <w:tblGrid>
        <w:gridCol w:w="1746"/>
        <w:gridCol w:w="1388"/>
        <w:gridCol w:w="1358"/>
        <w:gridCol w:w="1359"/>
        <w:gridCol w:w="1223"/>
        <w:gridCol w:w="1493"/>
        <w:gridCol w:w="1493"/>
        <w:gridCol w:w="1222"/>
        <w:gridCol w:w="1496"/>
        <w:gridCol w:w="1224"/>
      </w:tblGrid>
      <w:tr w:rsidR="00000676" w:rsidRPr="00D210DE" w14:paraId="5DBBDD8B" w14:textId="77777777" w:rsidTr="000617D2">
        <w:trPr>
          <w:cnfStyle w:val="100000000000" w:firstRow="1" w:lastRow="0" w:firstColumn="0" w:lastColumn="0" w:oddVBand="0" w:evenVBand="0" w:oddHBand="0" w:evenHBand="0" w:firstRowFirstColumn="0" w:firstRowLastColumn="0" w:lastRowFirstColumn="0" w:lastRowLastColumn="0"/>
          <w:trHeight w:val="215"/>
        </w:trPr>
        <w:tc>
          <w:tcPr>
            <w:tcW w:w="1747" w:type="dxa"/>
            <w:noWrap/>
            <w:hideMark/>
          </w:tcPr>
          <w:p w14:paraId="61AEC347" w14:textId="77777777" w:rsidR="00000676" w:rsidRPr="00804D37" w:rsidRDefault="00000676" w:rsidP="00000676">
            <w:pPr>
              <w:spacing w:after="0"/>
              <w:rPr>
                <w:rFonts w:ascii="Times New Roman" w:hAnsi="Times New Roman"/>
                <w:sz w:val="18"/>
                <w:szCs w:val="18"/>
                <w:lang w:val="nn-NO"/>
              </w:rPr>
            </w:pPr>
          </w:p>
        </w:tc>
        <w:tc>
          <w:tcPr>
            <w:tcW w:w="2747" w:type="dxa"/>
            <w:gridSpan w:val="2"/>
            <w:noWrap/>
            <w:hideMark/>
          </w:tcPr>
          <w:p w14:paraId="0886789A"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 xml:space="preserve">Arbeidere i NHO-bedrifter </w:t>
            </w:r>
            <w:r w:rsidRPr="00D210DE">
              <w:rPr>
                <w:rFonts w:ascii="Times New Roman" w:hAnsi="Times New Roman"/>
                <w:sz w:val="18"/>
                <w:szCs w:val="18"/>
                <w:vertAlign w:val="superscript"/>
              </w:rPr>
              <w:t>2,7</w:t>
            </w:r>
            <w:r w:rsidRPr="00D210DE">
              <w:rPr>
                <w:rFonts w:ascii="Times New Roman" w:hAnsi="Times New Roman"/>
                <w:sz w:val="18"/>
                <w:szCs w:val="18"/>
              </w:rPr>
              <w:t>:</w:t>
            </w:r>
          </w:p>
        </w:tc>
        <w:tc>
          <w:tcPr>
            <w:tcW w:w="1359" w:type="dxa"/>
            <w:noWrap/>
            <w:hideMark/>
          </w:tcPr>
          <w:p w14:paraId="29CD5E73"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 </w:t>
            </w:r>
          </w:p>
        </w:tc>
        <w:tc>
          <w:tcPr>
            <w:tcW w:w="1223" w:type="dxa"/>
            <w:noWrap/>
            <w:hideMark/>
          </w:tcPr>
          <w:p w14:paraId="46AD2596"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 </w:t>
            </w:r>
          </w:p>
        </w:tc>
        <w:tc>
          <w:tcPr>
            <w:tcW w:w="1493" w:type="dxa"/>
            <w:noWrap/>
            <w:hideMark/>
          </w:tcPr>
          <w:p w14:paraId="7B87D417"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 </w:t>
            </w:r>
          </w:p>
        </w:tc>
        <w:tc>
          <w:tcPr>
            <w:tcW w:w="1493" w:type="dxa"/>
            <w:noWrap/>
            <w:hideMark/>
          </w:tcPr>
          <w:p w14:paraId="24E06613"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 </w:t>
            </w:r>
          </w:p>
        </w:tc>
        <w:tc>
          <w:tcPr>
            <w:tcW w:w="1222" w:type="dxa"/>
            <w:noWrap/>
            <w:hideMark/>
          </w:tcPr>
          <w:p w14:paraId="4FB8BA26"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 </w:t>
            </w:r>
          </w:p>
        </w:tc>
        <w:tc>
          <w:tcPr>
            <w:tcW w:w="1494" w:type="dxa"/>
            <w:noWrap/>
            <w:hideMark/>
          </w:tcPr>
          <w:p w14:paraId="7CCA1613"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 </w:t>
            </w:r>
          </w:p>
        </w:tc>
        <w:tc>
          <w:tcPr>
            <w:tcW w:w="1224" w:type="dxa"/>
            <w:noWrap/>
            <w:hideMark/>
          </w:tcPr>
          <w:p w14:paraId="6FBDC1AC" w14:textId="77777777" w:rsidR="00000676" w:rsidRPr="00D210DE" w:rsidRDefault="00000676" w:rsidP="00000676">
            <w:pPr>
              <w:spacing w:after="40"/>
              <w:rPr>
                <w:rFonts w:ascii="Times New Roman" w:hAnsi="Times New Roman"/>
                <w:sz w:val="18"/>
                <w:szCs w:val="18"/>
              </w:rPr>
            </w:pPr>
          </w:p>
        </w:tc>
      </w:tr>
      <w:tr w:rsidR="00000676" w:rsidRPr="00D210DE" w14:paraId="4460BF3C" w14:textId="77777777" w:rsidTr="000617D2">
        <w:trPr>
          <w:trHeight w:val="215"/>
        </w:trPr>
        <w:tc>
          <w:tcPr>
            <w:tcW w:w="1747" w:type="dxa"/>
            <w:tcBorders>
              <w:bottom w:val="nil"/>
            </w:tcBorders>
            <w:noWrap/>
            <w:hideMark/>
          </w:tcPr>
          <w:p w14:paraId="0B2EF34B" w14:textId="77777777" w:rsidR="00000676" w:rsidRPr="00D210DE" w:rsidRDefault="00000676" w:rsidP="00000676">
            <w:pPr>
              <w:spacing w:after="40"/>
              <w:rPr>
                <w:rFonts w:ascii="Times New Roman" w:hAnsi="Times New Roman"/>
                <w:sz w:val="18"/>
                <w:szCs w:val="18"/>
              </w:rPr>
            </w:pPr>
          </w:p>
        </w:tc>
        <w:tc>
          <w:tcPr>
            <w:tcW w:w="1389" w:type="dxa"/>
            <w:tcBorders>
              <w:bottom w:val="nil"/>
            </w:tcBorders>
            <w:noWrap/>
            <w:hideMark/>
          </w:tcPr>
          <w:p w14:paraId="233836E6"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Arbeidere </w:t>
            </w:r>
          </w:p>
        </w:tc>
        <w:tc>
          <w:tcPr>
            <w:tcW w:w="1358" w:type="dxa"/>
            <w:tcBorders>
              <w:bottom w:val="nil"/>
            </w:tcBorders>
            <w:noWrap/>
            <w:hideMark/>
          </w:tcPr>
          <w:p w14:paraId="3E9EE74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Industri-</w:t>
            </w:r>
          </w:p>
        </w:tc>
        <w:tc>
          <w:tcPr>
            <w:tcW w:w="1359" w:type="dxa"/>
            <w:tcBorders>
              <w:bottom w:val="nil"/>
            </w:tcBorders>
            <w:noWrap/>
            <w:hideMark/>
          </w:tcPr>
          <w:p w14:paraId="711C5554"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Nærings- og </w:t>
            </w:r>
          </w:p>
        </w:tc>
        <w:tc>
          <w:tcPr>
            <w:tcW w:w="1223" w:type="dxa"/>
            <w:tcBorders>
              <w:bottom w:val="nil"/>
            </w:tcBorders>
            <w:noWrap/>
            <w:hideMark/>
          </w:tcPr>
          <w:p w14:paraId="670267FB" w14:textId="77777777" w:rsidR="00000676" w:rsidRPr="00D210DE" w:rsidRDefault="00000676" w:rsidP="00000676">
            <w:pPr>
              <w:spacing w:after="40"/>
              <w:rPr>
                <w:rFonts w:ascii="Times New Roman" w:hAnsi="Times New Roman"/>
                <w:sz w:val="18"/>
                <w:szCs w:val="18"/>
              </w:rPr>
            </w:pPr>
          </w:p>
        </w:tc>
        <w:tc>
          <w:tcPr>
            <w:tcW w:w="1493" w:type="dxa"/>
            <w:tcBorders>
              <w:bottom w:val="nil"/>
            </w:tcBorders>
            <w:noWrap/>
            <w:hideMark/>
          </w:tcPr>
          <w:p w14:paraId="625BFABF"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Kjemisk</w:t>
            </w:r>
          </w:p>
        </w:tc>
        <w:tc>
          <w:tcPr>
            <w:tcW w:w="1493" w:type="dxa"/>
            <w:tcBorders>
              <w:bottom w:val="nil"/>
            </w:tcBorders>
            <w:noWrap/>
            <w:hideMark/>
          </w:tcPr>
          <w:p w14:paraId="7DAF672C"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Verksted- og </w:t>
            </w:r>
          </w:p>
        </w:tc>
        <w:tc>
          <w:tcPr>
            <w:tcW w:w="2716" w:type="dxa"/>
            <w:gridSpan w:val="2"/>
            <w:tcBorders>
              <w:bottom w:val="nil"/>
            </w:tcBorders>
            <w:noWrap/>
            <w:hideMark/>
          </w:tcPr>
          <w:p w14:paraId="4D15F181" w14:textId="77777777" w:rsidR="00000676" w:rsidRPr="00D210DE" w:rsidRDefault="00000676" w:rsidP="00000676">
            <w:pPr>
              <w:spacing w:after="40"/>
              <w:jc w:val="center"/>
              <w:rPr>
                <w:rFonts w:ascii="Times New Roman" w:hAnsi="Times New Roman"/>
                <w:sz w:val="18"/>
                <w:szCs w:val="18"/>
              </w:rPr>
            </w:pPr>
            <w:r w:rsidRPr="00D210DE">
              <w:rPr>
                <w:rFonts w:ascii="Times New Roman" w:hAnsi="Times New Roman"/>
                <w:sz w:val="18"/>
                <w:szCs w:val="18"/>
              </w:rPr>
              <w:t>Bygg- og anleggsvirksomhet</w:t>
            </w:r>
          </w:p>
        </w:tc>
        <w:tc>
          <w:tcPr>
            <w:tcW w:w="1224" w:type="dxa"/>
            <w:tcBorders>
              <w:bottom w:val="nil"/>
            </w:tcBorders>
            <w:noWrap/>
            <w:hideMark/>
          </w:tcPr>
          <w:p w14:paraId="5DDEB8B4"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Transport-</w:t>
            </w:r>
          </w:p>
        </w:tc>
      </w:tr>
      <w:tr w:rsidR="00000676" w:rsidRPr="00D210DE" w14:paraId="6F91D396" w14:textId="77777777" w:rsidTr="000617D2">
        <w:trPr>
          <w:trHeight w:val="215"/>
        </w:trPr>
        <w:tc>
          <w:tcPr>
            <w:tcW w:w="1747" w:type="dxa"/>
            <w:tcBorders>
              <w:bottom w:val="single" w:sz="4" w:space="0" w:color="auto"/>
            </w:tcBorders>
            <w:noWrap/>
            <w:hideMark/>
          </w:tcPr>
          <w:p w14:paraId="4E954593"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År</w:t>
            </w:r>
          </w:p>
        </w:tc>
        <w:tc>
          <w:tcPr>
            <w:tcW w:w="1389" w:type="dxa"/>
            <w:tcBorders>
              <w:bottom w:val="single" w:sz="4" w:space="0" w:color="auto"/>
            </w:tcBorders>
            <w:noWrap/>
            <w:hideMark/>
          </w:tcPr>
          <w:p w14:paraId="4F9AFE01"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i alt</w:t>
            </w:r>
          </w:p>
        </w:tc>
        <w:tc>
          <w:tcPr>
            <w:tcW w:w="1358" w:type="dxa"/>
            <w:tcBorders>
              <w:bottom w:val="single" w:sz="4" w:space="0" w:color="auto"/>
            </w:tcBorders>
            <w:noWrap/>
            <w:hideMark/>
          </w:tcPr>
          <w:p w14:paraId="080F51E5"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arbeidere</w:t>
            </w:r>
          </w:p>
        </w:tc>
        <w:tc>
          <w:tcPr>
            <w:tcW w:w="1359" w:type="dxa"/>
            <w:tcBorders>
              <w:bottom w:val="single" w:sz="4" w:space="0" w:color="auto"/>
            </w:tcBorders>
            <w:noWrap/>
            <w:hideMark/>
          </w:tcPr>
          <w:p w14:paraId="4EC57663"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nytelse</w:t>
            </w:r>
          </w:p>
        </w:tc>
        <w:tc>
          <w:tcPr>
            <w:tcW w:w="1223" w:type="dxa"/>
            <w:tcBorders>
              <w:bottom w:val="single" w:sz="4" w:space="0" w:color="auto"/>
            </w:tcBorders>
            <w:noWrap/>
            <w:hideMark/>
          </w:tcPr>
          <w:p w14:paraId="085B96A6"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Treindustri</w:t>
            </w:r>
          </w:p>
        </w:tc>
        <w:tc>
          <w:tcPr>
            <w:tcW w:w="1493" w:type="dxa"/>
            <w:tcBorders>
              <w:bottom w:val="single" w:sz="4" w:space="0" w:color="auto"/>
            </w:tcBorders>
            <w:noWrap/>
            <w:hideMark/>
          </w:tcPr>
          <w:p w14:paraId="3CAF1A3F"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prosessindustri</w:t>
            </w:r>
            <w:r w:rsidRPr="00D210DE">
              <w:rPr>
                <w:rFonts w:ascii="Times New Roman" w:hAnsi="Times New Roman"/>
                <w:sz w:val="18"/>
                <w:szCs w:val="18"/>
                <w:vertAlign w:val="superscript"/>
              </w:rPr>
              <w:t>8</w:t>
            </w:r>
          </w:p>
        </w:tc>
        <w:tc>
          <w:tcPr>
            <w:tcW w:w="1493" w:type="dxa"/>
            <w:tcBorders>
              <w:bottom w:val="single" w:sz="4" w:space="0" w:color="auto"/>
            </w:tcBorders>
            <w:noWrap/>
            <w:hideMark/>
          </w:tcPr>
          <w:p w14:paraId="248EC8B7"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metallindustri</w:t>
            </w:r>
          </w:p>
        </w:tc>
        <w:tc>
          <w:tcPr>
            <w:tcW w:w="1222" w:type="dxa"/>
            <w:tcBorders>
              <w:bottom w:val="single" w:sz="4" w:space="0" w:color="auto"/>
            </w:tcBorders>
            <w:noWrap/>
            <w:hideMark/>
          </w:tcPr>
          <w:p w14:paraId="14B6E88E"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I alt</w:t>
            </w:r>
          </w:p>
        </w:tc>
        <w:tc>
          <w:tcPr>
            <w:tcW w:w="1494" w:type="dxa"/>
            <w:tcBorders>
              <w:bottom w:val="single" w:sz="4" w:space="0" w:color="auto"/>
            </w:tcBorders>
            <w:noWrap/>
            <w:hideMark/>
          </w:tcPr>
          <w:p w14:paraId="48043B6B"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Byggevirksomhet</w:t>
            </w:r>
          </w:p>
        </w:tc>
        <w:tc>
          <w:tcPr>
            <w:tcW w:w="1224" w:type="dxa"/>
            <w:tcBorders>
              <w:bottom w:val="single" w:sz="4" w:space="0" w:color="auto"/>
            </w:tcBorders>
            <w:noWrap/>
            <w:hideMark/>
          </w:tcPr>
          <w:p w14:paraId="65685BAC"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sektoren i alt</w:t>
            </w:r>
          </w:p>
        </w:tc>
      </w:tr>
      <w:tr w:rsidR="00000676" w:rsidRPr="00D210DE" w14:paraId="669B7B07" w14:textId="77777777" w:rsidTr="000617D2">
        <w:trPr>
          <w:trHeight w:val="227"/>
        </w:trPr>
        <w:tc>
          <w:tcPr>
            <w:tcW w:w="1747" w:type="dxa"/>
            <w:noWrap/>
            <w:hideMark/>
          </w:tcPr>
          <w:p w14:paraId="37BE4D8C"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2005</w:t>
            </w:r>
          </w:p>
        </w:tc>
        <w:tc>
          <w:tcPr>
            <w:tcW w:w="1389" w:type="dxa"/>
            <w:noWrap/>
            <w:hideMark/>
          </w:tcPr>
          <w:p w14:paraId="1AB1C024"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3,2</w:t>
            </w:r>
          </w:p>
        </w:tc>
        <w:tc>
          <w:tcPr>
            <w:tcW w:w="1358" w:type="dxa"/>
            <w:noWrap/>
            <w:hideMark/>
          </w:tcPr>
          <w:p w14:paraId="3024D51C"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3,4</w:t>
            </w:r>
          </w:p>
        </w:tc>
        <w:tc>
          <w:tcPr>
            <w:tcW w:w="1359" w:type="dxa"/>
            <w:noWrap/>
            <w:hideMark/>
          </w:tcPr>
          <w:p w14:paraId="10105736"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3,6</w:t>
            </w:r>
          </w:p>
        </w:tc>
        <w:tc>
          <w:tcPr>
            <w:tcW w:w="1223" w:type="dxa"/>
            <w:noWrap/>
            <w:hideMark/>
          </w:tcPr>
          <w:p w14:paraId="5DEE6365"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3,1</w:t>
            </w:r>
          </w:p>
        </w:tc>
        <w:tc>
          <w:tcPr>
            <w:tcW w:w="1493" w:type="dxa"/>
            <w:noWrap/>
            <w:hideMark/>
          </w:tcPr>
          <w:p w14:paraId="1D67FD0C"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w:t>
            </w:r>
          </w:p>
        </w:tc>
        <w:tc>
          <w:tcPr>
            <w:tcW w:w="1493" w:type="dxa"/>
            <w:noWrap/>
            <w:hideMark/>
          </w:tcPr>
          <w:p w14:paraId="396389A8"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3,6</w:t>
            </w:r>
          </w:p>
        </w:tc>
        <w:tc>
          <w:tcPr>
            <w:tcW w:w="1222" w:type="dxa"/>
            <w:noWrap/>
            <w:hideMark/>
          </w:tcPr>
          <w:p w14:paraId="3AA4B2C5"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2,7</w:t>
            </w:r>
          </w:p>
        </w:tc>
        <w:tc>
          <w:tcPr>
            <w:tcW w:w="1494" w:type="dxa"/>
            <w:noWrap/>
            <w:hideMark/>
          </w:tcPr>
          <w:p w14:paraId="5B6B0702"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2,9</w:t>
            </w:r>
          </w:p>
        </w:tc>
        <w:tc>
          <w:tcPr>
            <w:tcW w:w="1224" w:type="dxa"/>
            <w:noWrap/>
            <w:hideMark/>
          </w:tcPr>
          <w:p w14:paraId="33F8B098"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3,8</w:t>
            </w:r>
          </w:p>
        </w:tc>
      </w:tr>
      <w:tr w:rsidR="00000676" w:rsidRPr="00D210DE" w14:paraId="37663CF2" w14:textId="77777777" w:rsidTr="000617D2">
        <w:trPr>
          <w:trHeight w:val="227"/>
        </w:trPr>
        <w:tc>
          <w:tcPr>
            <w:tcW w:w="1747" w:type="dxa"/>
            <w:noWrap/>
            <w:hideMark/>
          </w:tcPr>
          <w:p w14:paraId="75CBA424"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2006</w:t>
            </w:r>
          </w:p>
        </w:tc>
        <w:tc>
          <w:tcPr>
            <w:tcW w:w="1389" w:type="dxa"/>
            <w:noWrap/>
            <w:hideMark/>
          </w:tcPr>
          <w:p w14:paraId="2064E8CC"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4,2</w:t>
            </w:r>
          </w:p>
        </w:tc>
        <w:tc>
          <w:tcPr>
            <w:tcW w:w="1358" w:type="dxa"/>
            <w:noWrap/>
            <w:hideMark/>
          </w:tcPr>
          <w:p w14:paraId="5A43AD5A"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3,6</w:t>
            </w:r>
          </w:p>
        </w:tc>
        <w:tc>
          <w:tcPr>
            <w:tcW w:w="1359" w:type="dxa"/>
            <w:noWrap/>
            <w:hideMark/>
          </w:tcPr>
          <w:p w14:paraId="715E4E54"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3,3</w:t>
            </w:r>
          </w:p>
        </w:tc>
        <w:tc>
          <w:tcPr>
            <w:tcW w:w="1223" w:type="dxa"/>
            <w:noWrap/>
            <w:hideMark/>
          </w:tcPr>
          <w:p w14:paraId="49EFD74A"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3,9</w:t>
            </w:r>
          </w:p>
        </w:tc>
        <w:tc>
          <w:tcPr>
            <w:tcW w:w="1493" w:type="dxa"/>
            <w:noWrap/>
            <w:hideMark/>
          </w:tcPr>
          <w:p w14:paraId="11230595"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w:t>
            </w:r>
          </w:p>
        </w:tc>
        <w:tc>
          <w:tcPr>
            <w:tcW w:w="1493" w:type="dxa"/>
            <w:noWrap/>
            <w:hideMark/>
          </w:tcPr>
          <w:p w14:paraId="0799D47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3,8</w:t>
            </w:r>
          </w:p>
        </w:tc>
        <w:tc>
          <w:tcPr>
            <w:tcW w:w="1222" w:type="dxa"/>
            <w:noWrap/>
            <w:hideMark/>
          </w:tcPr>
          <w:p w14:paraId="33796B18"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3,9</w:t>
            </w:r>
          </w:p>
        </w:tc>
        <w:tc>
          <w:tcPr>
            <w:tcW w:w="1494" w:type="dxa"/>
            <w:noWrap/>
            <w:hideMark/>
          </w:tcPr>
          <w:p w14:paraId="540E4D96"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4,1</w:t>
            </w:r>
          </w:p>
        </w:tc>
        <w:tc>
          <w:tcPr>
            <w:tcW w:w="1224" w:type="dxa"/>
            <w:noWrap/>
            <w:hideMark/>
          </w:tcPr>
          <w:p w14:paraId="43C3537A"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3,9</w:t>
            </w:r>
          </w:p>
        </w:tc>
      </w:tr>
      <w:tr w:rsidR="00000676" w:rsidRPr="00D210DE" w14:paraId="7C5FA570" w14:textId="77777777" w:rsidTr="000617D2">
        <w:trPr>
          <w:trHeight w:val="227"/>
        </w:trPr>
        <w:tc>
          <w:tcPr>
            <w:tcW w:w="1747" w:type="dxa"/>
            <w:noWrap/>
            <w:hideMark/>
          </w:tcPr>
          <w:p w14:paraId="683CF0A5"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2007</w:t>
            </w:r>
          </w:p>
        </w:tc>
        <w:tc>
          <w:tcPr>
            <w:tcW w:w="1389" w:type="dxa"/>
            <w:noWrap/>
            <w:hideMark/>
          </w:tcPr>
          <w:p w14:paraId="04E8D6E4"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5,4</w:t>
            </w:r>
          </w:p>
        </w:tc>
        <w:tc>
          <w:tcPr>
            <w:tcW w:w="1358" w:type="dxa"/>
            <w:noWrap/>
            <w:hideMark/>
          </w:tcPr>
          <w:p w14:paraId="7388A059"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5,5</w:t>
            </w:r>
          </w:p>
        </w:tc>
        <w:tc>
          <w:tcPr>
            <w:tcW w:w="1359" w:type="dxa"/>
            <w:noWrap/>
            <w:hideMark/>
          </w:tcPr>
          <w:p w14:paraId="5B7C6706"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5,4</w:t>
            </w:r>
          </w:p>
        </w:tc>
        <w:tc>
          <w:tcPr>
            <w:tcW w:w="1223" w:type="dxa"/>
            <w:noWrap/>
            <w:hideMark/>
          </w:tcPr>
          <w:p w14:paraId="4E893236"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5,8</w:t>
            </w:r>
          </w:p>
        </w:tc>
        <w:tc>
          <w:tcPr>
            <w:tcW w:w="1493" w:type="dxa"/>
            <w:noWrap/>
            <w:hideMark/>
          </w:tcPr>
          <w:p w14:paraId="00582414"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w:t>
            </w:r>
          </w:p>
        </w:tc>
        <w:tc>
          <w:tcPr>
            <w:tcW w:w="1493" w:type="dxa"/>
            <w:noWrap/>
            <w:hideMark/>
          </w:tcPr>
          <w:p w14:paraId="506CBA4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6,4</w:t>
            </w:r>
          </w:p>
        </w:tc>
        <w:tc>
          <w:tcPr>
            <w:tcW w:w="1222" w:type="dxa"/>
            <w:noWrap/>
            <w:hideMark/>
          </w:tcPr>
          <w:p w14:paraId="76340E29"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5,4</w:t>
            </w:r>
          </w:p>
        </w:tc>
        <w:tc>
          <w:tcPr>
            <w:tcW w:w="1494" w:type="dxa"/>
            <w:noWrap/>
            <w:hideMark/>
          </w:tcPr>
          <w:p w14:paraId="46104297"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5,5</w:t>
            </w:r>
          </w:p>
        </w:tc>
        <w:tc>
          <w:tcPr>
            <w:tcW w:w="1224" w:type="dxa"/>
            <w:noWrap/>
            <w:hideMark/>
          </w:tcPr>
          <w:p w14:paraId="78D772E5"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4,4</w:t>
            </w:r>
          </w:p>
        </w:tc>
      </w:tr>
      <w:tr w:rsidR="00000676" w:rsidRPr="00D210DE" w14:paraId="63C52A46" w14:textId="77777777" w:rsidTr="000617D2">
        <w:trPr>
          <w:trHeight w:val="227"/>
        </w:trPr>
        <w:tc>
          <w:tcPr>
            <w:tcW w:w="1747" w:type="dxa"/>
            <w:noWrap/>
            <w:hideMark/>
          </w:tcPr>
          <w:p w14:paraId="7C5AA967"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2008</w:t>
            </w:r>
          </w:p>
        </w:tc>
        <w:tc>
          <w:tcPr>
            <w:tcW w:w="1389" w:type="dxa"/>
            <w:noWrap/>
            <w:hideMark/>
          </w:tcPr>
          <w:p w14:paraId="3D21CE07"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5,7</w:t>
            </w:r>
          </w:p>
        </w:tc>
        <w:tc>
          <w:tcPr>
            <w:tcW w:w="1358" w:type="dxa"/>
            <w:noWrap/>
            <w:hideMark/>
          </w:tcPr>
          <w:p w14:paraId="54E9B4E3"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5,7</w:t>
            </w:r>
          </w:p>
        </w:tc>
        <w:tc>
          <w:tcPr>
            <w:tcW w:w="1359" w:type="dxa"/>
            <w:noWrap/>
            <w:hideMark/>
          </w:tcPr>
          <w:p w14:paraId="24CD5A35"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5,7</w:t>
            </w:r>
          </w:p>
        </w:tc>
        <w:tc>
          <w:tcPr>
            <w:tcW w:w="1223" w:type="dxa"/>
            <w:noWrap/>
            <w:hideMark/>
          </w:tcPr>
          <w:p w14:paraId="750A72C0"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5,8</w:t>
            </w:r>
          </w:p>
        </w:tc>
        <w:tc>
          <w:tcPr>
            <w:tcW w:w="1493" w:type="dxa"/>
            <w:noWrap/>
            <w:hideMark/>
          </w:tcPr>
          <w:p w14:paraId="2CE1253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w:t>
            </w:r>
          </w:p>
        </w:tc>
        <w:tc>
          <w:tcPr>
            <w:tcW w:w="1493" w:type="dxa"/>
            <w:noWrap/>
            <w:hideMark/>
          </w:tcPr>
          <w:p w14:paraId="545E67CE"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5,9</w:t>
            </w:r>
          </w:p>
        </w:tc>
        <w:tc>
          <w:tcPr>
            <w:tcW w:w="1222" w:type="dxa"/>
            <w:noWrap/>
            <w:hideMark/>
          </w:tcPr>
          <w:p w14:paraId="44C13116"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5,4</w:t>
            </w:r>
          </w:p>
        </w:tc>
        <w:tc>
          <w:tcPr>
            <w:tcW w:w="1494" w:type="dxa"/>
            <w:noWrap/>
            <w:hideMark/>
          </w:tcPr>
          <w:p w14:paraId="4284FE5F"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5,5</w:t>
            </w:r>
          </w:p>
        </w:tc>
        <w:tc>
          <w:tcPr>
            <w:tcW w:w="1224" w:type="dxa"/>
            <w:noWrap/>
            <w:hideMark/>
          </w:tcPr>
          <w:p w14:paraId="031F5323"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6,6</w:t>
            </w:r>
          </w:p>
        </w:tc>
      </w:tr>
      <w:tr w:rsidR="00000676" w:rsidRPr="00D210DE" w14:paraId="56D0605F" w14:textId="77777777" w:rsidTr="000617D2">
        <w:trPr>
          <w:trHeight w:val="227"/>
        </w:trPr>
        <w:tc>
          <w:tcPr>
            <w:tcW w:w="1747" w:type="dxa"/>
            <w:noWrap/>
            <w:hideMark/>
          </w:tcPr>
          <w:p w14:paraId="1DF3A0FE"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2009</w:t>
            </w:r>
          </w:p>
        </w:tc>
        <w:tc>
          <w:tcPr>
            <w:tcW w:w="1389" w:type="dxa"/>
            <w:noWrap/>
            <w:hideMark/>
          </w:tcPr>
          <w:p w14:paraId="2673E76C"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4,3</w:t>
            </w:r>
          </w:p>
        </w:tc>
        <w:tc>
          <w:tcPr>
            <w:tcW w:w="1358" w:type="dxa"/>
            <w:noWrap/>
            <w:hideMark/>
          </w:tcPr>
          <w:p w14:paraId="4781E816"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3,9</w:t>
            </w:r>
          </w:p>
        </w:tc>
        <w:tc>
          <w:tcPr>
            <w:tcW w:w="1359" w:type="dxa"/>
            <w:noWrap/>
            <w:hideMark/>
          </w:tcPr>
          <w:p w14:paraId="5DB16344"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3,4</w:t>
            </w:r>
          </w:p>
        </w:tc>
        <w:tc>
          <w:tcPr>
            <w:tcW w:w="1223" w:type="dxa"/>
            <w:noWrap/>
            <w:hideMark/>
          </w:tcPr>
          <w:p w14:paraId="793A0848"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3,0</w:t>
            </w:r>
          </w:p>
        </w:tc>
        <w:tc>
          <w:tcPr>
            <w:tcW w:w="1493" w:type="dxa"/>
            <w:noWrap/>
            <w:hideMark/>
          </w:tcPr>
          <w:p w14:paraId="425CB787"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4,2</w:t>
            </w:r>
          </w:p>
        </w:tc>
        <w:tc>
          <w:tcPr>
            <w:tcW w:w="1493" w:type="dxa"/>
            <w:noWrap/>
            <w:hideMark/>
          </w:tcPr>
          <w:p w14:paraId="79F99C2B"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4,4</w:t>
            </w:r>
            <w:r w:rsidRPr="00D210DE">
              <w:rPr>
                <w:rFonts w:ascii="Times New Roman" w:hAnsi="Times New Roman"/>
                <w:sz w:val="18"/>
                <w:szCs w:val="18"/>
                <w:vertAlign w:val="superscript"/>
              </w:rPr>
              <w:t>10</w:t>
            </w:r>
          </w:p>
        </w:tc>
        <w:tc>
          <w:tcPr>
            <w:tcW w:w="1222" w:type="dxa"/>
            <w:noWrap/>
            <w:hideMark/>
          </w:tcPr>
          <w:p w14:paraId="77E90D90"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3,9</w:t>
            </w:r>
          </w:p>
        </w:tc>
        <w:tc>
          <w:tcPr>
            <w:tcW w:w="1494" w:type="dxa"/>
            <w:noWrap/>
            <w:hideMark/>
          </w:tcPr>
          <w:p w14:paraId="42BA358A"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3,9</w:t>
            </w:r>
          </w:p>
        </w:tc>
        <w:tc>
          <w:tcPr>
            <w:tcW w:w="1224" w:type="dxa"/>
            <w:noWrap/>
            <w:hideMark/>
          </w:tcPr>
          <w:p w14:paraId="7CA4BC15"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4,5</w:t>
            </w:r>
          </w:p>
        </w:tc>
      </w:tr>
      <w:tr w:rsidR="00000676" w:rsidRPr="00D210DE" w14:paraId="0A620999" w14:textId="77777777" w:rsidTr="000617D2">
        <w:trPr>
          <w:trHeight w:val="227"/>
        </w:trPr>
        <w:tc>
          <w:tcPr>
            <w:tcW w:w="1747" w:type="dxa"/>
            <w:noWrap/>
            <w:hideMark/>
          </w:tcPr>
          <w:p w14:paraId="130E0856"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2010</w:t>
            </w:r>
          </w:p>
        </w:tc>
        <w:tc>
          <w:tcPr>
            <w:tcW w:w="1389" w:type="dxa"/>
            <w:noWrap/>
            <w:hideMark/>
          </w:tcPr>
          <w:p w14:paraId="1C628D55"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3,7 </w:t>
            </w:r>
          </w:p>
        </w:tc>
        <w:tc>
          <w:tcPr>
            <w:tcW w:w="1358" w:type="dxa"/>
            <w:noWrap/>
            <w:hideMark/>
          </w:tcPr>
          <w:p w14:paraId="0BD4B14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3,6 </w:t>
            </w:r>
          </w:p>
        </w:tc>
        <w:tc>
          <w:tcPr>
            <w:tcW w:w="1359" w:type="dxa"/>
            <w:noWrap/>
            <w:hideMark/>
          </w:tcPr>
          <w:p w14:paraId="79A28C05"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3,8 </w:t>
            </w:r>
          </w:p>
        </w:tc>
        <w:tc>
          <w:tcPr>
            <w:tcW w:w="1223" w:type="dxa"/>
            <w:noWrap/>
            <w:hideMark/>
          </w:tcPr>
          <w:p w14:paraId="6BE28CBB"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4,2 </w:t>
            </w:r>
          </w:p>
        </w:tc>
        <w:tc>
          <w:tcPr>
            <w:tcW w:w="1493" w:type="dxa"/>
            <w:noWrap/>
            <w:hideMark/>
          </w:tcPr>
          <w:p w14:paraId="6D3DD7F1"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3,0</w:t>
            </w:r>
          </w:p>
        </w:tc>
        <w:tc>
          <w:tcPr>
            <w:tcW w:w="1493" w:type="dxa"/>
            <w:noWrap/>
            <w:hideMark/>
          </w:tcPr>
          <w:p w14:paraId="78923C0C"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3,6</w:t>
            </w:r>
          </w:p>
        </w:tc>
        <w:tc>
          <w:tcPr>
            <w:tcW w:w="1222" w:type="dxa"/>
            <w:noWrap/>
            <w:hideMark/>
          </w:tcPr>
          <w:p w14:paraId="1D16902C"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3,8</w:t>
            </w:r>
          </w:p>
        </w:tc>
        <w:tc>
          <w:tcPr>
            <w:tcW w:w="1494" w:type="dxa"/>
            <w:noWrap/>
            <w:hideMark/>
          </w:tcPr>
          <w:p w14:paraId="05A5AC8C"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4,0</w:t>
            </w:r>
          </w:p>
        </w:tc>
        <w:tc>
          <w:tcPr>
            <w:tcW w:w="1224" w:type="dxa"/>
            <w:noWrap/>
            <w:hideMark/>
          </w:tcPr>
          <w:p w14:paraId="3FD9320E"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3,4</w:t>
            </w:r>
          </w:p>
        </w:tc>
      </w:tr>
      <w:tr w:rsidR="00000676" w:rsidRPr="00D210DE" w14:paraId="7CE9E778" w14:textId="77777777" w:rsidTr="000617D2">
        <w:trPr>
          <w:trHeight w:val="227"/>
        </w:trPr>
        <w:tc>
          <w:tcPr>
            <w:tcW w:w="1747" w:type="dxa"/>
            <w:noWrap/>
            <w:hideMark/>
          </w:tcPr>
          <w:p w14:paraId="6E16E322"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2011</w:t>
            </w:r>
          </w:p>
        </w:tc>
        <w:tc>
          <w:tcPr>
            <w:tcW w:w="1389" w:type="dxa"/>
            <w:noWrap/>
            <w:hideMark/>
          </w:tcPr>
          <w:p w14:paraId="7F148429"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4,1</w:t>
            </w:r>
          </w:p>
        </w:tc>
        <w:tc>
          <w:tcPr>
            <w:tcW w:w="1358" w:type="dxa"/>
            <w:noWrap/>
            <w:hideMark/>
          </w:tcPr>
          <w:p w14:paraId="511F1FF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4,4</w:t>
            </w:r>
          </w:p>
        </w:tc>
        <w:tc>
          <w:tcPr>
            <w:tcW w:w="1359" w:type="dxa"/>
            <w:noWrap/>
            <w:hideMark/>
          </w:tcPr>
          <w:p w14:paraId="321B19EF"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4,6</w:t>
            </w:r>
          </w:p>
        </w:tc>
        <w:tc>
          <w:tcPr>
            <w:tcW w:w="1223" w:type="dxa"/>
            <w:noWrap/>
            <w:hideMark/>
          </w:tcPr>
          <w:p w14:paraId="54BEA450"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4,3</w:t>
            </w:r>
          </w:p>
        </w:tc>
        <w:tc>
          <w:tcPr>
            <w:tcW w:w="1493" w:type="dxa"/>
            <w:noWrap/>
            <w:hideMark/>
          </w:tcPr>
          <w:p w14:paraId="30B27DA3"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4,3</w:t>
            </w:r>
          </w:p>
        </w:tc>
        <w:tc>
          <w:tcPr>
            <w:tcW w:w="1493" w:type="dxa"/>
            <w:noWrap/>
            <w:hideMark/>
          </w:tcPr>
          <w:p w14:paraId="4A8A9142"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4,6</w:t>
            </w:r>
          </w:p>
        </w:tc>
        <w:tc>
          <w:tcPr>
            <w:tcW w:w="1222" w:type="dxa"/>
            <w:noWrap/>
            <w:hideMark/>
          </w:tcPr>
          <w:p w14:paraId="40F36FE9"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4,2</w:t>
            </w:r>
          </w:p>
        </w:tc>
        <w:tc>
          <w:tcPr>
            <w:tcW w:w="1494" w:type="dxa"/>
            <w:noWrap/>
            <w:hideMark/>
          </w:tcPr>
          <w:p w14:paraId="56191CC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4,3</w:t>
            </w:r>
          </w:p>
        </w:tc>
        <w:tc>
          <w:tcPr>
            <w:tcW w:w="1224" w:type="dxa"/>
            <w:noWrap/>
            <w:hideMark/>
          </w:tcPr>
          <w:p w14:paraId="1C72D88A"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3,4</w:t>
            </w:r>
          </w:p>
        </w:tc>
      </w:tr>
      <w:tr w:rsidR="00000676" w:rsidRPr="00D210DE" w14:paraId="0145EB12" w14:textId="77777777" w:rsidTr="000617D2">
        <w:trPr>
          <w:trHeight w:val="227"/>
        </w:trPr>
        <w:tc>
          <w:tcPr>
            <w:tcW w:w="1747" w:type="dxa"/>
            <w:noWrap/>
            <w:hideMark/>
          </w:tcPr>
          <w:p w14:paraId="3461CF6B"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2012</w:t>
            </w:r>
          </w:p>
        </w:tc>
        <w:tc>
          <w:tcPr>
            <w:tcW w:w="1389" w:type="dxa"/>
            <w:noWrap/>
            <w:hideMark/>
          </w:tcPr>
          <w:p w14:paraId="275F1A35"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3,7</w:t>
            </w:r>
          </w:p>
        </w:tc>
        <w:tc>
          <w:tcPr>
            <w:tcW w:w="1358" w:type="dxa"/>
            <w:noWrap/>
            <w:hideMark/>
          </w:tcPr>
          <w:p w14:paraId="067D3109"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4,1</w:t>
            </w:r>
          </w:p>
        </w:tc>
        <w:tc>
          <w:tcPr>
            <w:tcW w:w="1359" w:type="dxa"/>
            <w:noWrap/>
            <w:hideMark/>
          </w:tcPr>
          <w:p w14:paraId="0BCEC837"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3,9</w:t>
            </w:r>
          </w:p>
        </w:tc>
        <w:tc>
          <w:tcPr>
            <w:tcW w:w="1223" w:type="dxa"/>
            <w:noWrap/>
            <w:hideMark/>
          </w:tcPr>
          <w:p w14:paraId="16E3A453"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3,6</w:t>
            </w:r>
          </w:p>
        </w:tc>
        <w:tc>
          <w:tcPr>
            <w:tcW w:w="1493" w:type="dxa"/>
            <w:noWrap/>
            <w:hideMark/>
          </w:tcPr>
          <w:p w14:paraId="3623BC6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4,0</w:t>
            </w:r>
          </w:p>
        </w:tc>
        <w:tc>
          <w:tcPr>
            <w:tcW w:w="1493" w:type="dxa"/>
            <w:noWrap/>
            <w:hideMark/>
          </w:tcPr>
          <w:p w14:paraId="140064E3"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4,5</w:t>
            </w:r>
          </w:p>
        </w:tc>
        <w:tc>
          <w:tcPr>
            <w:tcW w:w="1222" w:type="dxa"/>
            <w:noWrap/>
            <w:hideMark/>
          </w:tcPr>
          <w:p w14:paraId="6E2B1049"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2,9</w:t>
            </w:r>
          </w:p>
        </w:tc>
        <w:tc>
          <w:tcPr>
            <w:tcW w:w="1494" w:type="dxa"/>
            <w:noWrap/>
            <w:hideMark/>
          </w:tcPr>
          <w:p w14:paraId="051CA6BA"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3,0</w:t>
            </w:r>
          </w:p>
        </w:tc>
        <w:tc>
          <w:tcPr>
            <w:tcW w:w="1224" w:type="dxa"/>
            <w:noWrap/>
            <w:hideMark/>
          </w:tcPr>
          <w:p w14:paraId="3734D7C1"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4,2 </w:t>
            </w:r>
          </w:p>
        </w:tc>
      </w:tr>
      <w:tr w:rsidR="00000676" w:rsidRPr="00D210DE" w14:paraId="42991177" w14:textId="77777777" w:rsidTr="000617D2">
        <w:trPr>
          <w:trHeight w:val="227"/>
        </w:trPr>
        <w:tc>
          <w:tcPr>
            <w:tcW w:w="1747" w:type="dxa"/>
            <w:tcBorders>
              <w:bottom w:val="nil"/>
            </w:tcBorders>
            <w:noWrap/>
            <w:hideMark/>
          </w:tcPr>
          <w:p w14:paraId="7257D0DA"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2013</w:t>
            </w:r>
          </w:p>
        </w:tc>
        <w:tc>
          <w:tcPr>
            <w:tcW w:w="1389" w:type="dxa"/>
            <w:tcBorders>
              <w:bottom w:val="nil"/>
            </w:tcBorders>
            <w:noWrap/>
            <w:hideMark/>
          </w:tcPr>
          <w:p w14:paraId="2DF427B2"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4,1</w:t>
            </w:r>
          </w:p>
        </w:tc>
        <w:tc>
          <w:tcPr>
            <w:tcW w:w="1358" w:type="dxa"/>
            <w:tcBorders>
              <w:bottom w:val="nil"/>
            </w:tcBorders>
            <w:noWrap/>
            <w:hideMark/>
          </w:tcPr>
          <w:p w14:paraId="0AA39748"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3,5 </w:t>
            </w:r>
          </w:p>
        </w:tc>
        <w:tc>
          <w:tcPr>
            <w:tcW w:w="1359" w:type="dxa"/>
            <w:tcBorders>
              <w:bottom w:val="nil"/>
            </w:tcBorders>
            <w:noWrap/>
            <w:hideMark/>
          </w:tcPr>
          <w:p w14:paraId="40EF60C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3,9 </w:t>
            </w:r>
          </w:p>
        </w:tc>
        <w:tc>
          <w:tcPr>
            <w:tcW w:w="1223" w:type="dxa"/>
            <w:tcBorders>
              <w:bottom w:val="nil"/>
            </w:tcBorders>
            <w:noWrap/>
            <w:hideMark/>
          </w:tcPr>
          <w:p w14:paraId="3A61626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2,3</w:t>
            </w:r>
          </w:p>
        </w:tc>
        <w:tc>
          <w:tcPr>
            <w:tcW w:w="1493" w:type="dxa"/>
            <w:tcBorders>
              <w:bottom w:val="nil"/>
            </w:tcBorders>
            <w:noWrap/>
            <w:hideMark/>
          </w:tcPr>
          <w:p w14:paraId="4509D427"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2,8</w:t>
            </w:r>
          </w:p>
        </w:tc>
        <w:tc>
          <w:tcPr>
            <w:tcW w:w="1493" w:type="dxa"/>
            <w:tcBorders>
              <w:bottom w:val="nil"/>
            </w:tcBorders>
            <w:noWrap/>
            <w:hideMark/>
          </w:tcPr>
          <w:p w14:paraId="251CACDE"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4,1</w:t>
            </w:r>
          </w:p>
        </w:tc>
        <w:tc>
          <w:tcPr>
            <w:tcW w:w="1222" w:type="dxa"/>
            <w:tcBorders>
              <w:bottom w:val="nil"/>
            </w:tcBorders>
            <w:noWrap/>
            <w:hideMark/>
          </w:tcPr>
          <w:p w14:paraId="58208C2D"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3,9</w:t>
            </w:r>
          </w:p>
        </w:tc>
        <w:tc>
          <w:tcPr>
            <w:tcW w:w="1494" w:type="dxa"/>
            <w:tcBorders>
              <w:bottom w:val="nil"/>
            </w:tcBorders>
            <w:noWrap/>
            <w:hideMark/>
          </w:tcPr>
          <w:p w14:paraId="73AE77C8"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 xml:space="preserve">3,6 </w:t>
            </w:r>
          </w:p>
        </w:tc>
        <w:tc>
          <w:tcPr>
            <w:tcW w:w="1224" w:type="dxa"/>
            <w:tcBorders>
              <w:bottom w:val="nil"/>
            </w:tcBorders>
            <w:noWrap/>
            <w:hideMark/>
          </w:tcPr>
          <w:p w14:paraId="073620E8" w14:textId="77777777" w:rsidR="00000676" w:rsidRPr="00D210DE" w:rsidRDefault="00000676" w:rsidP="00000676">
            <w:pPr>
              <w:spacing w:after="40"/>
              <w:jc w:val="right"/>
              <w:rPr>
                <w:rFonts w:ascii="Times New Roman" w:hAnsi="Times New Roman"/>
                <w:sz w:val="18"/>
                <w:szCs w:val="18"/>
              </w:rPr>
            </w:pPr>
            <w:r w:rsidRPr="00D210DE">
              <w:rPr>
                <w:rFonts w:ascii="Times New Roman" w:hAnsi="Times New Roman"/>
                <w:sz w:val="18"/>
                <w:szCs w:val="18"/>
              </w:rPr>
              <w:t>3,8</w:t>
            </w:r>
          </w:p>
        </w:tc>
      </w:tr>
      <w:tr w:rsidR="00000676" w:rsidRPr="00D210DE" w14:paraId="53DF5F8D" w14:textId="77777777" w:rsidTr="000617D2">
        <w:trPr>
          <w:trHeight w:val="227"/>
        </w:trPr>
        <w:tc>
          <w:tcPr>
            <w:tcW w:w="1747" w:type="dxa"/>
            <w:tcBorders>
              <w:bottom w:val="single" w:sz="4" w:space="0" w:color="auto"/>
            </w:tcBorders>
            <w:noWrap/>
            <w:hideMark/>
          </w:tcPr>
          <w:p w14:paraId="053FCA04" w14:textId="77777777" w:rsidR="00000676" w:rsidRPr="00D210DE" w:rsidRDefault="00000676" w:rsidP="00000676">
            <w:pPr>
              <w:spacing w:after="40"/>
              <w:rPr>
                <w:rFonts w:ascii="Times New Roman" w:hAnsi="Times New Roman"/>
                <w:sz w:val="18"/>
                <w:szCs w:val="18"/>
              </w:rPr>
            </w:pPr>
            <w:r w:rsidRPr="00D210DE">
              <w:rPr>
                <w:rFonts w:ascii="Times New Roman" w:hAnsi="Times New Roman"/>
                <w:sz w:val="18"/>
                <w:szCs w:val="18"/>
              </w:rPr>
              <w:t>2014</w:t>
            </w:r>
          </w:p>
        </w:tc>
        <w:tc>
          <w:tcPr>
            <w:tcW w:w="1389" w:type="dxa"/>
            <w:tcBorders>
              <w:bottom w:val="single" w:sz="4" w:space="0" w:color="auto"/>
            </w:tcBorders>
            <w:noWrap/>
            <w:hideMark/>
          </w:tcPr>
          <w:p w14:paraId="7B35AF60" w14:textId="77777777" w:rsidR="00000676" w:rsidRPr="00D210DE" w:rsidRDefault="008D0749" w:rsidP="00000676">
            <w:pPr>
              <w:spacing w:after="40"/>
              <w:jc w:val="right"/>
              <w:rPr>
                <w:rFonts w:ascii="Times New Roman" w:hAnsi="Times New Roman"/>
                <w:sz w:val="18"/>
                <w:szCs w:val="18"/>
              </w:rPr>
            </w:pPr>
            <w:r>
              <w:rPr>
                <w:rFonts w:ascii="Times New Roman" w:hAnsi="Times New Roman"/>
                <w:sz w:val="18"/>
                <w:szCs w:val="18"/>
              </w:rPr>
              <w:t>3,0</w:t>
            </w:r>
          </w:p>
        </w:tc>
        <w:tc>
          <w:tcPr>
            <w:tcW w:w="1358" w:type="dxa"/>
            <w:tcBorders>
              <w:bottom w:val="single" w:sz="4" w:space="0" w:color="auto"/>
            </w:tcBorders>
            <w:noWrap/>
            <w:hideMark/>
          </w:tcPr>
          <w:p w14:paraId="5595F15B" w14:textId="77777777" w:rsidR="00000676" w:rsidRPr="00D210DE" w:rsidRDefault="008D0749" w:rsidP="00000676">
            <w:pPr>
              <w:spacing w:after="40"/>
              <w:jc w:val="right"/>
              <w:rPr>
                <w:rFonts w:ascii="Times New Roman" w:hAnsi="Times New Roman"/>
                <w:sz w:val="18"/>
                <w:szCs w:val="18"/>
              </w:rPr>
            </w:pPr>
            <w:r>
              <w:rPr>
                <w:rFonts w:ascii="Times New Roman" w:hAnsi="Times New Roman"/>
                <w:sz w:val="18"/>
                <w:szCs w:val="18"/>
              </w:rPr>
              <w:t>3,0</w:t>
            </w:r>
          </w:p>
        </w:tc>
        <w:tc>
          <w:tcPr>
            <w:tcW w:w="1359" w:type="dxa"/>
            <w:tcBorders>
              <w:bottom w:val="single" w:sz="4" w:space="0" w:color="auto"/>
            </w:tcBorders>
            <w:noWrap/>
            <w:hideMark/>
          </w:tcPr>
          <w:p w14:paraId="74591715" w14:textId="77777777" w:rsidR="00000676" w:rsidRPr="00D210DE" w:rsidRDefault="008D0749" w:rsidP="00000676">
            <w:pPr>
              <w:spacing w:after="40"/>
              <w:jc w:val="right"/>
              <w:rPr>
                <w:rFonts w:ascii="Times New Roman" w:hAnsi="Times New Roman"/>
                <w:sz w:val="18"/>
                <w:szCs w:val="18"/>
              </w:rPr>
            </w:pPr>
            <w:r>
              <w:rPr>
                <w:rFonts w:ascii="Times New Roman" w:hAnsi="Times New Roman"/>
                <w:sz w:val="18"/>
                <w:szCs w:val="18"/>
              </w:rPr>
              <w:t>3,3</w:t>
            </w:r>
          </w:p>
        </w:tc>
        <w:tc>
          <w:tcPr>
            <w:tcW w:w="1223" w:type="dxa"/>
            <w:tcBorders>
              <w:bottom w:val="single" w:sz="4" w:space="0" w:color="auto"/>
            </w:tcBorders>
            <w:noWrap/>
            <w:hideMark/>
          </w:tcPr>
          <w:p w14:paraId="18D77778" w14:textId="77777777" w:rsidR="00000676" w:rsidRPr="00D210DE" w:rsidRDefault="008D0749" w:rsidP="00000676">
            <w:pPr>
              <w:spacing w:after="40"/>
              <w:jc w:val="right"/>
              <w:rPr>
                <w:rFonts w:ascii="Times New Roman" w:hAnsi="Times New Roman"/>
                <w:sz w:val="18"/>
                <w:szCs w:val="18"/>
              </w:rPr>
            </w:pPr>
            <w:r>
              <w:rPr>
                <w:rFonts w:ascii="Times New Roman" w:hAnsi="Times New Roman"/>
                <w:sz w:val="18"/>
                <w:szCs w:val="18"/>
              </w:rPr>
              <w:t>2,5</w:t>
            </w:r>
          </w:p>
        </w:tc>
        <w:tc>
          <w:tcPr>
            <w:tcW w:w="1493" w:type="dxa"/>
            <w:tcBorders>
              <w:bottom w:val="single" w:sz="4" w:space="0" w:color="auto"/>
            </w:tcBorders>
            <w:noWrap/>
            <w:hideMark/>
          </w:tcPr>
          <w:p w14:paraId="1D0EED5E" w14:textId="77777777" w:rsidR="00000676" w:rsidRPr="00D210DE" w:rsidRDefault="008D0749" w:rsidP="00000676">
            <w:pPr>
              <w:spacing w:after="40"/>
              <w:jc w:val="right"/>
              <w:rPr>
                <w:rFonts w:ascii="Times New Roman" w:hAnsi="Times New Roman"/>
                <w:sz w:val="18"/>
                <w:szCs w:val="18"/>
              </w:rPr>
            </w:pPr>
            <w:r>
              <w:rPr>
                <w:rFonts w:ascii="Times New Roman" w:hAnsi="Times New Roman"/>
                <w:sz w:val="18"/>
                <w:szCs w:val="18"/>
              </w:rPr>
              <w:t>3,3</w:t>
            </w:r>
          </w:p>
        </w:tc>
        <w:tc>
          <w:tcPr>
            <w:tcW w:w="1493" w:type="dxa"/>
            <w:tcBorders>
              <w:bottom w:val="single" w:sz="4" w:space="0" w:color="auto"/>
            </w:tcBorders>
            <w:noWrap/>
            <w:hideMark/>
          </w:tcPr>
          <w:p w14:paraId="60B50085" w14:textId="77777777" w:rsidR="00000676" w:rsidRPr="00D210DE" w:rsidRDefault="008D0749" w:rsidP="00000676">
            <w:pPr>
              <w:spacing w:after="40"/>
              <w:jc w:val="right"/>
              <w:rPr>
                <w:rFonts w:ascii="Times New Roman" w:hAnsi="Times New Roman"/>
                <w:sz w:val="18"/>
                <w:szCs w:val="18"/>
              </w:rPr>
            </w:pPr>
            <w:r>
              <w:rPr>
                <w:rFonts w:ascii="Times New Roman" w:hAnsi="Times New Roman"/>
                <w:sz w:val="18"/>
                <w:szCs w:val="18"/>
              </w:rPr>
              <w:t>3,0</w:t>
            </w:r>
          </w:p>
        </w:tc>
        <w:tc>
          <w:tcPr>
            <w:tcW w:w="1222" w:type="dxa"/>
            <w:tcBorders>
              <w:bottom w:val="single" w:sz="4" w:space="0" w:color="auto"/>
            </w:tcBorders>
            <w:noWrap/>
            <w:hideMark/>
          </w:tcPr>
          <w:p w14:paraId="1AE1D233" w14:textId="77777777" w:rsidR="00000676" w:rsidRPr="00D210DE" w:rsidRDefault="008D0749" w:rsidP="00000676">
            <w:pPr>
              <w:spacing w:after="40"/>
              <w:jc w:val="right"/>
              <w:rPr>
                <w:rFonts w:ascii="Times New Roman" w:hAnsi="Times New Roman"/>
                <w:sz w:val="18"/>
                <w:szCs w:val="18"/>
              </w:rPr>
            </w:pPr>
            <w:r>
              <w:rPr>
                <w:rFonts w:ascii="Times New Roman" w:hAnsi="Times New Roman"/>
                <w:sz w:val="18"/>
                <w:szCs w:val="18"/>
              </w:rPr>
              <w:t>3,3</w:t>
            </w:r>
            <w:r w:rsidR="00000676" w:rsidRPr="00D210DE">
              <w:rPr>
                <w:rFonts w:ascii="Times New Roman" w:hAnsi="Times New Roman"/>
                <w:sz w:val="18"/>
                <w:szCs w:val="18"/>
              </w:rPr>
              <w:t xml:space="preserve"> </w:t>
            </w:r>
          </w:p>
        </w:tc>
        <w:tc>
          <w:tcPr>
            <w:tcW w:w="1494" w:type="dxa"/>
            <w:tcBorders>
              <w:bottom w:val="single" w:sz="4" w:space="0" w:color="auto"/>
            </w:tcBorders>
            <w:noWrap/>
            <w:hideMark/>
          </w:tcPr>
          <w:p w14:paraId="6449A6DF" w14:textId="77777777" w:rsidR="00000676" w:rsidRPr="00D210DE" w:rsidRDefault="008D0749" w:rsidP="00000676">
            <w:pPr>
              <w:spacing w:after="40"/>
              <w:jc w:val="right"/>
              <w:rPr>
                <w:rFonts w:ascii="Times New Roman" w:hAnsi="Times New Roman"/>
                <w:sz w:val="18"/>
                <w:szCs w:val="18"/>
              </w:rPr>
            </w:pPr>
            <w:r>
              <w:rPr>
                <w:rFonts w:ascii="Times New Roman" w:hAnsi="Times New Roman"/>
                <w:sz w:val="18"/>
                <w:szCs w:val="18"/>
              </w:rPr>
              <w:t>3,4</w:t>
            </w:r>
          </w:p>
        </w:tc>
        <w:tc>
          <w:tcPr>
            <w:tcW w:w="1224" w:type="dxa"/>
            <w:tcBorders>
              <w:bottom w:val="single" w:sz="4" w:space="0" w:color="auto"/>
            </w:tcBorders>
            <w:noWrap/>
            <w:hideMark/>
          </w:tcPr>
          <w:p w14:paraId="7893A9A0" w14:textId="77777777" w:rsidR="00000676" w:rsidRPr="00D210DE" w:rsidRDefault="008D0749" w:rsidP="00000676">
            <w:pPr>
              <w:spacing w:after="40"/>
              <w:jc w:val="right"/>
              <w:rPr>
                <w:rFonts w:ascii="Times New Roman" w:hAnsi="Times New Roman"/>
                <w:sz w:val="18"/>
                <w:szCs w:val="18"/>
              </w:rPr>
            </w:pPr>
            <w:r>
              <w:rPr>
                <w:rFonts w:ascii="Times New Roman" w:hAnsi="Times New Roman"/>
                <w:sz w:val="18"/>
                <w:szCs w:val="18"/>
              </w:rPr>
              <w:t>3,0</w:t>
            </w:r>
          </w:p>
        </w:tc>
      </w:tr>
      <w:tr w:rsidR="005A482C" w:rsidRPr="00D210DE" w14:paraId="6248FC74" w14:textId="77777777" w:rsidTr="000617D2">
        <w:trPr>
          <w:trHeight w:val="233"/>
        </w:trPr>
        <w:tc>
          <w:tcPr>
            <w:tcW w:w="1747" w:type="dxa"/>
            <w:tcBorders>
              <w:top w:val="single" w:sz="4" w:space="0" w:color="auto"/>
            </w:tcBorders>
            <w:noWrap/>
            <w:hideMark/>
          </w:tcPr>
          <w:p w14:paraId="3B618AF3" w14:textId="77777777" w:rsidR="005A482C" w:rsidRPr="00D210DE" w:rsidRDefault="005A482C" w:rsidP="005A4A42">
            <w:pPr>
              <w:spacing w:after="0"/>
              <w:rPr>
                <w:rFonts w:ascii="Times New Roman" w:hAnsi="Times New Roman"/>
                <w:sz w:val="18"/>
                <w:szCs w:val="18"/>
              </w:rPr>
            </w:pPr>
            <w:r w:rsidRPr="00D210DE">
              <w:rPr>
                <w:rFonts w:ascii="Times New Roman" w:hAnsi="Times New Roman"/>
                <w:sz w:val="18"/>
                <w:szCs w:val="18"/>
              </w:rPr>
              <w:t>200</w:t>
            </w:r>
            <w:r>
              <w:rPr>
                <w:rFonts w:ascii="Times New Roman" w:hAnsi="Times New Roman"/>
                <w:sz w:val="18"/>
                <w:szCs w:val="18"/>
              </w:rPr>
              <w:t>4</w:t>
            </w:r>
            <w:r w:rsidRPr="00D210DE">
              <w:rPr>
                <w:rFonts w:ascii="Times New Roman" w:hAnsi="Times New Roman"/>
                <w:sz w:val="18"/>
                <w:szCs w:val="18"/>
              </w:rPr>
              <w:t>-1</w:t>
            </w:r>
            <w:r>
              <w:rPr>
                <w:rFonts w:ascii="Times New Roman" w:hAnsi="Times New Roman"/>
                <w:sz w:val="18"/>
                <w:szCs w:val="18"/>
              </w:rPr>
              <w:t>4</w:t>
            </w:r>
          </w:p>
        </w:tc>
        <w:tc>
          <w:tcPr>
            <w:tcW w:w="1389" w:type="dxa"/>
            <w:tcBorders>
              <w:top w:val="single" w:sz="4" w:space="0" w:color="auto"/>
            </w:tcBorders>
            <w:noWrap/>
            <w:vAlign w:val="bottom"/>
            <w:hideMark/>
          </w:tcPr>
          <w:p w14:paraId="281C673E"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50,0</w:t>
            </w:r>
          </w:p>
        </w:tc>
        <w:tc>
          <w:tcPr>
            <w:tcW w:w="1358" w:type="dxa"/>
            <w:tcBorders>
              <w:top w:val="single" w:sz="4" w:space="0" w:color="auto"/>
            </w:tcBorders>
            <w:noWrap/>
            <w:vAlign w:val="bottom"/>
            <w:hideMark/>
          </w:tcPr>
          <w:p w14:paraId="64B17CA1"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49,0</w:t>
            </w:r>
          </w:p>
        </w:tc>
        <w:tc>
          <w:tcPr>
            <w:tcW w:w="1359" w:type="dxa"/>
            <w:tcBorders>
              <w:top w:val="single" w:sz="4" w:space="0" w:color="auto"/>
            </w:tcBorders>
            <w:noWrap/>
            <w:vAlign w:val="bottom"/>
            <w:hideMark/>
          </w:tcPr>
          <w:p w14:paraId="080714CB"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49,3</w:t>
            </w:r>
          </w:p>
        </w:tc>
        <w:tc>
          <w:tcPr>
            <w:tcW w:w="1223" w:type="dxa"/>
            <w:tcBorders>
              <w:top w:val="single" w:sz="4" w:space="0" w:color="auto"/>
            </w:tcBorders>
            <w:noWrap/>
            <w:vAlign w:val="bottom"/>
            <w:hideMark/>
          </w:tcPr>
          <w:p w14:paraId="12B55D3B"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45,8</w:t>
            </w:r>
          </w:p>
        </w:tc>
        <w:tc>
          <w:tcPr>
            <w:tcW w:w="1493" w:type="dxa"/>
            <w:tcBorders>
              <w:top w:val="single" w:sz="4" w:space="0" w:color="auto"/>
            </w:tcBorders>
            <w:noWrap/>
            <w:hideMark/>
          </w:tcPr>
          <w:p w14:paraId="52C65DB9" w14:textId="77777777" w:rsidR="005A482C" w:rsidRPr="00D210DE" w:rsidRDefault="005A482C" w:rsidP="00000676">
            <w:pPr>
              <w:spacing w:after="0"/>
              <w:jc w:val="right"/>
              <w:rPr>
                <w:rFonts w:ascii="Times New Roman" w:hAnsi="Times New Roman"/>
                <w:sz w:val="18"/>
                <w:szCs w:val="18"/>
              </w:rPr>
            </w:pPr>
            <w:r w:rsidRPr="00D210DE">
              <w:rPr>
                <w:rFonts w:ascii="Times New Roman" w:hAnsi="Times New Roman"/>
                <w:sz w:val="18"/>
                <w:szCs w:val="18"/>
              </w:rPr>
              <w:t>-</w:t>
            </w:r>
          </w:p>
        </w:tc>
        <w:tc>
          <w:tcPr>
            <w:tcW w:w="1493" w:type="dxa"/>
            <w:tcBorders>
              <w:top w:val="single" w:sz="4" w:space="0" w:color="auto"/>
            </w:tcBorders>
            <w:noWrap/>
            <w:vAlign w:val="bottom"/>
            <w:hideMark/>
          </w:tcPr>
          <w:p w14:paraId="1F067261"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53,6</w:t>
            </w:r>
          </w:p>
        </w:tc>
        <w:tc>
          <w:tcPr>
            <w:tcW w:w="1222" w:type="dxa"/>
            <w:tcBorders>
              <w:top w:val="single" w:sz="4" w:space="0" w:color="auto"/>
            </w:tcBorders>
            <w:noWrap/>
            <w:vAlign w:val="bottom"/>
            <w:hideMark/>
          </w:tcPr>
          <w:p w14:paraId="555EA37E"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47,1</w:t>
            </w:r>
          </w:p>
        </w:tc>
        <w:tc>
          <w:tcPr>
            <w:tcW w:w="1494" w:type="dxa"/>
            <w:tcBorders>
              <w:top w:val="single" w:sz="4" w:space="0" w:color="auto"/>
            </w:tcBorders>
            <w:noWrap/>
            <w:vAlign w:val="bottom"/>
            <w:hideMark/>
          </w:tcPr>
          <w:p w14:paraId="2AB2F1B7"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48,3</w:t>
            </w:r>
          </w:p>
        </w:tc>
        <w:tc>
          <w:tcPr>
            <w:tcW w:w="1224" w:type="dxa"/>
            <w:tcBorders>
              <w:top w:val="single" w:sz="4" w:space="0" w:color="auto"/>
            </w:tcBorders>
            <w:noWrap/>
            <w:vAlign w:val="bottom"/>
            <w:hideMark/>
          </w:tcPr>
          <w:p w14:paraId="2DEFC443"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49,4</w:t>
            </w:r>
          </w:p>
        </w:tc>
      </w:tr>
      <w:tr w:rsidR="005A482C" w:rsidRPr="00D210DE" w14:paraId="612ABCF3" w14:textId="77777777" w:rsidTr="000617D2">
        <w:trPr>
          <w:trHeight w:val="177"/>
        </w:trPr>
        <w:tc>
          <w:tcPr>
            <w:tcW w:w="1747" w:type="dxa"/>
            <w:noWrap/>
            <w:hideMark/>
          </w:tcPr>
          <w:p w14:paraId="2509DE3C" w14:textId="77777777" w:rsidR="005A482C" w:rsidRPr="00D210DE" w:rsidRDefault="005A482C" w:rsidP="00000676">
            <w:pPr>
              <w:spacing w:after="0"/>
              <w:rPr>
                <w:rFonts w:ascii="Times New Roman" w:hAnsi="Times New Roman"/>
                <w:sz w:val="18"/>
                <w:szCs w:val="18"/>
              </w:rPr>
            </w:pPr>
            <w:r w:rsidRPr="00D210DE">
              <w:rPr>
                <w:rFonts w:ascii="Times New Roman" w:hAnsi="Times New Roman"/>
                <w:sz w:val="18"/>
                <w:szCs w:val="18"/>
              </w:rPr>
              <w:t>Gj. sn. per år</w:t>
            </w:r>
          </w:p>
        </w:tc>
        <w:tc>
          <w:tcPr>
            <w:tcW w:w="1389" w:type="dxa"/>
            <w:noWrap/>
            <w:vAlign w:val="bottom"/>
            <w:hideMark/>
          </w:tcPr>
          <w:p w14:paraId="069F7373"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4,1</w:t>
            </w:r>
          </w:p>
        </w:tc>
        <w:tc>
          <w:tcPr>
            <w:tcW w:w="1358" w:type="dxa"/>
            <w:noWrap/>
            <w:vAlign w:val="bottom"/>
            <w:hideMark/>
          </w:tcPr>
          <w:p w14:paraId="2E1CB97A"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4,1</w:t>
            </w:r>
          </w:p>
        </w:tc>
        <w:tc>
          <w:tcPr>
            <w:tcW w:w="1359" w:type="dxa"/>
            <w:noWrap/>
            <w:vAlign w:val="bottom"/>
            <w:hideMark/>
          </w:tcPr>
          <w:p w14:paraId="1F0447BA"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4,1</w:t>
            </w:r>
          </w:p>
        </w:tc>
        <w:tc>
          <w:tcPr>
            <w:tcW w:w="1223" w:type="dxa"/>
            <w:noWrap/>
            <w:vAlign w:val="bottom"/>
            <w:hideMark/>
          </w:tcPr>
          <w:p w14:paraId="02406C36"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3,8</w:t>
            </w:r>
          </w:p>
        </w:tc>
        <w:tc>
          <w:tcPr>
            <w:tcW w:w="1493" w:type="dxa"/>
            <w:noWrap/>
            <w:hideMark/>
          </w:tcPr>
          <w:p w14:paraId="7C840B96" w14:textId="77777777" w:rsidR="005A482C" w:rsidRPr="00D210DE" w:rsidRDefault="005A482C" w:rsidP="00000676">
            <w:pPr>
              <w:spacing w:after="0"/>
              <w:jc w:val="right"/>
              <w:rPr>
                <w:rFonts w:ascii="Times New Roman" w:hAnsi="Times New Roman"/>
                <w:sz w:val="18"/>
                <w:szCs w:val="18"/>
              </w:rPr>
            </w:pPr>
            <w:r w:rsidRPr="00D210DE">
              <w:rPr>
                <w:rFonts w:ascii="Times New Roman" w:hAnsi="Times New Roman"/>
                <w:sz w:val="18"/>
                <w:szCs w:val="18"/>
              </w:rPr>
              <w:t>-</w:t>
            </w:r>
          </w:p>
        </w:tc>
        <w:tc>
          <w:tcPr>
            <w:tcW w:w="1493" w:type="dxa"/>
            <w:noWrap/>
            <w:vAlign w:val="bottom"/>
            <w:hideMark/>
          </w:tcPr>
          <w:p w14:paraId="70BD6DA1"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4,4</w:t>
            </w:r>
          </w:p>
        </w:tc>
        <w:tc>
          <w:tcPr>
            <w:tcW w:w="1222" w:type="dxa"/>
            <w:noWrap/>
            <w:vAlign w:val="bottom"/>
            <w:hideMark/>
          </w:tcPr>
          <w:p w14:paraId="2E23BF3D"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3,9</w:t>
            </w:r>
          </w:p>
        </w:tc>
        <w:tc>
          <w:tcPr>
            <w:tcW w:w="1494" w:type="dxa"/>
            <w:noWrap/>
            <w:vAlign w:val="bottom"/>
            <w:hideMark/>
          </w:tcPr>
          <w:p w14:paraId="2C6C437B"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4,0</w:t>
            </w:r>
          </w:p>
        </w:tc>
        <w:tc>
          <w:tcPr>
            <w:tcW w:w="1224" w:type="dxa"/>
            <w:noWrap/>
            <w:vAlign w:val="bottom"/>
            <w:hideMark/>
          </w:tcPr>
          <w:p w14:paraId="506581A0" w14:textId="77777777" w:rsidR="005A482C" w:rsidRPr="00D210DE" w:rsidRDefault="005A482C"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4,1</w:t>
            </w:r>
          </w:p>
        </w:tc>
      </w:tr>
      <w:tr w:rsidR="00000676" w:rsidRPr="00D210DE" w14:paraId="793888B3" w14:textId="77777777" w:rsidTr="000617D2">
        <w:trPr>
          <w:trHeight w:val="167"/>
        </w:trPr>
        <w:tc>
          <w:tcPr>
            <w:tcW w:w="1747" w:type="dxa"/>
            <w:noWrap/>
            <w:hideMark/>
          </w:tcPr>
          <w:p w14:paraId="3F9FB0B6" w14:textId="77777777" w:rsidR="00000676" w:rsidRPr="00D210DE" w:rsidRDefault="00000676" w:rsidP="005A4A42">
            <w:pPr>
              <w:spacing w:after="0"/>
              <w:rPr>
                <w:rFonts w:ascii="Times New Roman" w:hAnsi="Times New Roman"/>
                <w:sz w:val="18"/>
                <w:szCs w:val="18"/>
              </w:rPr>
            </w:pPr>
            <w:r w:rsidRPr="00D210DE">
              <w:rPr>
                <w:rFonts w:ascii="Times New Roman" w:hAnsi="Times New Roman"/>
                <w:sz w:val="18"/>
                <w:szCs w:val="18"/>
              </w:rPr>
              <w:t xml:space="preserve">Årslønn </w:t>
            </w:r>
            <w:r w:rsidR="005A4A42" w:rsidRPr="00D210DE">
              <w:rPr>
                <w:rFonts w:ascii="Times New Roman" w:hAnsi="Times New Roman"/>
                <w:sz w:val="18"/>
                <w:szCs w:val="18"/>
              </w:rPr>
              <w:t>201</w:t>
            </w:r>
            <w:r w:rsidR="005A4A42">
              <w:rPr>
                <w:rFonts w:ascii="Times New Roman" w:hAnsi="Times New Roman"/>
                <w:sz w:val="18"/>
                <w:szCs w:val="18"/>
              </w:rPr>
              <w:t>4</w:t>
            </w:r>
          </w:p>
        </w:tc>
        <w:tc>
          <w:tcPr>
            <w:tcW w:w="1389" w:type="dxa"/>
            <w:noWrap/>
            <w:hideMark/>
          </w:tcPr>
          <w:p w14:paraId="6C4B0850" w14:textId="77777777" w:rsidR="00000676" w:rsidRPr="00D210DE" w:rsidRDefault="00000676" w:rsidP="005A4A42">
            <w:pPr>
              <w:autoSpaceDE w:val="0"/>
              <w:autoSpaceDN w:val="0"/>
              <w:adjustRightInd w:val="0"/>
              <w:spacing w:after="0"/>
              <w:jc w:val="right"/>
              <w:rPr>
                <w:rFonts w:ascii="Times New Roman" w:eastAsia="Times New Roman" w:hAnsi="Times New Roman"/>
                <w:color w:val="000000"/>
                <w:sz w:val="18"/>
                <w:szCs w:val="18"/>
              </w:rPr>
            </w:pPr>
            <w:r w:rsidRPr="00D210DE">
              <w:rPr>
                <w:rFonts w:ascii="Times New Roman" w:eastAsia="Times New Roman" w:hAnsi="Times New Roman"/>
                <w:color w:val="000000"/>
                <w:sz w:val="18"/>
                <w:szCs w:val="18"/>
              </w:rPr>
              <w:t xml:space="preserve"> </w:t>
            </w:r>
            <w:r w:rsidR="005A4A42">
              <w:rPr>
                <w:rFonts w:ascii="Times New Roman" w:eastAsia="Times New Roman" w:hAnsi="Times New Roman"/>
                <w:color w:val="000000"/>
                <w:sz w:val="18"/>
                <w:szCs w:val="18"/>
              </w:rPr>
              <w:t>437 500</w:t>
            </w:r>
            <w:r w:rsidRPr="00D210DE">
              <w:rPr>
                <w:rFonts w:ascii="Times New Roman" w:eastAsia="Times New Roman" w:hAnsi="Times New Roman"/>
                <w:color w:val="000000"/>
                <w:sz w:val="18"/>
                <w:szCs w:val="18"/>
              </w:rPr>
              <w:t xml:space="preserve"> </w:t>
            </w:r>
          </w:p>
        </w:tc>
        <w:tc>
          <w:tcPr>
            <w:tcW w:w="1358" w:type="dxa"/>
            <w:noWrap/>
            <w:hideMark/>
          </w:tcPr>
          <w:p w14:paraId="158AC8DF" w14:textId="77777777" w:rsidR="00000676" w:rsidRPr="00D210DE" w:rsidRDefault="005A4A42" w:rsidP="00000676">
            <w:pPr>
              <w:autoSpaceDE w:val="0"/>
              <w:autoSpaceDN w:val="0"/>
              <w:adjustRightInd w:val="0"/>
              <w:spacing w:after="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431 100</w:t>
            </w:r>
            <w:r w:rsidR="00000676" w:rsidRPr="00D210DE">
              <w:rPr>
                <w:rFonts w:ascii="Times New Roman" w:eastAsia="Times New Roman" w:hAnsi="Times New Roman"/>
                <w:color w:val="000000"/>
                <w:sz w:val="18"/>
                <w:szCs w:val="18"/>
              </w:rPr>
              <w:t xml:space="preserve"> </w:t>
            </w:r>
          </w:p>
        </w:tc>
        <w:tc>
          <w:tcPr>
            <w:tcW w:w="1359" w:type="dxa"/>
            <w:noWrap/>
            <w:hideMark/>
          </w:tcPr>
          <w:p w14:paraId="0848C465" w14:textId="77777777" w:rsidR="00000676" w:rsidRPr="00D210DE" w:rsidRDefault="00000676" w:rsidP="005A4A42">
            <w:pPr>
              <w:autoSpaceDE w:val="0"/>
              <w:autoSpaceDN w:val="0"/>
              <w:adjustRightInd w:val="0"/>
              <w:spacing w:after="0"/>
              <w:jc w:val="right"/>
              <w:rPr>
                <w:rFonts w:ascii="Times New Roman" w:eastAsia="Times New Roman" w:hAnsi="Times New Roman"/>
                <w:color w:val="000000"/>
                <w:sz w:val="18"/>
                <w:szCs w:val="18"/>
              </w:rPr>
            </w:pPr>
            <w:r w:rsidRPr="00D210DE">
              <w:rPr>
                <w:rFonts w:ascii="Times New Roman" w:eastAsia="Times New Roman" w:hAnsi="Times New Roman"/>
                <w:color w:val="000000"/>
                <w:sz w:val="18"/>
                <w:szCs w:val="18"/>
              </w:rPr>
              <w:t xml:space="preserve"> </w:t>
            </w:r>
            <w:r w:rsidR="005A4A42">
              <w:rPr>
                <w:rFonts w:ascii="Times New Roman" w:eastAsia="Times New Roman" w:hAnsi="Times New Roman"/>
                <w:color w:val="000000"/>
                <w:sz w:val="18"/>
                <w:szCs w:val="18"/>
              </w:rPr>
              <w:t>409 000</w:t>
            </w:r>
            <w:r w:rsidRPr="00D210DE">
              <w:rPr>
                <w:rFonts w:ascii="Times New Roman" w:eastAsia="Times New Roman" w:hAnsi="Times New Roman"/>
                <w:color w:val="000000"/>
                <w:sz w:val="18"/>
                <w:szCs w:val="18"/>
              </w:rPr>
              <w:t xml:space="preserve"> </w:t>
            </w:r>
          </w:p>
        </w:tc>
        <w:tc>
          <w:tcPr>
            <w:tcW w:w="1223" w:type="dxa"/>
            <w:noWrap/>
            <w:hideMark/>
          </w:tcPr>
          <w:p w14:paraId="6AA2FEB3" w14:textId="77777777" w:rsidR="00000676" w:rsidRPr="00D210DE" w:rsidRDefault="00000676" w:rsidP="005A4A42">
            <w:pPr>
              <w:autoSpaceDE w:val="0"/>
              <w:autoSpaceDN w:val="0"/>
              <w:adjustRightInd w:val="0"/>
              <w:spacing w:after="0"/>
              <w:jc w:val="right"/>
              <w:rPr>
                <w:rFonts w:ascii="Times New Roman" w:eastAsia="Times New Roman" w:hAnsi="Times New Roman"/>
                <w:color w:val="000000"/>
                <w:sz w:val="18"/>
                <w:szCs w:val="18"/>
              </w:rPr>
            </w:pPr>
            <w:r w:rsidRPr="00D210DE">
              <w:rPr>
                <w:rFonts w:ascii="Times New Roman" w:eastAsia="Times New Roman" w:hAnsi="Times New Roman"/>
                <w:color w:val="000000"/>
                <w:sz w:val="18"/>
                <w:szCs w:val="18"/>
              </w:rPr>
              <w:t xml:space="preserve"> </w:t>
            </w:r>
            <w:r w:rsidR="005A4A42">
              <w:rPr>
                <w:rFonts w:ascii="Times New Roman" w:eastAsia="Times New Roman" w:hAnsi="Times New Roman"/>
                <w:color w:val="000000"/>
                <w:sz w:val="18"/>
                <w:szCs w:val="18"/>
              </w:rPr>
              <w:t>393 000</w:t>
            </w:r>
          </w:p>
        </w:tc>
        <w:tc>
          <w:tcPr>
            <w:tcW w:w="1493" w:type="dxa"/>
            <w:noWrap/>
            <w:hideMark/>
          </w:tcPr>
          <w:p w14:paraId="0A121915" w14:textId="77777777" w:rsidR="00000676" w:rsidRPr="00D210DE" w:rsidRDefault="005A4A42" w:rsidP="00000676">
            <w:pPr>
              <w:spacing w:after="0"/>
              <w:jc w:val="right"/>
              <w:rPr>
                <w:rFonts w:ascii="Times New Roman" w:hAnsi="Times New Roman"/>
                <w:sz w:val="18"/>
                <w:szCs w:val="18"/>
              </w:rPr>
            </w:pPr>
            <w:r>
              <w:rPr>
                <w:rFonts w:ascii="Times New Roman" w:eastAsia="Times New Roman" w:hAnsi="Times New Roman"/>
                <w:color w:val="000000"/>
                <w:sz w:val="18"/>
                <w:szCs w:val="18"/>
              </w:rPr>
              <w:t>459000</w:t>
            </w:r>
          </w:p>
        </w:tc>
        <w:tc>
          <w:tcPr>
            <w:tcW w:w="1493" w:type="dxa"/>
            <w:noWrap/>
            <w:hideMark/>
          </w:tcPr>
          <w:p w14:paraId="7358FE5C" w14:textId="77777777" w:rsidR="00000676" w:rsidRPr="00D210DE" w:rsidRDefault="00000676" w:rsidP="005A4A42">
            <w:pPr>
              <w:autoSpaceDE w:val="0"/>
              <w:autoSpaceDN w:val="0"/>
              <w:adjustRightInd w:val="0"/>
              <w:spacing w:after="0"/>
              <w:jc w:val="right"/>
              <w:rPr>
                <w:rFonts w:ascii="Times New Roman" w:eastAsia="Times New Roman" w:hAnsi="Times New Roman"/>
                <w:color w:val="000000"/>
                <w:sz w:val="18"/>
                <w:szCs w:val="18"/>
              </w:rPr>
            </w:pPr>
            <w:r w:rsidRPr="00D210DE">
              <w:rPr>
                <w:rFonts w:ascii="Times New Roman" w:eastAsia="Times New Roman" w:hAnsi="Times New Roman"/>
                <w:color w:val="000000"/>
                <w:sz w:val="18"/>
                <w:szCs w:val="18"/>
              </w:rPr>
              <w:t xml:space="preserve"> </w:t>
            </w:r>
            <w:r w:rsidR="005A4A42">
              <w:rPr>
                <w:rFonts w:ascii="Times New Roman" w:eastAsia="Times New Roman" w:hAnsi="Times New Roman"/>
                <w:color w:val="000000"/>
                <w:sz w:val="18"/>
                <w:szCs w:val="18"/>
              </w:rPr>
              <w:t>447 000</w:t>
            </w:r>
            <w:r w:rsidRPr="00D210DE">
              <w:rPr>
                <w:rFonts w:ascii="Times New Roman" w:eastAsia="Times New Roman" w:hAnsi="Times New Roman"/>
                <w:color w:val="000000"/>
                <w:sz w:val="18"/>
                <w:szCs w:val="18"/>
              </w:rPr>
              <w:t xml:space="preserve"> </w:t>
            </w:r>
          </w:p>
        </w:tc>
        <w:tc>
          <w:tcPr>
            <w:tcW w:w="1222" w:type="dxa"/>
            <w:noWrap/>
            <w:hideMark/>
          </w:tcPr>
          <w:p w14:paraId="3823176B" w14:textId="77777777" w:rsidR="00000676" w:rsidRPr="00D210DE" w:rsidRDefault="00000676" w:rsidP="005A4A42">
            <w:pPr>
              <w:autoSpaceDE w:val="0"/>
              <w:autoSpaceDN w:val="0"/>
              <w:adjustRightInd w:val="0"/>
              <w:spacing w:after="0"/>
              <w:jc w:val="right"/>
              <w:rPr>
                <w:rFonts w:ascii="Times New Roman" w:eastAsia="Times New Roman" w:hAnsi="Times New Roman"/>
                <w:color w:val="000000"/>
                <w:sz w:val="18"/>
                <w:szCs w:val="18"/>
              </w:rPr>
            </w:pPr>
            <w:r w:rsidRPr="00D210DE">
              <w:rPr>
                <w:rFonts w:ascii="Times New Roman" w:eastAsia="Times New Roman" w:hAnsi="Times New Roman"/>
                <w:color w:val="000000"/>
                <w:sz w:val="18"/>
                <w:szCs w:val="18"/>
              </w:rPr>
              <w:t xml:space="preserve"> </w:t>
            </w:r>
            <w:r w:rsidR="005A4A42">
              <w:rPr>
                <w:rFonts w:ascii="Times New Roman" w:eastAsia="Times New Roman" w:hAnsi="Times New Roman"/>
                <w:color w:val="000000"/>
                <w:sz w:val="18"/>
                <w:szCs w:val="18"/>
              </w:rPr>
              <w:t>463 000</w:t>
            </w:r>
            <w:r w:rsidRPr="00D210DE">
              <w:rPr>
                <w:rFonts w:ascii="Times New Roman" w:eastAsia="Times New Roman" w:hAnsi="Times New Roman"/>
                <w:color w:val="000000"/>
                <w:sz w:val="18"/>
                <w:szCs w:val="18"/>
              </w:rPr>
              <w:t xml:space="preserve"> </w:t>
            </w:r>
          </w:p>
        </w:tc>
        <w:tc>
          <w:tcPr>
            <w:tcW w:w="1494" w:type="dxa"/>
            <w:noWrap/>
            <w:hideMark/>
          </w:tcPr>
          <w:p w14:paraId="3546316C" w14:textId="77777777" w:rsidR="00000676" w:rsidRPr="00D210DE" w:rsidRDefault="00000676" w:rsidP="005A4A42">
            <w:pPr>
              <w:autoSpaceDE w:val="0"/>
              <w:autoSpaceDN w:val="0"/>
              <w:adjustRightInd w:val="0"/>
              <w:spacing w:after="0"/>
              <w:jc w:val="right"/>
              <w:rPr>
                <w:rFonts w:ascii="Times New Roman" w:eastAsia="Times New Roman" w:hAnsi="Times New Roman"/>
                <w:color w:val="000000"/>
                <w:sz w:val="18"/>
                <w:szCs w:val="18"/>
              </w:rPr>
            </w:pPr>
            <w:r w:rsidRPr="00D210DE">
              <w:rPr>
                <w:rFonts w:ascii="Times New Roman" w:eastAsia="Times New Roman" w:hAnsi="Times New Roman"/>
                <w:color w:val="000000"/>
                <w:sz w:val="18"/>
                <w:szCs w:val="18"/>
              </w:rPr>
              <w:t xml:space="preserve"> </w:t>
            </w:r>
            <w:r w:rsidR="005A4A42">
              <w:rPr>
                <w:rFonts w:ascii="Times New Roman" w:eastAsia="Times New Roman" w:hAnsi="Times New Roman"/>
                <w:color w:val="000000"/>
                <w:sz w:val="18"/>
                <w:szCs w:val="18"/>
              </w:rPr>
              <w:t>456 000</w:t>
            </w:r>
            <w:r w:rsidRPr="00D210DE">
              <w:rPr>
                <w:rFonts w:ascii="Times New Roman" w:eastAsia="Times New Roman" w:hAnsi="Times New Roman"/>
                <w:color w:val="000000"/>
                <w:sz w:val="18"/>
                <w:szCs w:val="18"/>
              </w:rPr>
              <w:t xml:space="preserve"> </w:t>
            </w:r>
          </w:p>
        </w:tc>
        <w:tc>
          <w:tcPr>
            <w:tcW w:w="1224" w:type="dxa"/>
            <w:noWrap/>
            <w:hideMark/>
          </w:tcPr>
          <w:p w14:paraId="60E2D5FF" w14:textId="77777777" w:rsidR="00000676" w:rsidRPr="00D210DE" w:rsidRDefault="00000676" w:rsidP="005A4A42">
            <w:pPr>
              <w:autoSpaceDE w:val="0"/>
              <w:autoSpaceDN w:val="0"/>
              <w:adjustRightInd w:val="0"/>
              <w:spacing w:after="0"/>
              <w:jc w:val="right"/>
              <w:rPr>
                <w:rFonts w:ascii="Times New Roman" w:eastAsia="Times New Roman" w:hAnsi="Times New Roman"/>
                <w:color w:val="000000"/>
                <w:sz w:val="18"/>
                <w:szCs w:val="18"/>
              </w:rPr>
            </w:pPr>
            <w:r w:rsidRPr="00D210DE">
              <w:rPr>
                <w:rFonts w:ascii="Times New Roman" w:eastAsia="Times New Roman" w:hAnsi="Times New Roman"/>
                <w:color w:val="000000"/>
                <w:sz w:val="18"/>
                <w:szCs w:val="18"/>
              </w:rPr>
              <w:t xml:space="preserve"> </w:t>
            </w:r>
            <w:r w:rsidR="005A4A42">
              <w:rPr>
                <w:rFonts w:ascii="Times New Roman" w:eastAsia="Times New Roman" w:hAnsi="Times New Roman"/>
                <w:color w:val="000000"/>
                <w:sz w:val="18"/>
                <w:szCs w:val="18"/>
              </w:rPr>
              <w:t>415 000</w:t>
            </w:r>
            <w:r w:rsidRPr="00D210DE">
              <w:rPr>
                <w:rFonts w:ascii="Times New Roman" w:eastAsia="Times New Roman" w:hAnsi="Times New Roman"/>
                <w:color w:val="000000"/>
                <w:sz w:val="18"/>
                <w:szCs w:val="18"/>
              </w:rPr>
              <w:t xml:space="preserve"> </w:t>
            </w:r>
          </w:p>
        </w:tc>
      </w:tr>
    </w:tbl>
    <w:p w14:paraId="08E13EE8" w14:textId="77777777" w:rsidR="009F2398" w:rsidRDefault="009F2398" w:rsidP="00000676">
      <w:pPr>
        <w:tabs>
          <w:tab w:val="left" w:pos="1182"/>
          <w:tab w:val="left" w:pos="3587"/>
          <w:tab w:val="left" w:pos="4671"/>
          <w:tab w:val="left" w:pos="5672"/>
          <w:tab w:val="left" w:pos="6844"/>
          <w:tab w:val="left" w:pos="8246"/>
          <w:tab w:val="left" w:pos="9773"/>
          <w:tab w:val="left" w:pos="11099"/>
          <w:tab w:val="left" w:pos="12326"/>
          <w:tab w:val="left" w:pos="13476"/>
          <w:tab w:val="left" w:pos="14653"/>
          <w:tab w:val="left" w:pos="15869"/>
        </w:tabs>
        <w:spacing w:after="0"/>
        <w:ind w:left="55"/>
        <w:rPr>
          <w:sz w:val="18"/>
          <w:szCs w:val="18"/>
        </w:rPr>
      </w:pPr>
    </w:p>
    <w:tbl>
      <w:tblPr>
        <w:tblStyle w:val="TrykketTabell"/>
        <w:tblW w:w="5102" w:type="pct"/>
        <w:tblLayout w:type="fixed"/>
        <w:tblLook w:val="04A0" w:firstRow="1" w:lastRow="0" w:firstColumn="1" w:lastColumn="0" w:noHBand="0" w:noVBand="1"/>
      </w:tblPr>
      <w:tblGrid>
        <w:gridCol w:w="1910"/>
        <w:gridCol w:w="1610"/>
        <w:gridCol w:w="1585"/>
        <w:gridCol w:w="236"/>
        <w:gridCol w:w="1255"/>
        <w:gridCol w:w="1485"/>
        <w:gridCol w:w="1948"/>
        <w:gridCol w:w="1630"/>
        <w:gridCol w:w="1287"/>
        <w:gridCol w:w="1342"/>
      </w:tblGrid>
      <w:tr w:rsidR="00D210DE" w:rsidRPr="00D210DE" w14:paraId="2519A06A" w14:textId="77777777" w:rsidTr="000617D2">
        <w:trPr>
          <w:cnfStyle w:val="100000000000" w:firstRow="1" w:lastRow="0" w:firstColumn="0" w:lastColumn="0" w:oddVBand="0" w:evenVBand="0" w:oddHBand="0" w:evenHBand="0" w:firstRowFirstColumn="0" w:firstRowLastColumn="0" w:lastRowFirstColumn="0" w:lastRowLastColumn="0"/>
          <w:trHeight w:val="253"/>
        </w:trPr>
        <w:tc>
          <w:tcPr>
            <w:tcW w:w="1910" w:type="dxa"/>
            <w:tcBorders>
              <w:bottom w:val="nil"/>
            </w:tcBorders>
            <w:noWrap/>
            <w:hideMark/>
          </w:tcPr>
          <w:p w14:paraId="4436F1C5" w14:textId="77777777" w:rsidR="00D210DE" w:rsidRPr="00D210DE" w:rsidRDefault="00D210DE" w:rsidP="009F2398">
            <w:pPr>
              <w:spacing w:after="40"/>
              <w:ind w:firstLine="200"/>
              <w:rPr>
                <w:sz w:val="18"/>
                <w:szCs w:val="18"/>
              </w:rPr>
            </w:pPr>
          </w:p>
        </w:tc>
        <w:tc>
          <w:tcPr>
            <w:tcW w:w="3195" w:type="dxa"/>
            <w:gridSpan w:val="2"/>
            <w:tcBorders>
              <w:bottom w:val="nil"/>
            </w:tcBorders>
            <w:noWrap/>
            <w:hideMark/>
          </w:tcPr>
          <w:p w14:paraId="0AE5E1D8" w14:textId="77777777" w:rsidR="00D210DE" w:rsidRPr="00D210DE" w:rsidRDefault="00D210DE" w:rsidP="009F2398">
            <w:pPr>
              <w:spacing w:after="40"/>
              <w:ind w:firstLine="200"/>
              <w:jc w:val="right"/>
              <w:rPr>
                <w:sz w:val="18"/>
                <w:szCs w:val="18"/>
              </w:rPr>
            </w:pPr>
            <w:r w:rsidRPr="00D210DE">
              <w:rPr>
                <w:sz w:val="18"/>
                <w:szCs w:val="18"/>
              </w:rPr>
              <w:t xml:space="preserve">Arbeidere i NHO-bedrifter </w:t>
            </w:r>
            <w:r w:rsidRPr="00D210DE">
              <w:rPr>
                <w:sz w:val="18"/>
                <w:szCs w:val="18"/>
                <w:vertAlign w:val="superscript"/>
              </w:rPr>
              <w:t>2,7</w:t>
            </w:r>
            <w:r w:rsidRPr="00D210DE">
              <w:rPr>
                <w:sz w:val="18"/>
                <w:szCs w:val="18"/>
              </w:rPr>
              <w:t>:</w:t>
            </w:r>
          </w:p>
        </w:tc>
        <w:tc>
          <w:tcPr>
            <w:tcW w:w="236" w:type="dxa"/>
            <w:tcBorders>
              <w:bottom w:val="nil"/>
            </w:tcBorders>
          </w:tcPr>
          <w:p w14:paraId="3015D5B0" w14:textId="77777777" w:rsidR="00D210DE" w:rsidRPr="00D210DE" w:rsidRDefault="00D210DE" w:rsidP="009F2398">
            <w:pPr>
              <w:spacing w:after="40"/>
              <w:ind w:firstLine="200"/>
              <w:rPr>
                <w:sz w:val="18"/>
                <w:szCs w:val="18"/>
              </w:rPr>
            </w:pPr>
          </w:p>
        </w:tc>
        <w:tc>
          <w:tcPr>
            <w:tcW w:w="2740" w:type="dxa"/>
            <w:gridSpan w:val="2"/>
            <w:tcBorders>
              <w:bottom w:val="nil"/>
            </w:tcBorders>
            <w:noWrap/>
            <w:hideMark/>
          </w:tcPr>
          <w:p w14:paraId="50B39FF2" w14:textId="77777777" w:rsidR="00D210DE" w:rsidRPr="00D210DE" w:rsidRDefault="00D210DE" w:rsidP="000617D2">
            <w:pPr>
              <w:spacing w:after="40"/>
              <w:rPr>
                <w:sz w:val="18"/>
                <w:szCs w:val="18"/>
              </w:rPr>
            </w:pPr>
            <w:r w:rsidRPr="00D210DE">
              <w:rPr>
                <w:sz w:val="18"/>
                <w:szCs w:val="18"/>
              </w:rPr>
              <w:t>Funksjonærer i NHO-bedrifter</w:t>
            </w:r>
          </w:p>
        </w:tc>
        <w:tc>
          <w:tcPr>
            <w:tcW w:w="1948" w:type="dxa"/>
            <w:vMerge w:val="restart"/>
            <w:tcBorders>
              <w:bottom w:val="nil"/>
            </w:tcBorders>
          </w:tcPr>
          <w:p w14:paraId="160BED0B" w14:textId="77777777" w:rsidR="00D210DE" w:rsidRPr="00D210DE" w:rsidRDefault="00D210DE" w:rsidP="009F2398">
            <w:pPr>
              <w:spacing w:after="40"/>
              <w:ind w:firstLine="200"/>
              <w:jc w:val="right"/>
              <w:rPr>
                <w:sz w:val="18"/>
                <w:szCs w:val="18"/>
              </w:rPr>
            </w:pPr>
            <w:r w:rsidRPr="00D210DE">
              <w:rPr>
                <w:sz w:val="18"/>
                <w:szCs w:val="18"/>
              </w:rPr>
              <w:t>Industrien i NHO-</w:t>
            </w:r>
          </w:p>
          <w:p w14:paraId="62918893" w14:textId="77777777" w:rsidR="00D210DE" w:rsidRPr="00D210DE" w:rsidRDefault="00D210DE" w:rsidP="009F2398">
            <w:pPr>
              <w:spacing w:after="40"/>
              <w:ind w:firstLine="200"/>
              <w:jc w:val="right"/>
              <w:rPr>
                <w:sz w:val="18"/>
                <w:szCs w:val="18"/>
              </w:rPr>
            </w:pPr>
            <w:r w:rsidRPr="00D210DE">
              <w:rPr>
                <w:sz w:val="18"/>
                <w:szCs w:val="18"/>
              </w:rPr>
              <w:t>bedrifter i alt</w:t>
            </w:r>
            <w:r w:rsidRPr="00D210DE">
              <w:rPr>
                <w:sz w:val="18"/>
                <w:szCs w:val="18"/>
                <w:vertAlign w:val="superscript"/>
              </w:rPr>
              <w:t>7</w:t>
            </w:r>
          </w:p>
        </w:tc>
        <w:tc>
          <w:tcPr>
            <w:tcW w:w="1630" w:type="dxa"/>
            <w:vMerge w:val="restart"/>
            <w:tcBorders>
              <w:bottom w:val="nil"/>
            </w:tcBorders>
            <w:noWrap/>
            <w:hideMark/>
          </w:tcPr>
          <w:p w14:paraId="0431577B" w14:textId="77777777" w:rsidR="00D210DE" w:rsidRPr="00D210DE" w:rsidRDefault="00D210DE" w:rsidP="009F2398">
            <w:pPr>
              <w:spacing w:after="40"/>
              <w:ind w:firstLine="200"/>
              <w:jc w:val="right"/>
              <w:rPr>
                <w:sz w:val="18"/>
                <w:szCs w:val="18"/>
              </w:rPr>
            </w:pPr>
            <w:r w:rsidRPr="00D210DE">
              <w:rPr>
                <w:sz w:val="18"/>
                <w:szCs w:val="18"/>
              </w:rPr>
              <w:t>Forretnings- og</w:t>
            </w:r>
          </w:p>
          <w:p w14:paraId="73F5C89F" w14:textId="77777777" w:rsidR="00D210DE" w:rsidRPr="00D210DE" w:rsidRDefault="00D210DE" w:rsidP="009F2398">
            <w:pPr>
              <w:spacing w:after="40"/>
              <w:ind w:firstLine="200"/>
              <w:jc w:val="right"/>
              <w:rPr>
                <w:sz w:val="18"/>
                <w:szCs w:val="18"/>
              </w:rPr>
            </w:pPr>
            <w:r w:rsidRPr="00D210DE">
              <w:rPr>
                <w:sz w:val="18"/>
                <w:szCs w:val="18"/>
              </w:rPr>
              <w:t>sparebanker</w:t>
            </w:r>
            <w:r w:rsidRPr="00D210DE">
              <w:rPr>
                <w:sz w:val="18"/>
                <w:szCs w:val="18"/>
                <w:vertAlign w:val="superscript"/>
              </w:rPr>
              <w:t>4,7</w:t>
            </w:r>
          </w:p>
        </w:tc>
        <w:tc>
          <w:tcPr>
            <w:tcW w:w="2629" w:type="dxa"/>
            <w:gridSpan w:val="2"/>
            <w:tcBorders>
              <w:bottom w:val="nil"/>
            </w:tcBorders>
          </w:tcPr>
          <w:p w14:paraId="371E6BC8" w14:textId="77777777" w:rsidR="00D210DE" w:rsidRPr="00D210DE" w:rsidRDefault="00D210DE" w:rsidP="009F2398">
            <w:pPr>
              <w:spacing w:after="40"/>
              <w:ind w:firstLine="200"/>
              <w:jc w:val="center"/>
              <w:rPr>
                <w:sz w:val="18"/>
                <w:szCs w:val="18"/>
              </w:rPr>
            </w:pPr>
            <w:r w:rsidRPr="00D210DE">
              <w:rPr>
                <w:sz w:val="18"/>
                <w:szCs w:val="18"/>
              </w:rPr>
              <w:t> Varehandel</w:t>
            </w:r>
            <w:r w:rsidRPr="00D210DE">
              <w:rPr>
                <w:sz w:val="18"/>
                <w:szCs w:val="18"/>
                <w:vertAlign w:val="superscript"/>
              </w:rPr>
              <w:t>7</w:t>
            </w:r>
          </w:p>
        </w:tc>
      </w:tr>
      <w:tr w:rsidR="00D210DE" w:rsidRPr="00D210DE" w14:paraId="7227B45A" w14:textId="77777777" w:rsidTr="000617D2">
        <w:trPr>
          <w:trHeight w:val="271"/>
        </w:trPr>
        <w:tc>
          <w:tcPr>
            <w:tcW w:w="1910" w:type="dxa"/>
            <w:tcBorders>
              <w:bottom w:val="single" w:sz="4" w:space="0" w:color="auto"/>
            </w:tcBorders>
            <w:noWrap/>
            <w:hideMark/>
          </w:tcPr>
          <w:p w14:paraId="632BC44B" w14:textId="77777777" w:rsidR="00D210DE" w:rsidRPr="00D210DE" w:rsidRDefault="00D210DE" w:rsidP="009F2398">
            <w:pPr>
              <w:spacing w:after="40"/>
              <w:ind w:firstLine="200"/>
              <w:rPr>
                <w:sz w:val="18"/>
                <w:szCs w:val="18"/>
              </w:rPr>
            </w:pPr>
            <w:r w:rsidRPr="00D210DE">
              <w:rPr>
                <w:sz w:val="18"/>
                <w:szCs w:val="18"/>
              </w:rPr>
              <w:t>År</w:t>
            </w:r>
          </w:p>
        </w:tc>
        <w:tc>
          <w:tcPr>
            <w:tcW w:w="1610" w:type="dxa"/>
            <w:tcBorders>
              <w:bottom w:val="single" w:sz="4" w:space="0" w:color="auto"/>
            </w:tcBorders>
            <w:noWrap/>
            <w:hideMark/>
          </w:tcPr>
          <w:p w14:paraId="21165D85" w14:textId="77777777" w:rsidR="00D210DE" w:rsidRPr="00D210DE" w:rsidRDefault="00D210DE" w:rsidP="009F2398">
            <w:pPr>
              <w:spacing w:after="40"/>
              <w:ind w:firstLine="200"/>
              <w:jc w:val="right"/>
              <w:rPr>
                <w:sz w:val="18"/>
                <w:szCs w:val="18"/>
              </w:rPr>
            </w:pPr>
            <w:r w:rsidRPr="00D210DE">
              <w:rPr>
                <w:sz w:val="18"/>
                <w:szCs w:val="18"/>
              </w:rPr>
              <w:t>Landtransport</w:t>
            </w:r>
          </w:p>
        </w:tc>
        <w:tc>
          <w:tcPr>
            <w:tcW w:w="1585" w:type="dxa"/>
            <w:tcBorders>
              <w:bottom w:val="single" w:sz="4" w:space="0" w:color="auto"/>
            </w:tcBorders>
            <w:noWrap/>
            <w:hideMark/>
          </w:tcPr>
          <w:p w14:paraId="720E7CD9" w14:textId="77777777" w:rsidR="00D210DE" w:rsidRPr="00D210DE" w:rsidRDefault="00D210DE" w:rsidP="00D210DE">
            <w:pPr>
              <w:spacing w:after="40"/>
              <w:ind w:firstLine="200"/>
              <w:rPr>
                <w:sz w:val="18"/>
                <w:szCs w:val="18"/>
              </w:rPr>
            </w:pPr>
            <w:r w:rsidRPr="00D210DE">
              <w:rPr>
                <w:sz w:val="18"/>
                <w:szCs w:val="18"/>
              </w:rPr>
              <w:t>Hotell- og</w:t>
            </w:r>
            <w:r>
              <w:rPr>
                <w:sz w:val="18"/>
                <w:szCs w:val="18"/>
              </w:rPr>
              <w:t xml:space="preserve"> </w:t>
            </w:r>
            <w:r w:rsidRPr="00D210DE">
              <w:rPr>
                <w:sz w:val="18"/>
                <w:szCs w:val="18"/>
              </w:rPr>
              <w:t>rest.</w:t>
            </w:r>
            <w:r w:rsidRPr="00D210DE">
              <w:rPr>
                <w:sz w:val="18"/>
                <w:szCs w:val="18"/>
                <w:vertAlign w:val="superscript"/>
              </w:rPr>
              <w:t>3</w:t>
            </w:r>
          </w:p>
        </w:tc>
        <w:tc>
          <w:tcPr>
            <w:tcW w:w="236" w:type="dxa"/>
            <w:tcBorders>
              <w:top w:val="nil"/>
              <w:bottom w:val="single" w:sz="4" w:space="0" w:color="auto"/>
            </w:tcBorders>
          </w:tcPr>
          <w:p w14:paraId="30D88040" w14:textId="77777777" w:rsidR="00D210DE" w:rsidRPr="00D210DE" w:rsidRDefault="00D210DE" w:rsidP="009F2398">
            <w:pPr>
              <w:spacing w:after="40"/>
              <w:ind w:firstLine="200"/>
              <w:jc w:val="right"/>
              <w:rPr>
                <w:sz w:val="18"/>
                <w:szCs w:val="18"/>
              </w:rPr>
            </w:pPr>
          </w:p>
        </w:tc>
        <w:tc>
          <w:tcPr>
            <w:tcW w:w="1255" w:type="dxa"/>
            <w:tcBorders>
              <w:bottom w:val="single" w:sz="4" w:space="0" w:color="auto"/>
            </w:tcBorders>
            <w:noWrap/>
            <w:hideMark/>
          </w:tcPr>
          <w:p w14:paraId="7CBCF4FB" w14:textId="77777777" w:rsidR="00D210DE" w:rsidRPr="00D210DE" w:rsidRDefault="00D210DE" w:rsidP="009F2398">
            <w:pPr>
              <w:spacing w:after="40"/>
              <w:ind w:firstLine="200"/>
              <w:jc w:val="right"/>
              <w:rPr>
                <w:sz w:val="18"/>
                <w:szCs w:val="18"/>
              </w:rPr>
            </w:pPr>
            <w:r w:rsidRPr="00D210DE">
              <w:rPr>
                <w:sz w:val="18"/>
                <w:szCs w:val="18"/>
              </w:rPr>
              <w:t>I alt</w:t>
            </w:r>
          </w:p>
        </w:tc>
        <w:tc>
          <w:tcPr>
            <w:tcW w:w="1485" w:type="dxa"/>
            <w:tcBorders>
              <w:bottom w:val="single" w:sz="4" w:space="0" w:color="auto"/>
            </w:tcBorders>
            <w:noWrap/>
            <w:hideMark/>
          </w:tcPr>
          <w:p w14:paraId="780F4A4D" w14:textId="77777777" w:rsidR="00D210DE" w:rsidRPr="00D210DE" w:rsidRDefault="00D210DE" w:rsidP="009F2398">
            <w:pPr>
              <w:spacing w:after="40"/>
              <w:ind w:firstLine="200"/>
              <w:jc w:val="right"/>
              <w:rPr>
                <w:sz w:val="18"/>
                <w:szCs w:val="18"/>
              </w:rPr>
            </w:pPr>
            <w:r w:rsidRPr="00D210DE">
              <w:rPr>
                <w:sz w:val="18"/>
                <w:szCs w:val="18"/>
              </w:rPr>
              <w:t>Industrifunk.</w:t>
            </w:r>
          </w:p>
        </w:tc>
        <w:tc>
          <w:tcPr>
            <w:tcW w:w="1948" w:type="dxa"/>
            <w:vMerge/>
            <w:tcBorders>
              <w:bottom w:val="single" w:sz="4" w:space="0" w:color="auto"/>
            </w:tcBorders>
          </w:tcPr>
          <w:p w14:paraId="7DA25565" w14:textId="77777777" w:rsidR="00D210DE" w:rsidRPr="00D210DE" w:rsidRDefault="00D210DE" w:rsidP="009F2398">
            <w:pPr>
              <w:spacing w:after="40"/>
              <w:ind w:firstLine="200"/>
              <w:jc w:val="right"/>
              <w:rPr>
                <w:sz w:val="18"/>
                <w:szCs w:val="18"/>
              </w:rPr>
            </w:pPr>
          </w:p>
        </w:tc>
        <w:tc>
          <w:tcPr>
            <w:tcW w:w="1630" w:type="dxa"/>
            <w:vMerge/>
            <w:tcBorders>
              <w:bottom w:val="single" w:sz="4" w:space="0" w:color="auto"/>
            </w:tcBorders>
            <w:noWrap/>
            <w:hideMark/>
          </w:tcPr>
          <w:p w14:paraId="57B2F369" w14:textId="77777777" w:rsidR="00D210DE" w:rsidRPr="00D210DE" w:rsidRDefault="00D210DE" w:rsidP="009F2398">
            <w:pPr>
              <w:spacing w:after="40"/>
              <w:ind w:firstLine="200"/>
              <w:jc w:val="right"/>
              <w:rPr>
                <w:sz w:val="18"/>
                <w:szCs w:val="18"/>
              </w:rPr>
            </w:pPr>
          </w:p>
        </w:tc>
        <w:tc>
          <w:tcPr>
            <w:tcW w:w="1287" w:type="dxa"/>
            <w:tcBorders>
              <w:bottom w:val="single" w:sz="4" w:space="0" w:color="auto"/>
            </w:tcBorders>
            <w:noWrap/>
            <w:hideMark/>
          </w:tcPr>
          <w:p w14:paraId="0730D665" w14:textId="77777777" w:rsidR="00D210DE" w:rsidRPr="00D210DE" w:rsidRDefault="00D210DE" w:rsidP="009F2398">
            <w:pPr>
              <w:spacing w:after="40"/>
              <w:ind w:firstLine="200"/>
              <w:jc w:val="right"/>
              <w:rPr>
                <w:sz w:val="18"/>
                <w:szCs w:val="18"/>
              </w:rPr>
            </w:pPr>
            <w:r w:rsidRPr="00D210DE">
              <w:rPr>
                <w:sz w:val="18"/>
                <w:szCs w:val="18"/>
              </w:rPr>
              <w:t>I alt</w:t>
            </w:r>
          </w:p>
        </w:tc>
        <w:tc>
          <w:tcPr>
            <w:tcW w:w="1342" w:type="dxa"/>
            <w:tcBorders>
              <w:bottom w:val="single" w:sz="4" w:space="0" w:color="auto"/>
            </w:tcBorders>
          </w:tcPr>
          <w:p w14:paraId="779D8C99" w14:textId="77777777" w:rsidR="00D210DE" w:rsidRPr="00D210DE" w:rsidRDefault="00D210DE" w:rsidP="00D210DE">
            <w:pPr>
              <w:spacing w:after="40"/>
              <w:rPr>
                <w:sz w:val="18"/>
                <w:szCs w:val="18"/>
              </w:rPr>
            </w:pPr>
            <w:r>
              <w:rPr>
                <w:sz w:val="18"/>
                <w:szCs w:val="18"/>
              </w:rPr>
              <w:t>Virke</w:t>
            </w:r>
            <w:r w:rsidRPr="00D210DE">
              <w:rPr>
                <w:sz w:val="18"/>
                <w:szCs w:val="18"/>
              </w:rPr>
              <w:t>bedrifter</w:t>
            </w:r>
            <w:r w:rsidRPr="00D210DE">
              <w:rPr>
                <w:sz w:val="18"/>
                <w:szCs w:val="18"/>
                <w:vertAlign w:val="superscript"/>
              </w:rPr>
              <w:t>7</w:t>
            </w:r>
          </w:p>
        </w:tc>
      </w:tr>
      <w:tr w:rsidR="00D210DE" w:rsidRPr="00D210DE" w14:paraId="235F66D9" w14:textId="77777777" w:rsidTr="000617D2">
        <w:trPr>
          <w:trHeight w:val="165"/>
        </w:trPr>
        <w:tc>
          <w:tcPr>
            <w:tcW w:w="1910" w:type="dxa"/>
            <w:noWrap/>
            <w:hideMark/>
          </w:tcPr>
          <w:p w14:paraId="724873DC" w14:textId="77777777" w:rsidR="00D210DE" w:rsidRPr="00D210DE" w:rsidRDefault="00D210DE" w:rsidP="009F2398">
            <w:pPr>
              <w:spacing w:after="0"/>
              <w:ind w:firstLine="200"/>
              <w:rPr>
                <w:sz w:val="18"/>
                <w:szCs w:val="18"/>
              </w:rPr>
            </w:pPr>
            <w:r w:rsidRPr="00D210DE">
              <w:rPr>
                <w:sz w:val="18"/>
                <w:szCs w:val="18"/>
              </w:rPr>
              <w:t>2005</w:t>
            </w:r>
          </w:p>
        </w:tc>
        <w:tc>
          <w:tcPr>
            <w:tcW w:w="1610" w:type="dxa"/>
            <w:noWrap/>
            <w:hideMark/>
          </w:tcPr>
          <w:p w14:paraId="6091A8A5" w14:textId="77777777" w:rsidR="00D210DE" w:rsidRPr="00D210DE" w:rsidRDefault="00D210DE" w:rsidP="009F2398">
            <w:pPr>
              <w:spacing w:after="40"/>
              <w:ind w:firstLine="180"/>
              <w:jc w:val="right"/>
              <w:rPr>
                <w:sz w:val="18"/>
                <w:szCs w:val="18"/>
              </w:rPr>
            </w:pPr>
            <w:r w:rsidRPr="00D210DE">
              <w:rPr>
                <w:sz w:val="18"/>
                <w:szCs w:val="18"/>
              </w:rPr>
              <w:t>-</w:t>
            </w:r>
          </w:p>
        </w:tc>
        <w:tc>
          <w:tcPr>
            <w:tcW w:w="1585" w:type="dxa"/>
            <w:noWrap/>
            <w:hideMark/>
          </w:tcPr>
          <w:p w14:paraId="4EFFA72B" w14:textId="77777777" w:rsidR="00D210DE" w:rsidRPr="00D210DE" w:rsidRDefault="00D210DE" w:rsidP="009F2398">
            <w:pPr>
              <w:spacing w:after="40"/>
              <w:ind w:firstLine="180"/>
              <w:jc w:val="right"/>
              <w:rPr>
                <w:sz w:val="18"/>
                <w:szCs w:val="18"/>
              </w:rPr>
            </w:pPr>
            <w:r w:rsidRPr="00D210DE">
              <w:rPr>
                <w:sz w:val="18"/>
                <w:szCs w:val="18"/>
              </w:rPr>
              <w:t>2,5</w:t>
            </w:r>
          </w:p>
        </w:tc>
        <w:tc>
          <w:tcPr>
            <w:tcW w:w="236" w:type="dxa"/>
          </w:tcPr>
          <w:p w14:paraId="40BD05AC" w14:textId="77777777" w:rsidR="00D210DE" w:rsidRPr="00D210DE" w:rsidRDefault="00D210DE" w:rsidP="009F2398">
            <w:pPr>
              <w:spacing w:after="40"/>
              <w:ind w:firstLine="180"/>
              <w:jc w:val="right"/>
              <w:rPr>
                <w:sz w:val="18"/>
                <w:szCs w:val="18"/>
              </w:rPr>
            </w:pPr>
          </w:p>
        </w:tc>
        <w:tc>
          <w:tcPr>
            <w:tcW w:w="1255" w:type="dxa"/>
            <w:noWrap/>
            <w:hideMark/>
          </w:tcPr>
          <w:p w14:paraId="2E8F644A" w14:textId="77777777" w:rsidR="00D210DE" w:rsidRPr="00D210DE" w:rsidRDefault="00D210DE" w:rsidP="009F2398">
            <w:pPr>
              <w:spacing w:after="40"/>
              <w:ind w:firstLine="180"/>
              <w:jc w:val="right"/>
              <w:rPr>
                <w:sz w:val="18"/>
                <w:szCs w:val="18"/>
              </w:rPr>
            </w:pPr>
            <w:r w:rsidRPr="00D210DE">
              <w:rPr>
                <w:sz w:val="18"/>
                <w:szCs w:val="18"/>
              </w:rPr>
              <w:t>4,1</w:t>
            </w:r>
          </w:p>
        </w:tc>
        <w:tc>
          <w:tcPr>
            <w:tcW w:w="1485" w:type="dxa"/>
            <w:noWrap/>
            <w:hideMark/>
          </w:tcPr>
          <w:p w14:paraId="4E072554" w14:textId="77777777" w:rsidR="00D210DE" w:rsidRPr="00D210DE" w:rsidRDefault="00D210DE" w:rsidP="009F2398">
            <w:pPr>
              <w:spacing w:after="40"/>
              <w:ind w:firstLine="180"/>
              <w:jc w:val="right"/>
              <w:rPr>
                <w:sz w:val="18"/>
                <w:szCs w:val="18"/>
              </w:rPr>
            </w:pPr>
            <w:r w:rsidRPr="00D210DE">
              <w:rPr>
                <w:sz w:val="18"/>
                <w:szCs w:val="18"/>
              </w:rPr>
              <w:t>4,3</w:t>
            </w:r>
          </w:p>
        </w:tc>
        <w:tc>
          <w:tcPr>
            <w:tcW w:w="1948" w:type="dxa"/>
          </w:tcPr>
          <w:p w14:paraId="032FD512" w14:textId="77777777" w:rsidR="00D210DE" w:rsidRPr="00D210DE" w:rsidRDefault="00D210DE" w:rsidP="009F2398">
            <w:pPr>
              <w:spacing w:after="40"/>
              <w:ind w:firstLine="180"/>
              <w:jc w:val="right"/>
              <w:rPr>
                <w:sz w:val="18"/>
                <w:szCs w:val="18"/>
              </w:rPr>
            </w:pPr>
            <w:r w:rsidRPr="00D210DE">
              <w:rPr>
                <w:sz w:val="18"/>
                <w:szCs w:val="18"/>
              </w:rPr>
              <w:t>4,0</w:t>
            </w:r>
          </w:p>
        </w:tc>
        <w:tc>
          <w:tcPr>
            <w:tcW w:w="1630" w:type="dxa"/>
            <w:noWrap/>
            <w:hideMark/>
          </w:tcPr>
          <w:p w14:paraId="5D0DC6F0" w14:textId="77777777" w:rsidR="00D210DE" w:rsidRPr="00D210DE" w:rsidRDefault="00D210DE" w:rsidP="009F2398">
            <w:pPr>
              <w:spacing w:after="40"/>
              <w:ind w:firstLine="180"/>
              <w:jc w:val="right"/>
              <w:rPr>
                <w:sz w:val="18"/>
                <w:szCs w:val="18"/>
              </w:rPr>
            </w:pPr>
            <w:r w:rsidRPr="00D210DE">
              <w:rPr>
                <w:sz w:val="18"/>
                <w:szCs w:val="18"/>
              </w:rPr>
              <w:t>7,7</w:t>
            </w:r>
          </w:p>
        </w:tc>
        <w:tc>
          <w:tcPr>
            <w:tcW w:w="1287" w:type="dxa"/>
            <w:noWrap/>
            <w:hideMark/>
          </w:tcPr>
          <w:p w14:paraId="7495D641" w14:textId="77777777" w:rsidR="00D210DE" w:rsidRPr="00D210DE" w:rsidRDefault="00D210DE" w:rsidP="009F2398">
            <w:pPr>
              <w:spacing w:after="40"/>
              <w:ind w:firstLine="180"/>
              <w:jc w:val="right"/>
              <w:rPr>
                <w:sz w:val="18"/>
                <w:szCs w:val="18"/>
              </w:rPr>
            </w:pPr>
            <w:r w:rsidRPr="00D210DE">
              <w:rPr>
                <w:sz w:val="18"/>
                <w:szCs w:val="18"/>
              </w:rPr>
              <w:t>3,7</w:t>
            </w:r>
          </w:p>
        </w:tc>
        <w:tc>
          <w:tcPr>
            <w:tcW w:w="1342" w:type="dxa"/>
          </w:tcPr>
          <w:p w14:paraId="33497021" w14:textId="77777777" w:rsidR="00D210DE" w:rsidRPr="00D210DE" w:rsidRDefault="00D210DE" w:rsidP="009F2398">
            <w:pPr>
              <w:spacing w:after="40"/>
              <w:ind w:firstLine="180"/>
              <w:jc w:val="right"/>
              <w:rPr>
                <w:sz w:val="18"/>
                <w:szCs w:val="18"/>
              </w:rPr>
            </w:pPr>
            <w:r w:rsidRPr="00D210DE">
              <w:rPr>
                <w:sz w:val="18"/>
                <w:szCs w:val="18"/>
              </w:rPr>
              <w:t>3,9</w:t>
            </w:r>
          </w:p>
        </w:tc>
      </w:tr>
      <w:tr w:rsidR="00D210DE" w:rsidRPr="00D210DE" w14:paraId="38DF33DC" w14:textId="77777777" w:rsidTr="000617D2">
        <w:trPr>
          <w:trHeight w:val="165"/>
        </w:trPr>
        <w:tc>
          <w:tcPr>
            <w:tcW w:w="1910" w:type="dxa"/>
            <w:noWrap/>
            <w:hideMark/>
          </w:tcPr>
          <w:p w14:paraId="1DF969E7" w14:textId="77777777" w:rsidR="00D210DE" w:rsidRPr="00D210DE" w:rsidRDefault="00D210DE" w:rsidP="009F2398">
            <w:pPr>
              <w:spacing w:after="0"/>
              <w:ind w:firstLine="200"/>
              <w:rPr>
                <w:sz w:val="18"/>
                <w:szCs w:val="18"/>
              </w:rPr>
            </w:pPr>
            <w:r w:rsidRPr="00D210DE">
              <w:rPr>
                <w:sz w:val="18"/>
                <w:szCs w:val="18"/>
              </w:rPr>
              <w:t>2006</w:t>
            </w:r>
          </w:p>
        </w:tc>
        <w:tc>
          <w:tcPr>
            <w:tcW w:w="1610" w:type="dxa"/>
            <w:noWrap/>
            <w:hideMark/>
          </w:tcPr>
          <w:p w14:paraId="046078F2" w14:textId="77777777" w:rsidR="00D210DE" w:rsidRPr="00D210DE" w:rsidRDefault="00D210DE" w:rsidP="009F2398">
            <w:pPr>
              <w:spacing w:after="40"/>
              <w:ind w:firstLine="180"/>
              <w:jc w:val="right"/>
              <w:rPr>
                <w:sz w:val="18"/>
                <w:szCs w:val="18"/>
              </w:rPr>
            </w:pPr>
            <w:r w:rsidRPr="00D210DE">
              <w:rPr>
                <w:sz w:val="18"/>
                <w:szCs w:val="18"/>
              </w:rPr>
              <w:t>-</w:t>
            </w:r>
          </w:p>
        </w:tc>
        <w:tc>
          <w:tcPr>
            <w:tcW w:w="1585" w:type="dxa"/>
            <w:noWrap/>
            <w:hideMark/>
          </w:tcPr>
          <w:p w14:paraId="040C8DF8" w14:textId="77777777" w:rsidR="00D210DE" w:rsidRPr="00D210DE" w:rsidRDefault="00D210DE" w:rsidP="009F2398">
            <w:pPr>
              <w:spacing w:after="40"/>
              <w:ind w:firstLine="180"/>
              <w:jc w:val="right"/>
              <w:rPr>
                <w:sz w:val="18"/>
                <w:szCs w:val="18"/>
              </w:rPr>
            </w:pPr>
            <w:r w:rsidRPr="00D210DE">
              <w:rPr>
                <w:sz w:val="18"/>
                <w:szCs w:val="18"/>
              </w:rPr>
              <w:t>3,3</w:t>
            </w:r>
          </w:p>
        </w:tc>
        <w:tc>
          <w:tcPr>
            <w:tcW w:w="236" w:type="dxa"/>
          </w:tcPr>
          <w:p w14:paraId="70AF2374" w14:textId="77777777" w:rsidR="00D210DE" w:rsidRPr="00D210DE" w:rsidRDefault="00D210DE" w:rsidP="009F2398">
            <w:pPr>
              <w:spacing w:after="40"/>
              <w:ind w:firstLine="180"/>
              <w:jc w:val="right"/>
              <w:rPr>
                <w:sz w:val="18"/>
                <w:szCs w:val="18"/>
              </w:rPr>
            </w:pPr>
          </w:p>
        </w:tc>
        <w:tc>
          <w:tcPr>
            <w:tcW w:w="1255" w:type="dxa"/>
            <w:noWrap/>
            <w:hideMark/>
          </w:tcPr>
          <w:p w14:paraId="09F01A78" w14:textId="77777777" w:rsidR="00D210DE" w:rsidRPr="00D210DE" w:rsidRDefault="00D210DE" w:rsidP="009F2398">
            <w:pPr>
              <w:spacing w:after="40"/>
              <w:ind w:firstLine="180"/>
              <w:jc w:val="right"/>
              <w:rPr>
                <w:sz w:val="18"/>
                <w:szCs w:val="18"/>
              </w:rPr>
            </w:pPr>
            <w:r w:rsidRPr="00D210DE">
              <w:rPr>
                <w:sz w:val="18"/>
                <w:szCs w:val="18"/>
              </w:rPr>
              <w:t>5,1</w:t>
            </w:r>
          </w:p>
        </w:tc>
        <w:tc>
          <w:tcPr>
            <w:tcW w:w="1485" w:type="dxa"/>
            <w:noWrap/>
            <w:hideMark/>
          </w:tcPr>
          <w:p w14:paraId="5B3434D9" w14:textId="77777777" w:rsidR="00D210DE" w:rsidRPr="00D210DE" w:rsidRDefault="00D210DE" w:rsidP="009F2398">
            <w:pPr>
              <w:spacing w:after="40"/>
              <w:ind w:firstLine="180"/>
              <w:jc w:val="right"/>
              <w:rPr>
                <w:sz w:val="18"/>
                <w:szCs w:val="18"/>
              </w:rPr>
            </w:pPr>
            <w:r w:rsidRPr="00D210DE">
              <w:rPr>
                <w:sz w:val="18"/>
                <w:szCs w:val="18"/>
              </w:rPr>
              <w:t>4,6</w:t>
            </w:r>
          </w:p>
        </w:tc>
        <w:tc>
          <w:tcPr>
            <w:tcW w:w="1948" w:type="dxa"/>
          </w:tcPr>
          <w:p w14:paraId="7CDC5F11" w14:textId="77777777" w:rsidR="00D210DE" w:rsidRPr="00D210DE" w:rsidRDefault="00D210DE" w:rsidP="009F2398">
            <w:pPr>
              <w:spacing w:after="40"/>
              <w:ind w:firstLine="180"/>
              <w:jc w:val="right"/>
              <w:rPr>
                <w:sz w:val="18"/>
                <w:szCs w:val="18"/>
              </w:rPr>
            </w:pPr>
            <w:r w:rsidRPr="00D210DE">
              <w:rPr>
                <w:sz w:val="18"/>
                <w:szCs w:val="18"/>
              </w:rPr>
              <w:t>4,3</w:t>
            </w:r>
          </w:p>
        </w:tc>
        <w:tc>
          <w:tcPr>
            <w:tcW w:w="1630" w:type="dxa"/>
            <w:noWrap/>
            <w:hideMark/>
          </w:tcPr>
          <w:p w14:paraId="2D380125" w14:textId="77777777" w:rsidR="00D210DE" w:rsidRPr="00D210DE" w:rsidRDefault="00D210DE" w:rsidP="009F2398">
            <w:pPr>
              <w:spacing w:after="40"/>
              <w:ind w:firstLine="180"/>
              <w:jc w:val="right"/>
              <w:rPr>
                <w:sz w:val="18"/>
                <w:szCs w:val="18"/>
              </w:rPr>
            </w:pPr>
            <w:r w:rsidRPr="00D210DE">
              <w:rPr>
                <w:sz w:val="18"/>
                <w:szCs w:val="18"/>
              </w:rPr>
              <w:t>5,6</w:t>
            </w:r>
          </w:p>
        </w:tc>
        <w:tc>
          <w:tcPr>
            <w:tcW w:w="1287" w:type="dxa"/>
            <w:noWrap/>
            <w:hideMark/>
          </w:tcPr>
          <w:p w14:paraId="5890A68E" w14:textId="77777777" w:rsidR="00D210DE" w:rsidRPr="00D210DE" w:rsidRDefault="00D210DE" w:rsidP="009F2398">
            <w:pPr>
              <w:spacing w:after="40"/>
              <w:ind w:firstLine="180"/>
              <w:jc w:val="right"/>
              <w:rPr>
                <w:sz w:val="18"/>
                <w:szCs w:val="18"/>
              </w:rPr>
            </w:pPr>
            <w:r w:rsidRPr="00D210DE">
              <w:rPr>
                <w:sz w:val="18"/>
                <w:szCs w:val="18"/>
              </w:rPr>
              <w:t>3,4</w:t>
            </w:r>
          </w:p>
        </w:tc>
        <w:tc>
          <w:tcPr>
            <w:tcW w:w="1342" w:type="dxa"/>
          </w:tcPr>
          <w:p w14:paraId="405285AE" w14:textId="77777777" w:rsidR="00D210DE" w:rsidRPr="00D210DE" w:rsidRDefault="00D210DE" w:rsidP="009F2398">
            <w:pPr>
              <w:spacing w:after="40"/>
              <w:ind w:firstLine="180"/>
              <w:jc w:val="right"/>
              <w:rPr>
                <w:sz w:val="18"/>
                <w:szCs w:val="18"/>
              </w:rPr>
            </w:pPr>
            <w:r w:rsidRPr="00D210DE">
              <w:rPr>
                <w:sz w:val="18"/>
                <w:szCs w:val="18"/>
              </w:rPr>
              <w:t>4,2</w:t>
            </w:r>
          </w:p>
        </w:tc>
      </w:tr>
      <w:tr w:rsidR="00D210DE" w:rsidRPr="00D210DE" w14:paraId="596E9699" w14:textId="77777777" w:rsidTr="000617D2">
        <w:trPr>
          <w:trHeight w:val="165"/>
        </w:trPr>
        <w:tc>
          <w:tcPr>
            <w:tcW w:w="1910" w:type="dxa"/>
            <w:noWrap/>
            <w:hideMark/>
          </w:tcPr>
          <w:p w14:paraId="65D55BFB" w14:textId="77777777" w:rsidR="00D210DE" w:rsidRPr="00D210DE" w:rsidRDefault="00D210DE" w:rsidP="009F2398">
            <w:pPr>
              <w:spacing w:after="0"/>
              <w:ind w:firstLine="200"/>
              <w:rPr>
                <w:sz w:val="18"/>
                <w:szCs w:val="18"/>
              </w:rPr>
            </w:pPr>
            <w:r w:rsidRPr="00D210DE">
              <w:rPr>
                <w:sz w:val="18"/>
                <w:szCs w:val="18"/>
              </w:rPr>
              <w:t>2007</w:t>
            </w:r>
          </w:p>
        </w:tc>
        <w:tc>
          <w:tcPr>
            <w:tcW w:w="1610" w:type="dxa"/>
            <w:noWrap/>
            <w:hideMark/>
          </w:tcPr>
          <w:p w14:paraId="45369CF3" w14:textId="77777777" w:rsidR="00D210DE" w:rsidRPr="00D210DE" w:rsidRDefault="00D210DE" w:rsidP="009F2398">
            <w:pPr>
              <w:spacing w:after="40"/>
              <w:ind w:firstLine="180"/>
              <w:jc w:val="right"/>
              <w:rPr>
                <w:sz w:val="18"/>
                <w:szCs w:val="18"/>
              </w:rPr>
            </w:pPr>
            <w:r w:rsidRPr="00D210DE">
              <w:rPr>
                <w:sz w:val="18"/>
                <w:szCs w:val="18"/>
              </w:rPr>
              <w:t>-</w:t>
            </w:r>
          </w:p>
        </w:tc>
        <w:tc>
          <w:tcPr>
            <w:tcW w:w="1585" w:type="dxa"/>
            <w:noWrap/>
            <w:hideMark/>
          </w:tcPr>
          <w:p w14:paraId="5B2FFE47" w14:textId="77777777" w:rsidR="00D210DE" w:rsidRPr="00D210DE" w:rsidRDefault="00D210DE" w:rsidP="009F2398">
            <w:pPr>
              <w:spacing w:after="40"/>
              <w:ind w:firstLine="180"/>
              <w:jc w:val="right"/>
              <w:rPr>
                <w:sz w:val="18"/>
                <w:szCs w:val="18"/>
              </w:rPr>
            </w:pPr>
            <w:r w:rsidRPr="00D210DE">
              <w:rPr>
                <w:sz w:val="18"/>
                <w:szCs w:val="18"/>
              </w:rPr>
              <w:t>4,2</w:t>
            </w:r>
          </w:p>
        </w:tc>
        <w:tc>
          <w:tcPr>
            <w:tcW w:w="236" w:type="dxa"/>
          </w:tcPr>
          <w:p w14:paraId="5B3AC820" w14:textId="77777777" w:rsidR="00D210DE" w:rsidRPr="00D210DE" w:rsidRDefault="00D210DE" w:rsidP="009F2398">
            <w:pPr>
              <w:spacing w:after="40"/>
              <w:ind w:firstLine="180"/>
              <w:jc w:val="right"/>
              <w:rPr>
                <w:sz w:val="18"/>
                <w:szCs w:val="18"/>
              </w:rPr>
            </w:pPr>
          </w:p>
        </w:tc>
        <w:tc>
          <w:tcPr>
            <w:tcW w:w="1255" w:type="dxa"/>
            <w:noWrap/>
            <w:hideMark/>
          </w:tcPr>
          <w:p w14:paraId="791C67C3" w14:textId="77777777" w:rsidR="00D210DE" w:rsidRPr="00D210DE" w:rsidRDefault="00D210DE" w:rsidP="009F2398">
            <w:pPr>
              <w:spacing w:after="40"/>
              <w:ind w:firstLine="180"/>
              <w:jc w:val="right"/>
              <w:rPr>
                <w:sz w:val="18"/>
                <w:szCs w:val="18"/>
              </w:rPr>
            </w:pPr>
            <w:r w:rsidRPr="00D210DE">
              <w:rPr>
                <w:sz w:val="18"/>
                <w:szCs w:val="18"/>
              </w:rPr>
              <w:t>6,3</w:t>
            </w:r>
          </w:p>
        </w:tc>
        <w:tc>
          <w:tcPr>
            <w:tcW w:w="1485" w:type="dxa"/>
            <w:noWrap/>
            <w:hideMark/>
          </w:tcPr>
          <w:p w14:paraId="51C59282" w14:textId="77777777" w:rsidR="00D210DE" w:rsidRPr="00D210DE" w:rsidRDefault="00D210DE" w:rsidP="009F2398">
            <w:pPr>
              <w:spacing w:after="40"/>
              <w:ind w:firstLine="180"/>
              <w:jc w:val="right"/>
              <w:rPr>
                <w:sz w:val="18"/>
                <w:szCs w:val="18"/>
              </w:rPr>
            </w:pPr>
            <w:r w:rsidRPr="00D210DE">
              <w:rPr>
                <w:sz w:val="18"/>
                <w:szCs w:val="18"/>
              </w:rPr>
              <w:t>5,7</w:t>
            </w:r>
          </w:p>
        </w:tc>
        <w:tc>
          <w:tcPr>
            <w:tcW w:w="1948" w:type="dxa"/>
          </w:tcPr>
          <w:p w14:paraId="23926A02" w14:textId="77777777" w:rsidR="00D210DE" w:rsidRPr="00D210DE" w:rsidRDefault="00D210DE" w:rsidP="009F2398">
            <w:pPr>
              <w:spacing w:after="40"/>
              <w:ind w:firstLine="180"/>
              <w:jc w:val="right"/>
              <w:rPr>
                <w:sz w:val="18"/>
                <w:szCs w:val="18"/>
              </w:rPr>
            </w:pPr>
            <w:r w:rsidRPr="00D210DE">
              <w:rPr>
                <w:sz w:val="18"/>
                <w:szCs w:val="18"/>
              </w:rPr>
              <w:t>5,3</w:t>
            </w:r>
          </w:p>
        </w:tc>
        <w:tc>
          <w:tcPr>
            <w:tcW w:w="1630" w:type="dxa"/>
            <w:noWrap/>
            <w:hideMark/>
          </w:tcPr>
          <w:p w14:paraId="42F98DF7" w14:textId="77777777" w:rsidR="00D210DE" w:rsidRPr="00D210DE" w:rsidRDefault="00D210DE" w:rsidP="009F2398">
            <w:pPr>
              <w:spacing w:after="40"/>
              <w:ind w:firstLine="180"/>
              <w:jc w:val="right"/>
              <w:rPr>
                <w:sz w:val="18"/>
                <w:szCs w:val="18"/>
              </w:rPr>
            </w:pPr>
            <w:r w:rsidRPr="00D210DE">
              <w:rPr>
                <w:sz w:val="18"/>
                <w:szCs w:val="18"/>
              </w:rPr>
              <w:t>5,2</w:t>
            </w:r>
          </w:p>
        </w:tc>
        <w:tc>
          <w:tcPr>
            <w:tcW w:w="1287" w:type="dxa"/>
            <w:noWrap/>
            <w:hideMark/>
          </w:tcPr>
          <w:p w14:paraId="7AC82241" w14:textId="77777777" w:rsidR="00D210DE" w:rsidRPr="00D210DE" w:rsidRDefault="00D210DE" w:rsidP="009F2398">
            <w:pPr>
              <w:spacing w:after="40"/>
              <w:ind w:firstLine="180"/>
              <w:jc w:val="right"/>
              <w:rPr>
                <w:sz w:val="18"/>
                <w:szCs w:val="18"/>
              </w:rPr>
            </w:pPr>
            <w:r w:rsidRPr="00D210DE">
              <w:rPr>
                <w:sz w:val="18"/>
                <w:szCs w:val="18"/>
              </w:rPr>
              <w:t>5,9</w:t>
            </w:r>
          </w:p>
        </w:tc>
        <w:tc>
          <w:tcPr>
            <w:tcW w:w="1342" w:type="dxa"/>
          </w:tcPr>
          <w:p w14:paraId="6AD71C89" w14:textId="77777777" w:rsidR="00D210DE" w:rsidRPr="00D210DE" w:rsidRDefault="00D210DE" w:rsidP="009F2398">
            <w:pPr>
              <w:spacing w:after="40"/>
              <w:ind w:firstLine="180"/>
              <w:jc w:val="right"/>
              <w:rPr>
                <w:sz w:val="18"/>
                <w:szCs w:val="18"/>
              </w:rPr>
            </w:pPr>
            <w:r w:rsidRPr="00D210DE">
              <w:rPr>
                <w:sz w:val="18"/>
                <w:szCs w:val="18"/>
              </w:rPr>
              <w:t>5,0</w:t>
            </w:r>
          </w:p>
        </w:tc>
      </w:tr>
      <w:tr w:rsidR="00D210DE" w:rsidRPr="00D210DE" w14:paraId="0486B587" w14:textId="77777777" w:rsidTr="000617D2">
        <w:trPr>
          <w:trHeight w:val="165"/>
        </w:trPr>
        <w:tc>
          <w:tcPr>
            <w:tcW w:w="1910" w:type="dxa"/>
            <w:noWrap/>
            <w:hideMark/>
          </w:tcPr>
          <w:p w14:paraId="02945BE7" w14:textId="77777777" w:rsidR="00D210DE" w:rsidRPr="00D210DE" w:rsidRDefault="00D210DE" w:rsidP="009F2398">
            <w:pPr>
              <w:spacing w:after="0"/>
              <w:ind w:firstLine="200"/>
              <w:rPr>
                <w:sz w:val="18"/>
                <w:szCs w:val="18"/>
              </w:rPr>
            </w:pPr>
            <w:r w:rsidRPr="00D210DE">
              <w:rPr>
                <w:sz w:val="18"/>
                <w:szCs w:val="18"/>
              </w:rPr>
              <w:t>2008</w:t>
            </w:r>
          </w:p>
        </w:tc>
        <w:tc>
          <w:tcPr>
            <w:tcW w:w="1610" w:type="dxa"/>
            <w:noWrap/>
            <w:hideMark/>
          </w:tcPr>
          <w:p w14:paraId="10966B1D" w14:textId="77777777" w:rsidR="00D210DE" w:rsidRPr="00D210DE" w:rsidRDefault="00D210DE" w:rsidP="009F2398">
            <w:pPr>
              <w:spacing w:after="40"/>
              <w:ind w:firstLine="180"/>
              <w:jc w:val="right"/>
              <w:rPr>
                <w:sz w:val="18"/>
                <w:szCs w:val="18"/>
              </w:rPr>
            </w:pPr>
            <w:r w:rsidRPr="00D210DE">
              <w:rPr>
                <w:sz w:val="18"/>
                <w:szCs w:val="18"/>
              </w:rPr>
              <w:t>-</w:t>
            </w:r>
          </w:p>
        </w:tc>
        <w:tc>
          <w:tcPr>
            <w:tcW w:w="1585" w:type="dxa"/>
            <w:noWrap/>
            <w:hideMark/>
          </w:tcPr>
          <w:p w14:paraId="7597E1DE" w14:textId="77777777" w:rsidR="00D210DE" w:rsidRPr="00D210DE" w:rsidRDefault="00D210DE" w:rsidP="009F2398">
            <w:pPr>
              <w:spacing w:after="40"/>
              <w:ind w:firstLine="180"/>
              <w:jc w:val="right"/>
              <w:rPr>
                <w:sz w:val="18"/>
                <w:szCs w:val="18"/>
              </w:rPr>
            </w:pPr>
            <w:r w:rsidRPr="00D210DE">
              <w:rPr>
                <w:sz w:val="18"/>
                <w:szCs w:val="18"/>
              </w:rPr>
              <w:t>4,6</w:t>
            </w:r>
          </w:p>
        </w:tc>
        <w:tc>
          <w:tcPr>
            <w:tcW w:w="236" w:type="dxa"/>
          </w:tcPr>
          <w:p w14:paraId="5EC10A8A" w14:textId="77777777" w:rsidR="00D210DE" w:rsidRPr="00D210DE" w:rsidRDefault="00D210DE" w:rsidP="009F2398">
            <w:pPr>
              <w:spacing w:after="40"/>
              <w:ind w:firstLine="180"/>
              <w:jc w:val="right"/>
              <w:rPr>
                <w:sz w:val="18"/>
                <w:szCs w:val="18"/>
              </w:rPr>
            </w:pPr>
          </w:p>
        </w:tc>
        <w:tc>
          <w:tcPr>
            <w:tcW w:w="1255" w:type="dxa"/>
            <w:noWrap/>
            <w:hideMark/>
          </w:tcPr>
          <w:p w14:paraId="2EBE4AF1" w14:textId="77777777" w:rsidR="00D210DE" w:rsidRPr="00D210DE" w:rsidRDefault="00D210DE" w:rsidP="009F2398">
            <w:pPr>
              <w:spacing w:after="40"/>
              <w:ind w:firstLine="180"/>
              <w:jc w:val="right"/>
              <w:rPr>
                <w:sz w:val="18"/>
                <w:szCs w:val="18"/>
              </w:rPr>
            </w:pPr>
            <w:r w:rsidRPr="00D210DE">
              <w:rPr>
                <w:sz w:val="18"/>
                <w:szCs w:val="18"/>
              </w:rPr>
              <w:t>5,8</w:t>
            </w:r>
          </w:p>
        </w:tc>
        <w:tc>
          <w:tcPr>
            <w:tcW w:w="1485" w:type="dxa"/>
            <w:noWrap/>
            <w:hideMark/>
          </w:tcPr>
          <w:p w14:paraId="554DCE39" w14:textId="77777777" w:rsidR="00D210DE" w:rsidRPr="00D210DE" w:rsidRDefault="00D210DE" w:rsidP="009F2398">
            <w:pPr>
              <w:spacing w:after="40"/>
              <w:ind w:firstLine="180"/>
              <w:jc w:val="right"/>
              <w:rPr>
                <w:sz w:val="18"/>
                <w:szCs w:val="18"/>
              </w:rPr>
            </w:pPr>
            <w:r w:rsidRPr="00D210DE">
              <w:rPr>
                <w:sz w:val="18"/>
                <w:szCs w:val="18"/>
              </w:rPr>
              <w:t>6,3</w:t>
            </w:r>
          </w:p>
        </w:tc>
        <w:tc>
          <w:tcPr>
            <w:tcW w:w="1948" w:type="dxa"/>
          </w:tcPr>
          <w:p w14:paraId="24ED5646" w14:textId="77777777" w:rsidR="00D210DE" w:rsidRPr="00D210DE" w:rsidRDefault="00D210DE" w:rsidP="009F2398">
            <w:pPr>
              <w:spacing w:after="40"/>
              <w:ind w:firstLine="180"/>
              <w:jc w:val="right"/>
              <w:rPr>
                <w:sz w:val="18"/>
                <w:szCs w:val="18"/>
              </w:rPr>
            </w:pPr>
            <w:r w:rsidRPr="00D210DE">
              <w:rPr>
                <w:sz w:val="18"/>
                <w:szCs w:val="18"/>
              </w:rPr>
              <w:t>6,1</w:t>
            </w:r>
          </w:p>
        </w:tc>
        <w:tc>
          <w:tcPr>
            <w:tcW w:w="1630" w:type="dxa"/>
            <w:noWrap/>
            <w:hideMark/>
          </w:tcPr>
          <w:p w14:paraId="40136EAE" w14:textId="77777777" w:rsidR="00D210DE" w:rsidRPr="00D210DE" w:rsidRDefault="00D210DE" w:rsidP="009F2398">
            <w:pPr>
              <w:spacing w:after="40"/>
              <w:ind w:firstLine="180"/>
              <w:jc w:val="right"/>
              <w:rPr>
                <w:sz w:val="18"/>
                <w:szCs w:val="18"/>
              </w:rPr>
            </w:pPr>
            <w:r w:rsidRPr="00D210DE">
              <w:rPr>
                <w:sz w:val="18"/>
                <w:szCs w:val="18"/>
              </w:rPr>
              <w:t>9,2</w:t>
            </w:r>
          </w:p>
        </w:tc>
        <w:tc>
          <w:tcPr>
            <w:tcW w:w="1287" w:type="dxa"/>
            <w:noWrap/>
            <w:hideMark/>
          </w:tcPr>
          <w:p w14:paraId="4489EC57" w14:textId="77777777" w:rsidR="00D210DE" w:rsidRPr="00D210DE" w:rsidRDefault="00D210DE" w:rsidP="009F2398">
            <w:pPr>
              <w:spacing w:after="40"/>
              <w:ind w:firstLine="180"/>
              <w:jc w:val="right"/>
              <w:rPr>
                <w:sz w:val="18"/>
                <w:szCs w:val="18"/>
              </w:rPr>
            </w:pPr>
            <w:r w:rsidRPr="00D210DE">
              <w:rPr>
                <w:sz w:val="18"/>
                <w:szCs w:val="18"/>
              </w:rPr>
              <w:t>4,3</w:t>
            </w:r>
          </w:p>
        </w:tc>
        <w:tc>
          <w:tcPr>
            <w:tcW w:w="1342" w:type="dxa"/>
          </w:tcPr>
          <w:p w14:paraId="7A3CAB5B" w14:textId="77777777" w:rsidR="00D210DE" w:rsidRPr="00D210DE" w:rsidRDefault="00D210DE" w:rsidP="009F2398">
            <w:pPr>
              <w:spacing w:after="40"/>
              <w:ind w:firstLine="180"/>
              <w:jc w:val="right"/>
              <w:rPr>
                <w:sz w:val="18"/>
                <w:szCs w:val="18"/>
              </w:rPr>
            </w:pPr>
            <w:r w:rsidRPr="00D210DE">
              <w:rPr>
                <w:sz w:val="18"/>
                <w:szCs w:val="18"/>
              </w:rPr>
              <w:t>4,4</w:t>
            </w:r>
          </w:p>
        </w:tc>
      </w:tr>
      <w:tr w:rsidR="00D210DE" w:rsidRPr="00D210DE" w14:paraId="7F2ED94E" w14:textId="77777777" w:rsidTr="000617D2">
        <w:trPr>
          <w:trHeight w:val="165"/>
        </w:trPr>
        <w:tc>
          <w:tcPr>
            <w:tcW w:w="1910" w:type="dxa"/>
            <w:noWrap/>
            <w:hideMark/>
          </w:tcPr>
          <w:p w14:paraId="3EEEAC13" w14:textId="77777777" w:rsidR="00D210DE" w:rsidRPr="00D210DE" w:rsidRDefault="00D210DE" w:rsidP="009F2398">
            <w:pPr>
              <w:spacing w:after="0"/>
              <w:ind w:firstLine="200"/>
              <w:rPr>
                <w:sz w:val="18"/>
                <w:szCs w:val="18"/>
              </w:rPr>
            </w:pPr>
            <w:r w:rsidRPr="00D210DE">
              <w:rPr>
                <w:sz w:val="18"/>
                <w:szCs w:val="18"/>
              </w:rPr>
              <w:t>2009</w:t>
            </w:r>
          </w:p>
        </w:tc>
        <w:tc>
          <w:tcPr>
            <w:tcW w:w="1610" w:type="dxa"/>
            <w:noWrap/>
            <w:hideMark/>
          </w:tcPr>
          <w:p w14:paraId="654C18EF" w14:textId="77777777" w:rsidR="00D210DE" w:rsidRPr="00D210DE" w:rsidRDefault="00D210DE" w:rsidP="009F2398">
            <w:pPr>
              <w:spacing w:after="40"/>
              <w:ind w:firstLine="180"/>
              <w:jc w:val="right"/>
              <w:rPr>
                <w:sz w:val="18"/>
                <w:szCs w:val="18"/>
              </w:rPr>
            </w:pPr>
            <w:r w:rsidRPr="00D210DE">
              <w:rPr>
                <w:sz w:val="18"/>
                <w:szCs w:val="18"/>
              </w:rPr>
              <w:t>4,7</w:t>
            </w:r>
          </w:p>
        </w:tc>
        <w:tc>
          <w:tcPr>
            <w:tcW w:w="1585" w:type="dxa"/>
            <w:noWrap/>
            <w:hideMark/>
          </w:tcPr>
          <w:p w14:paraId="33658655" w14:textId="77777777" w:rsidR="00D210DE" w:rsidRPr="00D210DE" w:rsidRDefault="00D210DE" w:rsidP="009F2398">
            <w:pPr>
              <w:spacing w:after="40"/>
              <w:ind w:firstLine="180"/>
              <w:jc w:val="right"/>
              <w:rPr>
                <w:sz w:val="18"/>
                <w:szCs w:val="18"/>
              </w:rPr>
            </w:pPr>
            <w:r w:rsidRPr="00D210DE">
              <w:rPr>
                <w:sz w:val="18"/>
                <w:szCs w:val="18"/>
              </w:rPr>
              <w:t>3,1</w:t>
            </w:r>
          </w:p>
        </w:tc>
        <w:tc>
          <w:tcPr>
            <w:tcW w:w="236" w:type="dxa"/>
          </w:tcPr>
          <w:p w14:paraId="58DF27DF" w14:textId="77777777" w:rsidR="00D210DE" w:rsidRPr="00D210DE" w:rsidRDefault="00D210DE" w:rsidP="009F2398">
            <w:pPr>
              <w:spacing w:after="40"/>
              <w:ind w:firstLine="180"/>
              <w:jc w:val="right"/>
              <w:rPr>
                <w:sz w:val="18"/>
                <w:szCs w:val="18"/>
              </w:rPr>
            </w:pPr>
          </w:p>
        </w:tc>
        <w:tc>
          <w:tcPr>
            <w:tcW w:w="1255" w:type="dxa"/>
            <w:noWrap/>
            <w:hideMark/>
          </w:tcPr>
          <w:p w14:paraId="04096A4F" w14:textId="77777777" w:rsidR="00D210DE" w:rsidRPr="00D210DE" w:rsidRDefault="00D210DE" w:rsidP="009F2398">
            <w:pPr>
              <w:spacing w:after="40"/>
              <w:ind w:firstLine="180"/>
              <w:jc w:val="right"/>
              <w:rPr>
                <w:sz w:val="18"/>
                <w:szCs w:val="18"/>
              </w:rPr>
            </w:pPr>
            <w:r w:rsidRPr="00D210DE">
              <w:rPr>
                <w:sz w:val="18"/>
                <w:szCs w:val="18"/>
              </w:rPr>
              <w:t>4,7</w:t>
            </w:r>
          </w:p>
        </w:tc>
        <w:tc>
          <w:tcPr>
            <w:tcW w:w="1485" w:type="dxa"/>
            <w:noWrap/>
            <w:hideMark/>
          </w:tcPr>
          <w:p w14:paraId="7840196F" w14:textId="77777777" w:rsidR="00D210DE" w:rsidRPr="00D210DE" w:rsidRDefault="00D210DE" w:rsidP="009F2398">
            <w:pPr>
              <w:spacing w:after="40"/>
              <w:ind w:firstLine="180"/>
              <w:jc w:val="right"/>
              <w:rPr>
                <w:sz w:val="18"/>
                <w:szCs w:val="18"/>
              </w:rPr>
            </w:pPr>
            <w:r w:rsidRPr="00D210DE">
              <w:rPr>
                <w:sz w:val="18"/>
                <w:szCs w:val="18"/>
              </w:rPr>
              <w:t>4,59</w:t>
            </w:r>
          </w:p>
        </w:tc>
        <w:tc>
          <w:tcPr>
            <w:tcW w:w="1948" w:type="dxa"/>
          </w:tcPr>
          <w:p w14:paraId="4E1CB521" w14:textId="77777777" w:rsidR="00D210DE" w:rsidRPr="00D210DE" w:rsidRDefault="00D210DE" w:rsidP="009F2398">
            <w:pPr>
              <w:spacing w:after="40"/>
              <w:ind w:firstLine="180"/>
              <w:jc w:val="right"/>
              <w:rPr>
                <w:sz w:val="18"/>
                <w:szCs w:val="18"/>
              </w:rPr>
            </w:pPr>
            <w:r w:rsidRPr="00D210DE">
              <w:rPr>
                <w:sz w:val="18"/>
                <w:szCs w:val="18"/>
              </w:rPr>
              <w:t>4,2</w:t>
            </w:r>
          </w:p>
        </w:tc>
        <w:tc>
          <w:tcPr>
            <w:tcW w:w="1630" w:type="dxa"/>
            <w:noWrap/>
            <w:hideMark/>
          </w:tcPr>
          <w:p w14:paraId="3E5D8BEE" w14:textId="77777777" w:rsidR="00D210DE" w:rsidRPr="00D210DE" w:rsidRDefault="00D210DE" w:rsidP="009F2398">
            <w:pPr>
              <w:spacing w:after="40"/>
              <w:ind w:firstLine="180"/>
              <w:jc w:val="right"/>
              <w:rPr>
                <w:sz w:val="18"/>
                <w:szCs w:val="18"/>
              </w:rPr>
            </w:pPr>
            <w:r w:rsidRPr="00D210DE">
              <w:rPr>
                <w:sz w:val="18"/>
                <w:szCs w:val="18"/>
              </w:rPr>
              <w:t>0,4</w:t>
            </w:r>
          </w:p>
        </w:tc>
        <w:tc>
          <w:tcPr>
            <w:tcW w:w="1287" w:type="dxa"/>
            <w:noWrap/>
            <w:hideMark/>
          </w:tcPr>
          <w:p w14:paraId="25CDF43E" w14:textId="77777777" w:rsidR="00D210DE" w:rsidRPr="00D210DE" w:rsidRDefault="00D210DE" w:rsidP="009F2398">
            <w:pPr>
              <w:spacing w:after="40"/>
              <w:ind w:firstLine="180"/>
              <w:jc w:val="right"/>
              <w:rPr>
                <w:sz w:val="18"/>
                <w:szCs w:val="18"/>
              </w:rPr>
            </w:pPr>
            <w:r w:rsidRPr="00D210DE">
              <w:rPr>
                <w:sz w:val="18"/>
                <w:szCs w:val="18"/>
              </w:rPr>
              <w:t>3,0</w:t>
            </w:r>
          </w:p>
        </w:tc>
        <w:tc>
          <w:tcPr>
            <w:tcW w:w="1342" w:type="dxa"/>
          </w:tcPr>
          <w:p w14:paraId="691FACA3" w14:textId="77777777" w:rsidR="00D210DE" w:rsidRPr="00D210DE" w:rsidRDefault="00D210DE" w:rsidP="009F2398">
            <w:pPr>
              <w:spacing w:after="40"/>
              <w:ind w:firstLine="180"/>
              <w:jc w:val="right"/>
              <w:rPr>
                <w:sz w:val="18"/>
                <w:szCs w:val="18"/>
              </w:rPr>
            </w:pPr>
            <w:r w:rsidRPr="00D210DE">
              <w:rPr>
                <w:sz w:val="18"/>
                <w:szCs w:val="18"/>
              </w:rPr>
              <w:t>1,8</w:t>
            </w:r>
          </w:p>
        </w:tc>
      </w:tr>
      <w:tr w:rsidR="00D210DE" w:rsidRPr="00D210DE" w14:paraId="184AEBED" w14:textId="77777777" w:rsidTr="000617D2">
        <w:trPr>
          <w:trHeight w:val="165"/>
        </w:trPr>
        <w:tc>
          <w:tcPr>
            <w:tcW w:w="1910" w:type="dxa"/>
            <w:noWrap/>
            <w:hideMark/>
          </w:tcPr>
          <w:p w14:paraId="43537B59" w14:textId="77777777" w:rsidR="00D210DE" w:rsidRPr="00D210DE" w:rsidRDefault="00D210DE" w:rsidP="009F2398">
            <w:pPr>
              <w:spacing w:after="0"/>
              <w:ind w:firstLine="200"/>
              <w:rPr>
                <w:sz w:val="18"/>
                <w:szCs w:val="18"/>
              </w:rPr>
            </w:pPr>
            <w:r w:rsidRPr="00D210DE">
              <w:rPr>
                <w:sz w:val="18"/>
                <w:szCs w:val="18"/>
              </w:rPr>
              <w:t>2010</w:t>
            </w:r>
          </w:p>
        </w:tc>
        <w:tc>
          <w:tcPr>
            <w:tcW w:w="1610" w:type="dxa"/>
            <w:noWrap/>
            <w:hideMark/>
          </w:tcPr>
          <w:p w14:paraId="74AFE277" w14:textId="77777777" w:rsidR="00D210DE" w:rsidRPr="00D210DE" w:rsidRDefault="00D210DE" w:rsidP="009F2398">
            <w:pPr>
              <w:spacing w:after="40"/>
              <w:ind w:firstLine="180"/>
              <w:jc w:val="right"/>
              <w:rPr>
                <w:sz w:val="18"/>
                <w:szCs w:val="18"/>
              </w:rPr>
            </w:pPr>
            <w:r w:rsidRPr="00D210DE">
              <w:rPr>
                <w:sz w:val="18"/>
                <w:szCs w:val="18"/>
              </w:rPr>
              <w:t>3,6</w:t>
            </w:r>
          </w:p>
        </w:tc>
        <w:tc>
          <w:tcPr>
            <w:tcW w:w="1585" w:type="dxa"/>
            <w:noWrap/>
            <w:hideMark/>
          </w:tcPr>
          <w:p w14:paraId="1A8FE6F8" w14:textId="77777777" w:rsidR="00D210DE" w:rsidRPr="00D210DE" w:rsidRDefault="00D210DE" w:rsidP="009F2398">
            <w:pPr>
              <w:spacing w:after="40"/>
              <w:ind w:firstLine="180"/>
              <w:jc w:val="right"/>
              <w:rPr>
                <w:sz w:val="18"/>
                <w:szCs w:val="18"/>
              </w:rPr>
            </w:pPr>
            <w:r w:rsidRPr="00D210DE">
              <w:rPr>
                <w:sz w:val="18"/>
                <w:szCs w:val="18"/>
              </w:rPr>
              <w:t>3,1</w:t>
            </w:r>
          </w:p>
        </w:tc>
        <w:tc>
          <w:tcPr>
            <w:tcW w:w="236" w:type="dxa"/>
          </w:tcPr>
          <w:p w14:paraId="1D9C75C3" w14:textId="77777777" w:rsidR="00D210DE" w:rsidRPr="00D210DE" w:rsidRDefault="00D210DE" w:rsidP="009F2398">
            <w:pPr>
              <w:spacing w:after="40"/>
              <w:ind w:firstLine="180"/>
              <w:jc w:val="right"/>
              <w:rPr>
                <w:sz w:val="18"/>
                <w:szCs w:val="18"/>
              </w:rPr>
            </w:pPr>
          </w:p>
        </w:tc>
        <w:tc>
          <w:tcPr>
            <w:tcW w:w="1255" w:type="dxa"/>
            <w:noWrap/>
            <w:hideMark/>
          </w:tcPr>
          <w:p w14:paraId="165E8020" w14:textId="77777777" w:rsidR="00D210DE" w:rsidRPr="00D210DE" w:rsidRDefault="00D210DE" w:rsidP="009F2398">
            <w:pPr>
              <w:spacing w:after="40"/>
              <w:ind w:firstLine="180"/>
              <w:jc w:val="right"/>
              <w:rPr>
                <w:sz w:val="18"/>
                <w:szCs w:val="18"/>
              </w:rPr>
            </w:pPr>
            <w:r w:rsidRPr="00D210DE">
              <w:rPr>
                <w:sz w:val="18"/>
                <w:szCs w:val="18"/>
              </w:rPr>
              <w:t>4,4</w:t>
            </w:r>
          </w:p>
        </w:tc>
        <w:tc>
          <w:tcPr>
            <w:tcW w:w="1485" w:type="dxa"/>
            <w:noWrap/>
            <w:hideMark/>
          </w:tcPr>
          <w:p w14:paraId="42660DA3" w14:textId="77777777" w:rsidR="00D210DE" w:rsidRPr="00D210DE" w:rsidRDefault="00D210DE" w:rsidP="009F2398">
            <w:pPr>
              <w:spacing w:after="40"/>
              <w:ind w:firstLine="180"/>
              <w:jc w:val="right"/>
              <w:rPr>
                <w:sz w:val="18"/>
                <w:szCs w:val="18"/>
              </w:rPr>
            </w:pPr>
            <w:r w:rsidRPr="00D210DE">
              <w:rPr>
                <w:sz w:val="18"/>
                <w:szCs w:val="18"/>
              </w:rPr>
              <w:t>4,3</w:t>
            </w:r>
          </w:p>
        </w:tc>
        <w:tc>
          <w:tcPr>
            <w:tcW w:w="1948" w:type="dxa"/>
          </w:tcPr>
          <w:p w14:paraId="60260107" w14:textId="77777777" w:rsidR="00D210DE" w:rsidRPr="00D210DE" w:rsidRDefault="00D210DE" w:rsidP="009F2398">
            <w:pPr>
              <w:spacing w:after="40"/>
              <w:ind w:firstLine="180"/>
              <w:jc w:val="right"/>
              <w:rPr>
                <w:sz w:val="18"/>
                <w:szCs w:val="18"/>
              </w:rPr>
            </w:pPr>
            <w:r w:rsidRPr="00D210DE">
              <w:rPr>
                <w:sz w:val="18"/>
                <w:szCs w:val="18"/>
              </w:rPr>
              <w:t>4,1</w:t>
            </w:r>
          </w:p>
        </w:tc>
        <w:tc>
          <w:tcPr>
            <w:tcW w:w="1630" w:type="dxa"/>
            <w:noWrap/>
            <w:hideMark/>
          </w:tcPr>
          <w:p w14:paraId="2D024914" w14:textId="77777777" w:rsidR="00D210DE" w:rsidRPr="00D210DE" w:rsidRDefault="00D210DE" w:rsidP="009F2398">
            <w:pPr>
              <w:spacing w:after="40"/>
              <w:ind w:firstLine="180"/>
              <w:jc w:val="right"/>
              <w:rPr>
                <w:sz w:val="18"/>
                <w:szCs w:val="18"/>
              </w:rPr>
            </w:pPr>
            <w:r w:rsidRPr="00D210DE">
              <w:rPr>
                <w:sz w:val="18"/>
                <w:szCs w:val="18"/>
              </w:rPr>
              <w:t>5,9</w:t>
            </w:r>
          </w:p>
        </w:tc>
        <w:tc>
          <w:tcPr>
            <w:tcW w:w="1287" w:type="dxa"/>
            <w:noWrap/>
            <w:hideMark/>
          </w:tcPr>
          <w:p w14:paraId="4BBA4E72" w14:textId="77777777" w:rsidR="00D210DE" w:rsidRPr="00D210DE" w:rsidRDefault="00D210DE" w:rsidP="009F2398">
            <w:pPr>
              <w:spacing w:after="40"/>
              <w:ind w:firstLine="180"/>
              <w:jc w:val="right"/>
              <w:rPr>
                <w:sz w:val="18"/>
                <w:szCs w:val="18"/>
              </w:rPr>
            </w:pPr>
            <w:r w:rsidRPr="00D210DE">
              <w:rPr>
                <w:sz w:val="18"/>
                <w:szCs w:val="18"/>
              </w:rPr>
              <w:t>2,9</w:t>
            </w:r>
          </w:p>
        </w:tc>
        <w:tc>
          <w:tcPr>
            <w:tcW w:w="1342" w:type="dxa"/>
          </w:tcPr>
          <w:p w14:paraId="45603E82" w14:textId="77777777" w:rsidR="00D210DE" w:rsidRPr="00D210DE" w:rsidRDefault="00D210DE" w:rsidP="009F2398">
            <w:pPr>
              <w:spacing w:after="40"/>
              <w:ind w:firstLine="180"/>
              <w:jc w:val="right"/>
              <w:rPr>
                <w:sz w:val="18"/>
                <w:szCs w:val="18"/>
              </w:rPr>
            </w:pPr>
            <w:r w:rsidRPr="00D210DE">
              <w:rPr>
                <w:sz w:val="18"/>
                <w:szCs w:val="18"/>
              </w:rPr>
              <w:t>3,6</w:t>
            </w:r>
          </w:p>
        </w:tc>
      </w:tr>
      <w:tr w:rsidR="00D210DE" w:rsidRPr="00D210DE" w14:paraId="196F4811" w14:textId="77777777" w:rsidTr="000617D2">
        <w:trPr>
          <w:trHeight w:val="157"/>
        </w:trPr>
        <w:tc>
          <w:tcPr>
            <w:tcW w:w="1910" w:type="dxa"/>
            <w:noWrap/>
            <w:hideMark/>
          </w:tcPr>
          <w:p w14:paraId="0D49AFC1" w14:textId="77777777" w:rsidR="00D210DE" w:rsidRPr="00D210DE" w:rsidRDefault="00D210DE" w:rsidP="009F2398">
            <w:pPr>
              <w:spacing w:after="0"/>
              <w:ind w:firstLine="200"/>
              <w:rPr>
                <w:sz w:val="18"/>
                <w:szCs w:val="18"/>
              </w:rPr>
            </w:pPr>
            <w:r w:rsidRPr="00D210DE">
              <w:rPr>
                <w:sz w:val="18"/>
                <w:szCs w:val="18"/>
              </w:rPr>
              <w:t>2011</w:t>
            </w:r>
          </w:p>
        </w:tc>
        <w:tc>
          <w:tcPr>
            <w:tcW w:w="1610" w:type="dxa"/>
            <w:noWrap/>
            <w:hideMark/>
          </w:tcPr>
          <w:p w14:paraId="5EE82B9E" w14:textId="77777777" w:rsidR="00D210DE" w:rsidRPr="00D210DE" w:rsidRDefault="00D210DE" w:rsidP="009F2398">
            <w:pPr>
              <w:spacing w:after="40"/>
              <w:ind w:firstLine="180"/>
              <w:jc w:val="right"/>
              <w:rPr>
                <w:sz w:val="18"/>
                <w:szCs w:val="18"/>
              </w:rPr>
            </w:pPr>
            <w:r w:rsidRPr="00D210DE">
              <w:rPr>
                <w:sz w:val="18"/>
                <w:szCs w:val="18"/>
              </w:rPr>
              <w:t>3,5</w:t>
            </w:r>
          </w:p>
        </w:tc>
        <w:tc>
          <w:tcPr>
            <w:tcW w:w="1585" w:type="dxa"/>
            <w:noWrap/>
            <w:hideMark/>
          </w:tcPr>
          <w:p w14:paraId="0BDE488F" w14:textId="77777777" w:rsidR="00D210DE" w:rsidRPr="00D210DE" w:rsidRDefault="00D210DE" w:rsidP="009F2398">
            <w:pPr>
              <w:spacing w:after="40"/>
              <w:ind w:firstLine="180"/>
              <w:jc w:val="right"/>
              <w:rPr>
                <w:sz w:val="18"/>
                <w:szCs w:val="18"/>
              </w:rPr>
            </w:pPr>
            <w:r w:rsidRPr="00D210DE">
              <w:rPr>
                <w:sz w:val="18"/>
                <w:szCs w:val="18"/>
              </w:rPr>
              <w:t>3,4</w:t>
            </w:r>
          </w:p>
        </w:tc>
        <w:tc>
          <w:tcPr>
            <w:tcW w:w="236" w:type="dxa"/>
          </w:tcPr>
          <w:p w14:paraId="69924899" w14:textId="77777777" w:rsidR="00D210DE" w:rsidRPr="00D210DE" w:rsidRDefault="00D210DE" w:rsidP="009F2398">
            <w:pPr>
              <w:spacing w:after="40"/>
              <w:ind w:firstLine="180"/>
              <w:jc w:val="right"/>
              <w:rPr>
                <w:sz w:val="18"/>
                <w:szCs w:val="18"/>
              </w:rPr>
            </w:pPr>
          </w:p>
        </w:tc>
        <w:tc>
          <w:tcPr>
            <w:tcW w:w="1255" w:type="dxa"/>
            <w:noWrap/>
            <w:hideMark/>
          </w:tcPr>
          <w:p w14:paraId="2BF80DB2" w14:textId="77777777" w:rsidR="00D210DE" w:rsidRPr="00D210DE" w:rsidRDefault="00D210DE" w:rsidP="009F2398">
            <w:pPr>
              <w:spacing w:after="40"/>
              <w:ind w:firstLine="180"/>
              <w:jc w:val="right"/>
              <w:rPr>
                <w:sz w:val="18"/>
                <w:szCs w:val="18"/>
              </w:rPr>
            </w:pPr>
            <w:r w:rsidRPr="00D210DE">
              <w:rPr>
                <w:sz w:val="18"/>
                <w:szCs w:val="18"/>
              </w:rPr>
              <w:t>4,9</w:t>
            </w:r>
          </w:p>
        </w:tc>
        <w:tc>
          <w:tcPr>
            <w:tcW w:w="1485" w:type="dxa"/>
            <w:noWrap/>
            <w:hideMark/>
          </w:tcPr>
          <w:p w14:paraId="66321FA8" w14:textId="77777777" w:rsidR="00D210DE" w:rsidRPr="00D210DE" w:rsidRDefault="00D210DE" w:rsidP="009F2398">
            <w:pPr>
              <w:spacing w:after="40"/>
              <w:ind w:firstLine="180"/>
              <w:jc w:val="right"/>
              <w:rPr>
                <w:sz w:val="18"/>
                <w:szCs w:val="18"/>
              </w:rPr>
            </w:pPr>
            <w:r w:rsidRPr="00D210DE">
              <w:rPr>
                <w:sz w:val="18"/>
                <w:szCs w:val="18"/>
              </w:rPr>
              <w:t>4,7</w:t>
            </w:r>
          </w:p>
        </w:tc>
        <w:tc>
          <w:tcPr>
            <w:tcW w:w="1948" w:type="dxa"/>
          </w:tcPr>
          <w:p w14:paraId="2BF56080" w14:textId="77777777" w:rsidR="00D210DE" w:rsidRPr="00D210DE" w:rsidRDefault="00D210DE" w:rsidP="009F2398">
            <w:pPr>
              <w:spacing w:after="40"/>
              <w:ind w:firstLine="180"/>
              <w:jc w:val="right"/>
              <w:rPr>
                <w:sz w:val="18"/>
                <w:szCs w:val="18"/>
              </w:rPr>
            </w:pPr>
            <w:r w:rsidRPr="00D210DE">
              <w:rPr>
                <w:sz w:val="18"/>
                <w:szCs w:val="18"/>
              </w:rPr>
              <w:t>4,6</w:t>
            </w:r>
          </w:p>
        </w:tc>
        <w:tc>
          <w:tcPr>
            <w:tcW w:w="1630" w:type="dxa"/>
            <w:noWrap/>
            <w:hideMark/>
          </w:tcPr>
          <w:p w14:paraId="7F83DAA0" w14:textId="77777777" w:rsidR="00D210DE" w:rsidRPr="00D210DE" w:rsidRDefault="00D210DE" w:rsidP="009F2398">
            <w:pPr>
              <w:spacing w:after="40"/>
              <w:ind w:firstLine="180"/>
              <w:jc w:val="right"/>
              <w:rPr>
                <w:sz w:val="18"/>
                <w:szCs w:val="18"/>
              </w:rPr>
            </w:pPr>
            <w:r w:rsidRPr="00D210DE">
              <w:rPr>
                <w:sz w:val="18"/>
                <w:szCs w:val="18"/>
              </w:rPr>
              <w:t>4,9</w:t>
            </w:r>
          </w:p>
        </w:tc>
        <w:tc>
          <w:tcPr>
            <w:tcW w:w="1287" w:type="dxa"/>
            <w:noWrap/>
            <w:hideMark/>
          </w:tcPr>
          <w:p w14:paraId="00671AF3" w14:textId="77777777" w:rsidR="00D210DE" w:rsidRPr="00D210DE" w:rsidRDefault="00D210DE" w:rsidP="009F2398">
            <w:pPr>
              <w:spacing w:after="40"/>
              <w:ind w:firstLine="180"/>
              <w:jc w:val="right"/>
              <w:rPr>
                <w:sz w:val="18"/>
                <w:szCs w:val="18"/>
              </w:rPr>
            </w:pPr>
            <w:r w:rsidRPr="00D210DE">
              <w:rPr>
                <w:sz w:val="18"/>
                <w:szCs w:val="18"/>
              </w:rPr>
              <w:t>3,6</w:t>
            </w:r>
          </w:p>
        </w:tc>
        <w:tc>
          <w:tcPr>
            <w:tcW w:w="1342" w:type="dxa"/>
          </w:tcPr>
          <w:p w14:paraId="0E818245" w14:textId="77777777" w:rsidR="00D210DE" w:rsidRPr="00D210DE" w:rsidRDefault="00D210DE" w:rsidP="009F2398">
            <w:pPr>
              <w:spacing w:after="40"/>
              <w:ind w:firstLine="180"/>
              <w:jc w:val="right"/>
              <w:rPr>
                <w:sz w:val="18"/>
                <w:szCs w:val="18"/>
              </w:rPr>
            </w:pPr>
            <w:r w:rsidRPr="00D210DE">
              <w:rPr>
                <w:sz w:val="18"/>
                <w:szCs w:val="18"/>
              </w:rPr>
              <w:t>3,6</w:t>
            </w:r>
          </w:p>
        </w:tc>
      </w:tr>
      <w:tr w:rsidR="00D210DE" w:rsidRPr="00D210DE" w14:paraId="747E2EBA" w14:textId="77777777" w:rsidTr="000617D2">
        <w:trPr>
          <w:trHeight w:val="157"/>
        </w:trPr>
        <w:tc>
          <w:tcPr>
            <w:tcW w:w="1910" w:type="dxa"/>
            <w:noWrap/>
            <w:hideMark/>
          </w:tcPr>
          <w:p w14:paraId="5D2C8275" w14:textId="77777777" w:rsidR="00D210DE" w:rsidRPr="00D210DE" w:rsidRDefault="00D210DE" w:rsidP="009F2398">
            <w:pPr>
              <w:spacing w:after="0"/>
              <w:ind w:firstLine="200"/>
              <w:rPr>
                <w:sz w:val="18"/>
                <w:szCs w:val="18"/>
              </w:rPr>
            </w:pPr>
            <w:r w:rsidRPr="00D210DE">
              <w:rPr>
                <w:sz w:val="18"/>
                <w:szCs w:val="18"/>
              </w:rPr>
              <w:t>2012</w:t>
            </w:r>
          </w:p>
        </w:tc>
        <w:tc>
          <w:tcPr>
            <w:tcW w:w="1610" w:type="dxa"/>
            <w:noWrap/>
            <w:hideMark/>
          </w:tcPr>
          <w:p w14:paraId="0F959D14" w14:textId="77777777" w:rsidR="00D210DE" w:rsidRPr="00D210DE" w:rsidRDefault="00D210DE" w:rsidP="009F2398">
            <w:pPr>
              <w:spacing w:after="40"/>
              <w:ind w:firstLine="180"/>
              <w:jc w:val="right"/>
              <w:rPr>
                <w:sz w:val="18"/>
                <w:szCs w:val="18"/>
              </w:rPr>
            </w:pPr>
            <w:r w:rsidRPr="00D210DE">
              <w:rPr>
                <w:sz w:val="18"/>
                <w:szCs w:val="18"/>
              </w:rPr>
              <w:t>5,7</w:t>
            </w:r>
          </w:p>
        </w:tc>
        <w:tc>
          <w:tcPr>
            <w:tcW w:w="1585" w:type="dxa"/>
            <w:noWrap/>
            <w:hideMark/>
          </w:tcPr>
          <w:p w14:paraId="79B7B465" w14:textId="77777777" w:rsidR="00D210DE" w:rsidRPr="00D210DE" w:rsidRDefault="00D210DE" w:rsidP="009F2398">
            <w:pPr>
              <w:spacing w:after="40"/>
              <w:ind w:firstLine="180"/>
              <w:jc w:val="right"/>
              <w:rPr>
                <w:sz w:val="18"/>
                <w:szCs w:val="18"/>
              </w:rPr>
            </w:pPr>
            <w:r w:rsidRPr="00D210DE">
              <w:rPr>
                <w:sz w:val="18"/>
                <w:szCs w:val="18"/>
              </w:rPr>
              <w:t>3,0</w:t>
            </w:r>
          </w:p>
        </w:tc>
        <w:tc>
          <w:tcPr>
            <w:tcW w:w="236" w:type="dxa"/>
          </w:tcPr>
          <w:p w14:paraId="1790865F" w14:textId="77777777" w:rsidR="00D210DE" w:rsidRPr="00D210DE" w:rsidRDefault="00D210DE" w:rsidP="009F2398">
            <w:pPr>
              <w:spacing w:after="40"/>
              <w:ind w:firstLine="180"/>
              <w:jc w:val="right"/>
              <w:rPr>
                <w:sz w:val="18"/>
                <w:szCs w:val="18"/>
              </w:rPr>
            </w:pPr>
          </w:p>
        </w:tc>
        <w:tc>
          <w:tcPr>
            <w:tcW w:w="1255" w:type="dxa"/>
            <w:noWrap/>
            <w:hideMark/>
          </w:tcPr>
          <w:p w14:paraId="1E7FB1C5" w14:textId="77777777" w:rsidR="00D210DE" w:rsidRPr="00D210DE" w:rsidRDefault="00D210DE" w:rsidP="009F2398">
            <w:pPr>
              <w:spacing w:after="40"/>
              <w:ind w:firstLine="180"/>
              <w:jc w:val="right"/>
              <w:rPr>
                <w:sz w:val="18"/>
                <w:szCs w:val="18"/>
              </w:rPr>
            </w:pPr>
            <w:r w:rsidRPr="00D210DE">
              <w:rPr>
                <w:sz w:val="18"/>
                <w:szCs w:val="18"/>
              </w:rPr>
              <w:t>4,2</w:t>
            </w:r>
          </w:p>
        </w:tc>
        <w:tc>
          <w:tcPr>
            <w:tcW w:w="1485" w:type="dxa"/>
            <w:noWrap/>
            <w:hideMark/>
          </w:tcPr>
          <w:p w14:paraId="23D3A271" w14:textId="77777777" w:rsidR="00D210DE" w:rsidRPr="00D210DE" w:rsidRDefault="00D210DE" w:rsidP="009F2398">
            <w:pPr>
              <w:spacing w:after="40"/>
              <w:ind w:firstLine="180"/>
              <w:jc w:val="right"/>
              <w:rPr>
                <w:sz w:val="18"/>
                <w:szCs w:val="18"/>
              </w:rPr>
            </w:pPr>
            <w:r w:rsidRPr="00D210DE">
              <w:rPr>
                <w:sz w:val="18"/>
                <w:szCs w:val="18"/>
              </w:rPr>
              <w:t>4,1</w:t>
            </w:r>
          </w:p>
        </w:tc>
        <w:tc>
          <w:tcPr>
            <w:tcW w:w="1948" w:type="dxa"/>
          </w:tcPr>
          <w:p w14:paraId="090B94A8" w14:textId="77777777" w:rsidR="00D210DE" w:rsidRPr="00D210DE" w:rsidRDefault="00D210DE" w:rsidP="009F2398">
            <w:pPr>
              <w:spacing w:after="40"/>
              <w:ind w:firstLine="180"/>
              <w:jc w:val="right"/>
              <w:rPr>
                <w:sz w:val="18"/>
                <w:szCs w:val="18"/>
              </w:rPr>
            </w:pPr>
            <w:r w:rsidRPr="00D210DE">
              <w:rPr>
                <w:sz w:val="18"/>
                <w:szCs w:val="18"/>
              </w:rPr>
              <w:t>4,2</w:t>
            </w:r>
          </w:p>
        </w:tc>
        <w:tc>
          <w:tcPr>
            <w:tcW w:w="1630" w:type="dxa"/>
            <w:noWrap/>
            <w:hideMark/>
          </w:tcPr>
          <w:p w14:paraId="1C52AF13" w14:textId="77777777" w:rsidR="00D210DE" w:rsidRPr="00D210DE" w:rsidRDefault="00D210DE" w:rsidP="009F2398">
            <w:pPr>
              <w:spacing w:after="40"/>
              <w:ind w:firstLine="180"/>
              <w:jc w:val="right"/>
              <w:rPr>
                <w:sz w:val="18"/>
                <w:szCs w:val="18"/>
              </w:rPr>
            </w:pPr>
            <w:r w:rsidRPr="00D210DE">
              <w:rPr>
                <w:sz w:val="18"/>
                <w:szCs w:val="18"/>
              </w:rPr>
              <w:t>3,0</w:t>
            </w:r>
          </w:p>
        </w:tc>
        <w:tc>
          <w:tcPr>
            <w:tcW w:w="1287" w:type="dxa"/>
            <w:noWrap/>
            <w:hideMark/>
          </w:tcPr>
          <w:p w14:paraId="2B132EAA" w14:textId="77777777" w:rsidR="00D210DE" w:rsidRPr="00D210DE" w:rsidRDefault="00D210DE" w:rsidP="009F2398">
            <w:pPr>
              <w:spacing w:after="40"/>
              <w:ind w:firstLine="180"/>
              <w:jc w:val="right"/>
              <w:rPr>
                <w:sz w:val="18"/>
                <w:szCs w:val="18"/>
              </w:rPr>
            </w:pPr>
            <w:r w:rsidRPr="00D210DE">
              <w:rPr>
                <w:sz w:val="18"/>
                <w:szCs w:val="18"/>
              </w:rPr>
              <w:t>3,2</w:t>
            </w:r>
          </w:p>
        </w:tc>
        <w:tc>
          <w:tcPr>
            <w:tcW w:w="1342" w:type="dxa"/>
          </w:tcPr>
          <w:p w14:paraId="19F20388" w14:textId="77777777" w:rsidR="00D210DE" w:rsidRPr="00D210DE" w:rsidRDefault="00D210DE" w:rsidP="009F2398">
            <w:pPr>
              <w:spacing w:after="40"/>
              <w:ind w:firstLine="180"/>
              <w:jc w:val="right"/>
              <w:rPr>
                <w:sz w:val="18"/>
                <w:szCs w:val="18"/>
              </w:rPr>
            </w:pPr>
            <w:r w:rsidRPr="00D210DE">
              <w:rPr>
                <w:sz w:val="18"/>
                <w:szCs w:val="18"/>
              </w:rPr>
              <w:t>3,3</w:t>
            </w:r>
          </w:p>
        </w:tc>
      </w:tr>
      <w:tr w:rsidR="00D210DE" w:rsidRPr="00D210DE" w14:paraId="39795CF2" w14:textId="77777777" w:rsidTr="000617D2">
        <w:trPr>
          <w:trHeight w:val="157"/>
        </w:trPr>
        <w:tc>
          <w:tcPr>
            <w:tcW w:w="1910" w:type="dxa"/>
            <w:tcBorders>
              <w:bottom w:val="nil"/>
            </w:tcBorders>
            <w:noWrap/>
            <w:hideMark/>
          </w:tcPr>
          <w:p w14:paraId="27D389DC" w14:textId="77777777" w:rsidR="00D210DE" w:rsidRPr="00D210DE" w:rsidRDefault="00D210DE" w:rsidP="009F2398">
            <w:pPr>
              <w:spacing w:after="0"/>
              <w:ind w:firstLine="200"/>
              <w:rPr>
                <w:sz w:val="18"/>
                <w:szCs w:val="18"/>
              </w:rPr>
            </w:pPr>
            <w:r w:rsidRPr="00D210DE">
              <w:rPr>
                <w:sz w:val="18"/>
                <w:szCs w:val="18"/>
              </w:rPr>
              <w:t>2013</w:t>
            </w:r>
          </w:p>
        </w:tc>
        <w:tc>
          <w:tcPr>
            <w:tcW w:w="1610" w:type="dxa"/>
            <w:tcBorders>
              <w:bottom w:val="nil"/>
            </w:tcBorders>
            <w:noWrap/>
            <w:hideMark/>
          </w:tcPr>
          <w:p w14:paraId="795C9329" w14:textId="77777777" w:rsidR="00D210DE" w:rsidRPr="00D210DE" w:rsidRDefault="00D210DE" w:rsidP="009F2398">
            <w:pPr>
              <w:spacing w:after="40"/>
              <w:ind w:firstLine="180"/>
              <w:jc w:val="right"/>
              <w:rPr>
                <w:sz w:val="18"/>
                <w:szCs w:val="18"/>
              </w:rPr>
            </w:pPr>
            <w:r w:rsidRPr="00D210DE">
              <w:rPr>
                <w:sz w:val="18"/>
                <w:szCs w:val="18"/>
              </w:rPr>
              <w:t>5,1</w:t>
            </w:r>
          </w:p>
        </w:tc>
        <w:tc>
          <w:tcPr>
            <w:tcW w:w="1585" w:type="dxa"/>
            <w:tcBorders>
              <w:bottom w:val="nil"/>
            </w:tcBorders>
            <w:noWrap/>
            <w:hideMark/>
          </w:tcPr>
          <w:p w14:paraId="6F868EB7" w14:textId="77777777" w:rsidR="00D210DE" w:rsidRPr="00D210DE" w:rsidRDefault="00D210DE" w:rsidP="009F2398">
            <w:pPr>
              <w:spacing w:after="40"/>
              <w:ind w:firstLine="180"/>
              <w:jc w:val="right"/>
              <w:rPr>
                <w:sz w:val="18"/>
                <w:szCs w:val="18"/>
              </w:rPr>
            </w:pPr>
            <w:r w:rsidRPr="00D210DE">
              <w:rPr>
                <w:sz w:val="18"/>
                <w:szCs w:val="18"/>
              </w:rPr>
              <w:t>3,3</w:t>
            </w:r>
          </w:p>
        </w:tc>
        <w:tc>
          <w:tcPr>
            <w:tcW w:w="236" w:type="dxa"/>
            <w:tcBorders>
              <w:bottom w:val="nil"/>
            </w:tcBorders>
          </w:tcPr>
          <w:p w14:paraId="181E0861" w14:textId="77777777" w:rsidR="00D210DE" w:rsidRPr="00D210DE" w:rsidRDefault="00D210DE" w:rsidP="009F2398">
            <w:pPr>
              <w:spacing w:after="40"/>
              <w:ind w:firstLine="180"/>
              <w:jc w:val="right"/>
              <w:rPr>
                <w:sz w:val="18"/>
                <w:szCs w:val="18"/>
              </w:rPr>
            </w:pPr>
          </w:p>
        </w:tc>
        <w:tc>
          <w:tcPr>
            <w:tcW w:w="1255" w:type="dxa"/>
            <w:tcBorders>
              <w:bottom w:val="nil"/>
            </w:tcBorders>
            <w:noWrap/>
            <w:hideMark/>
          </w:tcPr>
          <w:p w14:paraId="53343B7E" w14:textId="77777777" w:rsidR="00D210DE" w:rsidRPr="00D210DE" w:rsidRDefault="00D210DE" w:rsidP="009F2398">
            <w:pPr>
              <w:spacing w:after="40"/>
              <w:ind w:firstLine="180"/>
              <w:jc w:val="right"/>
              <w:rPr>
                <w:sz w:val="18"/>
                <w:szCs w:val="18"/>
              </w:rPr>
            </w:pPr>
            <w:r w:rsidRPr="00D210DE">
              <w:rPr>
                <w:sz w:val="18"/>
                <w:szCs w:val="18"/>
              </w:rPr>
              <w:t>4,3</w:t>
            </w:r>
          </w:p>
        </w:tc>
        <w:tc>
          <w:tcPr>
            <w:tcW w:w="1485" w:type="dxa"/>
            <w:tcBorders>
              <w:bottom w:val="nil"/>
            </w:tcBorders>
            <w:noWrap/>
            <w:hideMark/>
          </w:tcPr>
          <w:p w14:paraId="15DB2AD7" w14:textId="77777777" w:rsidR="00D210DE" w:rsidRPr="00D210DE" w:rsidRDefault="00D210DE" w:rsidP="009F2398">
            <w:pPr>
              <w:spacing w:after="40"/>
              <w:ind w:firstLine="180"/>
              <w:jc w:val="right"/>
              <w:rPr>
                <w:sz w:val="18"/>
                <w:szCs w:val="18"/>
              </w:rPr>
            </w:pPr>
            <w:r w:rsidRPr="00D210DE">
              <w:rPr>
                <w:sz w:val="18"/>
                <w:szCs w:val="18"/>
              </w:rPr>
              <w:t>4,3</w:t>
            </w:r>
          </w:p>
        </w:tc>
        <w:tc>
          <w:tcPr>
            <w:tcW w:w="1948" w:type="dxa"/>
            <w:tcBorders>
              <w:bottom w:val="nil"/>
            </w:tcBorders>
          </w:tcPr>
          <w:p w14:paraId="14073A52" w14:textId="77777777" w:rsidR="00D210DE" w:rsidRPr="00D210DE" w:rsidRDefault="00D210DE" w:rsidP="009F2398">
            <w:pPr>
              <w:spacing w:after="40"/>
              <w:ind w:firstLine="180"/>
              <w:jc w:val="right"/>
              <w:rPr>
                <w:sz w:val="18"/>
                <w:szCs w:val="18"/>
              </w:rPr>
            </w:pPr>
            <w:r w:rsidRPr="00D210DE">
              <w:rPr>
                <w:sz w:val="18"/>
                <w:szCs w:val="18"/>
              </w:rPr>
              <w:t>3,9</w:t>
            </w:r>
          </w:p>
        </w:tc>
        <w:tc>
          <w:tcPr>
            <w:tcW w:w="1630" w:type="dxa"/>
            <w:tcBorders>
              <w:bottom w:val="nil"/>
            </w:tcBorders>
            <w:noWrap/>
            <w:hideMark/>
          </w:tcPr>
          <w:p w14:paraId="745528D0" w14:textId="77777777" w:rsidR="00D210DE" w:rsidRPr="00D210DE" w:rsidRDefault="00D210DE" w:rsidP="009F2398">
            <w:pPr>
              <w:spacing w:after="40"/>
              <w:ind w:firstLine="180"/>
              <w:jc w:val="right"/>
              <w:rPr>
                <w:sz w:val="18"/>
                <w:szCs w:val="18"/>
              </w:rPr>
            </w:pPr>
            <w:r w:rsidRPr="00D210DE">
              <w:rPr>
                <w:sz w:val="18"/>
                <w:szCs w:val="18"/>
              </w:rPr>
              <w:t>6,7</w:t>
            </w:r>
          </w:p>
        </w:tc>
        <w:tc>
          <w:tcPr>
            <w:tcW w:w="1287" w:type="dxa"/>
            <w:tcBorders>
              <w:bottom w:val="nil"/>
            </w:tcBorders>
            <w:noWrap/>
            <w:hideMark/>
          </w:tcPr>
          <w:p w14:paraId="020BA947" w14:textId="77777777" w:rsidR="00D210DE" w:rsidRPr="00D210DE" w:rsidRDefault="00D210DE" w:rsidP="009F2398">
            <w:pPr>
              <w:spacing w:after="40"/>
              <w:ind w:firstLine="180"/>
              <w:jc w:val="right"/>
              <w:rPr>
                <w:sz w:val="18"/>
                <w:szCs w:val="18"/>
              </w:rPr>
            </w:pPr>
            <w:r w:rsidRPr="00D210DE">
              <w:rPr>
                <w:sz w:val="18"/>
                <w:szCs w:val="18"/>
              </w:rPr>
              <w:t>3,4</w:t>
            </w:r>
          </w:p>
        </w:tc>
        <w:tc>
          <w:tcPr>
            <w:tcW w:w="1342" w:type="dxa"/>
            <w:tcBorders>
              <w:bottom w:val="nil"/>
            </w:tcBorders>
          </w:tcPr>
          <w:p w14:paraId="1469CA0F" w14:textId="77777777" w:rsidR="00D210DE" w:rsidRPr="00D210DE" w:rsidRDefault="00D210DE" w:rsidP="009F2398">
            <w:pPr>
              <w:spacing w:after="40"/>
              <w:ind w:firstLine="180"/>
              <w:jc w:val="right"/>
              <w:rPr>
                <w:sz w:val="18"/>
                <w:szCs w:val="18"/>
              </w:rPr>
            </w:pPr>
            <w:r w:rsidRPr="00D210DE">
              <w:rPr>
                <w:sz w:val="18"/>
                <w:szCs w:val="18"/>
              </w:rPr>
              <w:t>4,0</w:t>
            </w:r>
          </w:p>
        </w:tc>
      </w:tr>
      <w:tr w:rsidR="00D210DE" w:rsidRPr="00D210DE" w14:paraId="1682C08C" w14:textId="77777777" w:rsidTr="000617D2">
        <w:trPr>
          <w:trHeight w:val="157"/>
        </w:trPr>
        <w:tc>
          <w:tcPr>
            <w:tcW w:w="1910" w:type="dxa"/>
            <w:tcBorders>
              <w:bottom w:val="single" w:sz="4" w:space="0" w:color="auto"/>
            </w:tcBorders>
            <w:noWrap/>
            <w:hideMark/>
          </w:tcPr>
          <w:p w14:paraId="7FEF82EE" w14:textId="77777777" w:rsidR="00D210DE" w:rsidRPr="00D210DE" w:rsidRDefault="00D210DE" w:rsidP="009F2398">
            <w:pPr>
              <w:spacing w:after="0"/>
              <w:ind w:firstLine="200"/>
              <w:rPr>
                <w:sz w:val="18"/>
                <w:szCs w:val="18"/>
              </w:rPr>
            </w:pPr>
            <w:r w:rsidRPr="00D210DE">
              <w:rPr>
                <w:sz w:val="18"/>
                <w:szCs w:val="18"/>
              </w:rPr>
              <w:t>2014</w:t>
            </w:r>
          </w:p>
        </w:tc>
        <w:tc>
          <w:tcPr>
            <w:tcW w:w="1610" w:type="dxa"/>
            <w:tcBorders>
              <w:bottom w:val="single" w:sz="4" w:space="0" w:color="auto"/>
            </w:tcBorders>
            <w:noWrap/>
            <w:hideMark/>
          </w:tcPr>
          <w:p w14:paraId="227EEE8E" w14:textId="77777777" w:rsidR="00D210DE" w:rsidRPr="00D210DE" w:rsidRDefault="008D0749" w:rsidP="009F2398">
            <w:pPr>
              <w:spacing w:after="40"/>
              <w:ind w:firstLine="180"/>
              <w:jc w:val="right"/>
              <w:rPr>
                <w:sz w:val="18"/>
                <w:szCs w:val="18"/>
              </w:rPr>
            </w:pPr>
            <w:r>
              <w:rPr>
                <w:sz w:val="18"/>
                <w:szCs w:val="18"/>
              </w:rPr>
              <w:t>3,0</w:t>
            </w:r>
          </w:p>
        </w:tc>
        <w:tc>
          <w:tcPr>
            <w:tcW w:w="1585" w:type="dxa"/>
            <w:tcBorders>
              <w:bottom w:val="single" w:sz="4" w:space="0" w:color="auto"/>
            </w:tcBorders>
            <w:noWrap/>
            <w:hideMark/>
          </w:tcPr>
          <w:p w14:paraId="7A928E6E" w14:textId="77777777" w:rsidR="00D210DE" w:rsidRPr="00D210DE" w:rsidRDefault="00D210DE" w:rsidP="009F2398">
            <w:pPr>
              <w:spacing w:after="40"/>
              <w:ind w:firstLine="180"/>
              <w:jc w:val="right"/>
              <w:rPr>
                <w:sz w:val="18"/>
                <w:szCs w:val="18"/>
              </w:rPr>
            </w:pPr>
            <w:r w:rsidRPr="00D210DE">
              <w:rPr>
                <w:sz w:val="18"/>
                <w:szCs w:val="18"/>
              </w:rPr>
              <w:t>3</w:t>
            </w:r>
            <w:r w:rsidR="008D0749">
              <w:rPr>
                <w:sz w:val="18"/>
                <w:szCs w:val="18"/>
              </w:rPr>
              <w:t>,1</w:t>
            </w:r>
          </w:p>
        </w:tc>
        <w:tc>
          <w:tcPr>
            <w:tcW w:w="236" w:type="dxa"/>
            <w:tcBorders>
              <w:bottom w:val="single" w:sz="4" w:space="0" w:color="auto"/>
            </w:tcBorders>
          </w:tcPr>
          <w:p w14:paraId="636F11C9" w14:textId="77777777" w:rsidR="00D210DE" w:rsidRPr="00D210DE" w:rsidRDefault="00D210DE" w:rsidP="009F2398">
            <w:pPr>
              <w:spacing w:after="40"/>
              <w:ind w:firstLine="180"/>
              <w:jc w:val="right"/>
              <w:rPr>
                <w:sz w:val="18"/>
                <w:szCs w:val="18"/>
              </w:rPr>
            </w:pPr>
          </w:p>
        </w:tc>
        <w:tc>
          <w:tcPr>
            <w:tcW w:w="1255" w:type="dxa"/>
            <w:tcBorders>
              <w:bottom w:val="single" w:sz="4" w:space="0" w:color="auto"/>
            </w:tcBorders>
            <w:noWrap/>
            <w:hideMark/>
          </w:tcPr>
          <w:p w14:paraId="370A47BA" w14:textId="77777777" w:rsidR="00D210DE" w:rsidRPr="00D210DE" w:rsidRDefault="008D0749" w:rsidP="009F2398">
            <w:pPr>
              <w:spacing w:after="40"/>
              <w:ind w:firstLine="180"/>
              <w:jc w:val="right"/>
              <w:rPr>
                <w:sz w:val="18"/>
                <w:szCs w:val="18"/>
              </w:rPr>
            </w:pPr>
            <w:r>
              <w:rPr>
                <w:sz w:val="18"/>
                <w:szCs w:val="18"/>
              </w:rPr>
              <w:t>3,3</w:t>
            </w:r>
          </w:p>
        </w:tc>
        <w:tc>
          <w:tcPr>
            <w:tcW w:w="1485" w:type="dxa"/>
            <w:tcBorders>
              <w:bottom w:val="single" w:sz="4" w:space="0" w:color="auto"/>
            </w:tcBorders>
            <w:noWrap/>
            <w:hideMark/>
          </w:tcPr>
          <w:p w14:paraId="206E8024" w14:textId="77777777" w:rsidR="00D210DE" w:rsidRPr="00D210DE" w:rsidRDefault="00D210DE" w:rsidP="008D0749">
            <w:pPr>
              <w:spacing w:after="40"/>
              <w:ind w:firstLine="180"/>
              <w:jc w:val="right"/>
              <w:rPr>
                <w:sz w:val="18"/>
                <w:szCs w:val="18"/>
              </w:rPr>
            </w:pPr>
            <w:r w:rsidRPr="00D210DE">
              <w:rPr>
                <w:sz w:val="18"/>
                <w:szCs w:val="18"/>
              </w:rPr>
              <w:t>3</w:t>
            </w:r>
            <w:r w:rsidR="008D0749">
              <w:rPr>
                <w:sz w:val="18"/>
                <w:szCs w:val="18"/>
              </w:rPr>
              <w:t>,2</w:t>
            </w:r>
          </w:p>
        </w:tc>
        <w:tc>
          <w:tcPr>
            <w:tcW w:w="1948" w:type="dxa"/>
            <w:tcBorders>
              <w:bottom w:val="single" w:sz="4" w:space="0" w:color="auto"/>
            </w:tcBorders>
          </w:tcPr>
          <w:p w14:paraId="4A36A930" w14:textId="77777777" w:rsidR="00D210DE" w:rsidRPr="00D210DE" w:rsidRDefault="00D210DE" w:rsidP="008D0749">
            <w:pPr>
              <w:spacing w:after="40"/>
              <w:ind w:firstLine="180"/>
              <w:jc w:val="right"/>
              <w:rPr>
                <w:sz w:val="18"/>
                <w:szCs w:val="18"/>
              </w:rPr>
            </w:pPr>
            <w:r w:rsidRPr="00D210DE">
              <w:rPr>
                <w:sz w:val="18"/>
                <w:szCs w:val="18"/>
              </w:rPr>
              <w:t>3</w:t>
            </w:r>
            <w:r w:rsidR="008D0749">
              <w:rPr>
                <w:sz w:val="18"/>
                <w:szCs w:val="18"/>
              </w:rPr>
              <w:t>,3</w:t>
            </w:r>
          </w:p>
        </w:tc>
        <w:tc>
          <w:tcPr>
            <w:tcW w:w="1630" w:type="dxa"/>
            <w:tcBorders>
              <w:bottom w:val="single" w:sz="4" w:space="0" w:color="auto"/>
            </w:tcBorders>
            <w:noWrap/>
            <w:hideMark/>
          </w:tcPr>
          <w:p w14:paraId="2E05748D" w14:textId="77777777" w:rsidR="00D210DE" w:rsidRPr="00D210DE" w:rsidRDefault="00D210DE" w:rsidP="009F2398">
            <w:pPr>
              <w:spacing w:after="40"/>
              <w:ind w:firstLine="180"/>
              <w:jc w:val="right"/>
              <w:rPr>
                <w:sz w:val="18"/>
                <w:szCs w:val="18"/>
              </w:rPr>
            </w:pPr>
            <w:r w:rsidRPr="00D210DE">
              <w:rPr>
                <w:sz w:val="18"/>
                <w:szCs w:val="18"/>
              </w:rPr>
              <w:t>2,9</w:t>
            </w:r>
          </w:p>
        </w:tc>
        <w:tc>
          <w:tcPr>
            <w:tcW w:w="1287" w:type="dxa"/>
            <w:tcBorders>
              <w:bottom w:val="single" w:sz="4" w:space="0" w:color="auto"/>
            </w:tcBorders>
            <w:noWrap/>
            <w:hideMark/>
          </w:tcPr>
          <w:p w14:paraId="2254FE18" w14:textId="77777777" w:rsidR="00D210DE" w:rsidRPr="00D210DE" w:rsidRDefault="005A4A42" w:rsidP="009F2398">
            <w:pPr>
              <w:spacing w:after="40"/>
              <w:ind w:firstLine="180"/>
              <w:jc w:val="right"/>
              <w:rPr>
                <w:sz w:val="18"/>
                <w:szCs w:val="18"/>
              </w:rPr>
            </w:pPr>
            <w:r>
              <w:rPr>
                <w:sz w:val="18"/>
                <w:szCs w:val="18"/>
              </w:rPr>
              <w:t>1,6</w:t>
            </w:r>
          </w:p>
        </w:tc>
        <w:tc>
          <w:tcPr>
            <w:tcW w:w="1342" w:type="dxa"/>
            <w:tcBorders>
              <w:bottom w:val="single" w:sz="4" w:space="0" w:color="auto"/>
            </w:tcBorders>
          </w:tcPr>
          <w:p w14:paraId="31A4B364" w14:textId="77777777" w:rsidR="00D210DE" w:rsidRPr="00D210DE" w:rsidRDefault="00D210DE" w:rsidP="009F2398">
            <w:pPr>
              <w:spacing w:after="40"/>
              <w:ind w:firstLine="180"/>
              <w:jc w:val="right"/>
              <w:rPr>
                <w:sz w:val="18"/>
                <w:szCs w:val="18"/>
              </w:rPr>
            </w:pPr>
            <w:r w:rsidRPr="00D210DE">
              <w:rPr>
                <w:sz w:val="18"/>
                <w:szCs w:val="18"/>
              </w:rPr>
              <w:t>3,5</w:t>
            </w:r>
          </w:p>
        </w:tc>
      </w:tr>
      <w:tr w:rsidR="005A482C" w:rsidRPr="00D210DE" w14:paraId="3662CE37" w14:textId="77777777" w:rsidTr="000617D2">
        <w:trPr>
          <w:trHeight w:val="165"/>
        </w:trPr>
        <w:tc>
          <w:tcPr>
            <w:tcW w:w="1910" w:type="dxa"/>
            <w:tcBorders>
              <w:top w:val="single" w:sz="4" w:space="0" w:color="auto"/>
            </w:tcBorders>
            <w:noWrap/>
            <w:hideMark/>
          </w:tcPr>
          <w:p w14:paraId="31217DB2" w14:textId="77777777" w:rsidR="005A482C" w:rsidRPr="00D210DE" w:rsidRDefault="005A482C" w:rsidP="005A4A42">
            <w:pPr>
              <w:spacing w:after="0"/>
              <w:ind w:firstLine="200"/>
              <w:rPr>
                <w:sz w:val="18"/>
                <w:szCs w:val="18"/>
              </w:rPr>
            </w:pPr>
            <w:r w:rsidRPr="00D210DE">
              <w:rPr>
                <w:sz w:val="18"/>
                <w:szCs w:val="18"/>
              </w:rPr>
              <w:t>200</w:t>
            </w:r>
            <w:r>
              <w:rPr>
                <w:sz w:val="18"/>
                <w:szCs w:val="18"/>
              </w:rPr>
              <w:t>4</w:t>
            </w:r>
            <w:r w:rsidRPr="00D210DE">
              <w:rPr>
                <w:sz w:val="18"/>
                <w:szCs w:val="18"/>
              </w:rPr>
              <w:t>-1</w:t>
            </w:r>
            <w:r>
              <w:rPr>
                <w:sz w:val="18"/>
                <w:szCs w:val="18"/>
              </w:rPr>
              <w:t>4</w:t>
            </w:r>
          </w:p>
        </w:tc>
        <w:tc>
          <w:tcPr>
            <w:tcW w:w="1610" w:type="dxa"/>
            <w:tcBorders>
              <w:top w:val="single" w:sz="4" w:space="0" w:color="auto"/>
            </w:tcBorders>
            <w:noWrap/>
            <w:hideMark/>
          </w:tcPr>
          <w:p w14:paraId="6CDFF066" w14:textId="77777777" w:rsidR="005A482C" w:rsidRPr="00D210DE" w:rsidRDefault="005A482C" w:rsidP="009F2398">
            <w:pPr>
              <w:spacing w:after="0"/>
              <w:ind w:firstLine="200"/>
              <w:jc w:val="right"/>
              <w:rPr>
                <w:sz w:val="18"/>
                <w:szCs w:val="18"/>
              </w:rPr>
            </w:pPr>
            <w:r w:rsidRPr="00D210DE">
              <w:rPr>
                <w:sz w:val="18"/>
                <w:szCs w:val="18"/>
              </w:rPr>
              <w:t>-</w:t>
            </w:r>
          </w:p>
        </w:tc>
        <w:tc>
          <w:tcPr>
            <w:tcW w:w="1585" w:type="dxa"/>
            <w:tcBorders>
              <w:top w:val="single" w:sz="4" w:space="0" w:color="auto"/>
            </w:tcBorders>
            <w:noWrap/>
            <w:vAlign w:val="bottom"/>
            <w:hideMark/>
          </w:tcPr>
          <w:p w14:paraId="661677FB"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39,1</w:t>
            </w:r>
          </w:p>
        </w:tc>
        <w:tc>
          <w:tcPr>
            <w:tcW w:w="236" w:type="dxa"/>
            <w:tcBorders>
              <w:top w:val="single" w:sz="4" w:space="0" w:color="auto"/>
            </w:tcBorders>
          </w:tcPr>
          <w:p w14:paraId="0705CD00"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p>
        </w:tc>
        <w:tc>
          <w:tcPr>
            <w:tcW w:w="1255" w:type="dxa"/>
            <w:tcBorders>
              <w:top w:val="single" w:sz="4" w:space="0" w:color="auto"/>
            </w:tcBorders>
            <w:noWrap/>
            <w:vAlign w:val="bottom"/>
            <w:hideMark/>
          </w:tcPr>
          <w:p w14:paraId="0496334C"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58,4</w:t>
            </w:r>
          </w:p>
        </w:tc>
        <w:tc>
          <w:tcPr>
            <w:tcW w:w="1485" w:type="dxa"/>
            <w:tcBorders>
              <w:top w:val="single" w:sz="4" w:space="0" w:color="auto"/>
            </w:tcBorders>
            <w:noWrap/>
            <w:vAlign w:val="bottom"/>
            <w:hideMark/>
          </w:tcPr>
          <w:p w14:paraId="113AAA3A"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56,7</w:t>
            </w:r>
          </w:p>
        </w:tc>
        <w:tc>
          <w:tcPr>
            <w:tcW w:w="1948" w:type="dxa"/>
            <w:tcBorders>
              <w:top w:val="single" w:sz="4" w:space="0" w:color="auto"/>
            </w:tcBorders>
            <w:vAlign w:val="bottom"/>
          </w:tcPr>
          <w:p w14:paraId="12A12EB7"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53,8</w:t>
            </w:r>
          </w:p>
        </w:tc>
        <w:tc>
          <w:tcPr>
            <w:tcW w:w="1630" w:type="dxa"/>
            <w:tcBorders>
              <w:top w:val="single" w:sz="4" w:space="0" w:color="auto"/>
            </w:tcBorders>
            <w:noWrap/>
            <w:vAlign w:val="bottom"/>
            <w:hideMark/>
          </w:tcPr>
          <w:p w14:paraId="4C89EC6F" w14:textId="77777777" w:rsidR="005A482C" w:rsidRPr="00D210DE" w:rsidRDefault="005A482C" w:rsidP="009F2398">
            <w:pPr>
              <w:spacing w:after="0"/>
              <w:ind w:firstLine="200"/>
              <w:jc w:val="right"/>
              <w:rPr>
                <w:sz w:val="18"/>
                <w:szCs w:val="18"/>
              </w:rPr>
            </w:pPr>
            <w:r>
              <w:rPr>
                <w:sz w:val="18"/>
                <w:szCs w:val="18"/>
              </w:rPr>
              <w:t>64,8</w:t>
            </w:r>
          </w:p>
        </w:tc>
        <w:tc>
          <w:tcPr>
            <w:tcW w:w="1287" w:type="dxa"/>
            <w:tcBorders>
              <w:top w:val="single" w:sz="4" w:space="0" w:color="auto"/>
            </w:tcBorders>
            <w:noWrap/>
            <w:vAlign w:val="bottom"/>
            <w:hideMark/>
          </w:tcPr>
          <w:p w14:paraId="624042E0"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41,0</w:t>
            </w:r>
          </w:p>
        </w:tc>
        <w:tc>
          <w:tcPr>
            <w:tcW w:w="1342" w:type="dxa"/>
            <w:tcBorders>
              <w:top w:val="single" w:sz="4" w:space="0" w:color="auto"/>
            </w:tcBorders>
            <w:vAlign w:val="bottom"/>
          </w:tcPr>
          <w:p w14:paraId="5652826F"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44,2</w:t>
            </w:r>
          </w:p>
        </w:tc>
      </w:tr>
      <w:tr w:rsidR="005A482C" w:rsidRPr="00D210DE" w14:paraId="2C99608F" w14:textId="77777777" w:rsidTr="000617D2">
        <w:trPr>
          <w:trHeight w:val="235"/>
        </w:trPr>
        <w:tc>
          <w:tcPr>
            <w:tcW w:w="1910" w:type="dxa"/>
            <w:noWrap/>
            <w:hideMark/>
          </w:tcPr>
          <w:p w14:paraId="078DF16B" w14:textId="77777777" w:rsidR="005A482C" w:rsidRPr="00D210DE" w:rsidRDefault="005A482C" w:rsidP="009F2398">
            <w:pPr>
              <w:spacing w:after="0"/>
              <w:ind w:firstLine="200"/>
              <w:rPr>
                <w:sz w:val="18"/>
                <w:szCs w:val="18"/>
              </w:rPr>
            </w:pPr>
            <w:r w:rsidRPr="00D210DE">
              <w:rPr>
                <w:sz w:val="18"/>
                <w:szCs w:val="18"/>
              </w:rPr>
              <w:t>Gj. sn. per år</w:t>
            </w:r>
          </w:p>
        </w:tc>
        <w:tc>
          <w:tcPr>
            <w:tcW w:w="1610" w:type="dxa"/>
            <w:noWrap/>
            <w:hideMark/>
          </w:tcPr>
          <w:p w14:paraId="6B735CC0" w14:textId="77777777" w:rsidR="005A482C" w:rsidRPr="00D210DE" w:rsidRDefault="005A482C" w:rsidP="009F2398">
            <w:pPr>
              <w:spacing w:after="0"/>
              <w:ind w:firstLine="200"/>
              <w:jc w:val="right"/>
              <w:rPr>
                <w:sz w:val="18"/>
                <w:szCs w:val="18"/>
              </w:rPr>
            </w:pPr>
            <w:r w:rsidRPr="00D210DE">
              <w:rPr>
                <w:sz w:val="18"/>
                <w:szCs w:val="18"/>
              </w:rPr>
              <w:t>-</w:t>
            </w:r>
          </w:p>
        </w:tc>
        <w:tc>
          <w:tcPr>
            <w:tcW w:w="1585" w:type="dxa"/>
            <w:noWrap/>
            <w:vAlign w:val="bottom"/>
            <w:hideMark/>
          </w:tcPr>
          <w:p w14:paraId="43BA2B82"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3,4</w:t>
            </w:r>
          </w:p>
        </w:tc>
        <w:tc>
          <w:tcPr>
            <w:tcW w:w="236" w:type="dxa"/>
          </w:tcPr>
          <w:p w14:paraId="5823FA82"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p>
        </w:tc>
        <w:tc>
          <w:tcPr>
            <w:tcW w:w="1255" w:type="dxa"/>
            <w:noWrap/>
            <w:vAlign w:val="bottom"/>
            <w:hideMark/>
          </w:tcPr>
          <w:p w14:paraId="774E36B9"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4,7</w:t>
            </w:r>
          </w:p>
        </w:tc>
        <w:tc>
          <w:tcPr>
            <w:tcW w:w="1485" w:type="dxa"/>
            <w:noWrap/>
            <w:vAlign w:val="bottom"/>
            <w:hideMark/>
          </w:tcPr>
          <w:p w14:paraId="0E964DD2"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4,6</w:t>
            </w:r>
          </w:p>
        </w:tc>
        <w:tc>
          <w:tcPr>
            <w:tcW w:w="1948" w:type="dxa"/>
            <w:vAlign w:val="bottom"/>
          </w:tcPr>
          <w:p w14:paraId="37343972"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4,4</w:t>
            </w:r>
          </w:p>
        </w:tc>
        <w:tc>
          <w:tcPr>
            <w:tcW w:w="1630" w:type="dxa"/>
            <w:noWrap/>
            <w:vAlign w:val="bottom"/>
            <w:hideMark/>
          </w:tcPr>
          <w:p w14:paraId="698CA12E" w14:textId="77777777" w:rsidR="005A482C" w:rsidRPr="00D210DE" w:rsidRDefault="005A482C" w:rsidP="009F2398">
            <w:pPr>
              <w:spacing w:after="0"/>
              <w:ind w:firstLine="200"/>
              <w:jc w:val="right"/>
              <w:rPr>
                <w:sz w:val="18"/>
                <w:szCs w:val="18"/>
              </w:rPr>
            </w:pPr>
            <w:r>
              <w:rPr>
                <w:sz w:val="18"/>
                <w:szCs w:val="18"/>
              </w:rPr>
              <w:t>5,1</w:t>
            </w:r>
          </w:p>
        </w:tc>
        <w:tc>
          <w:tcPr>
            <w:tcW w:w="1287" w:type="dxa"/>
            <w:noWrap/>
            <w:vAlign w:val="bottom"/>
            <w:hideMark/>
          </w:tcPr>
          <w:p w14:paraId="53104896"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3,5</w:t>
            </w:r>
          </w:p>
        </w:tc>
        <w:tc>
          <w:tcPr>
            <w:tcW w:w="1342" w:type="dxa"/>
            <w:vAlign w:val="bottom"/>
          </w:tcPr>
          <w:p w14:paraId="32BD8B65" w14:textId="77777777" w:rsidR="005A482C" w:rsidRPr="00D210DE" w:rsidRDefault="005A482C" w:rsidP="009F2398">
            <w:pPr>
              <w:autoSpaceDE w:val="0"/>
              <w:autoSpaceDN w:val="0"/>
              <w:adjustRightInd w:val="0"/>
              <w:spacing w:after="0"/>
              <w:ind w:firstLine="200"/>
              <w:jc w:val="right"/>
              <w:rPr>
                <w:rFonts w:ascii="Times New Roman" w:eastAsia="Times New Roman" w:hAnsi="Times New Roman"/>
                <w:color w:val="000000"/>
                <w:sz w:val="18"/>
                <w:szCs w:val="18"/>
              </w:rPr>
            </w:pPr>
            <w:r>
              <w:rPr>
                <w:sz w:val="18"/>
                <w:szCs w:val="18"/>
              </w:rPr>
              <w:t>3,7</w:t>
            </w:r>
          </w:p>
        </w:tc>
      </w:tr>
      <w:tr w:rsidR="00D210DE" w:rsidRPr="00D210DE" w14:paraId="4BE471AD" w14:textId="77777777" w:rsidTr="000617D2">
        <w:trPr>
          <w:trHeight w:val="165"/>
        </w:trPr>
        <w:tc>
          <w:tcPr>
            <w:tcW w:w="1910" w:type="dxa"/>
            <w:noWrap/>
            <w:hideMark/>
          </w:tcPr>
          <w:p w14:paraId="131A10A3" w14:textId="77777777" w:rsidR="00D210DE" w:rsidRPr="00D210DE" w:rsidRDefault="00D210DE" w:rsidP="005A4A42">
            <w:pPr>
              <w:spacing w:after="0"/>
              <w:ind w:firstLine="200"/>
              <w:rPr>
                <w:sz w:val="18"/>
                <w:szCs w:val="18"/>
              </w:rPr>
            </w:pPr>
            <w:r w:rsidRPr="00D210DE">
              <w:rPr>
                <w:sz w:val="18"/>
                <w:szCs w:val="18"/>
              </w:rPr>
              <w:t xml:space="preserve">Årslønn </w:t>
            </w:r>
            <w:r w:rsidR="005A4A42" w:rsidRPr="00D210DE">
              <w:rPr>
                <w:sz w:val="18"/>
                <w:szCs w:val="18"/>
              </w:rPr>
              <w:t>201</w:t>
            </w:r>
            <w:r w:rsidR="005A4A42">
              <w:rPr>
                <w:sz w:val="18"/>
                <w:szCs w:val="18"/>
              </w:rPr>
              <w:t>4</w:t>
            </w:r>
          </w:p>
        </w:tc>
        <w:tc>
          <w:tcPr>
            <w:tcW w:w="1610" w:type="dxa"/>
            <w:noWrap/>
            <w:hideMark/>
          </w:tcPr>
          <w:p w14:paraId="69FD0A04" w14:textId="77777777" w:rsidR="00D210DE" w:rsidRPr="00D210DE" w:rsidRDefault="004B23CF" w:rsidP="009F2398">
            <w:pPr>
              <w:spacing w:after="0"/>
              <w:ind w:firstLine="200"/>
              <w:jc w:val="right"/>
              <w:rPr>
                <w:sz w:val="18"/>
                <w:szCs w:val="18"/>
              </w:rPr>
            </w:pPr>
            <w:r>
              <w:rPr>
                <w:rFonts w:ascii="Times New Roman" w:eastAsia="Times New Roman" w:hAnsi="Times New Roman"/>
                <w:color w:val="000000"/>
                <w:sz w:val="18"/>
                <w:szCs w:val="18"/>
              </w:rPr>
              <w:t>393 000</w:t>
            </w:r>
          </w:p>
        </w:tc>
        <w:tc>
          <w:tcPr>
            <w:tcW w:w="1585" w:type="dxa"/>
            <w:noWrap/>
            <w:hideMark/>
          </w:tcPr>
          <w:p w14:paraId="2B761C43" w14:textId="77777777" w:rsidR="00D210DE" w:rsidRPr="00D210DE" w:rsidRDefault="00D210DE" w:rsidP="004B23CF">
            <w:pPr>
              <w:autoSpaceDE w:val="0"/>
              <w:autoSpaceDN w:val="0"/>
              <w:adjustRightInd w:val="0"/>
              <w:spacing w:after="0"/>
              <w:ind w:firstLine="200"/>
              <w:jc w:val="right"/>
              <w:rPr>
                <w:rFonts w:ascii="Times New Roman" w:eastAsia="Times New Roman" w:hAnsi="Times New Roman"/>
                <w:color w:val="000000"/>
                <w:sz w:val="18"/>
                <w:szCs w:val="18"/>
              </w:rPr>
            </w:pPr>
            <w:r w:rsidRPr="00D210DE">
              <w:rPr>
                <w:rFonts w:ascii="Times New Roman" w:eastAsia="Times New Roman" w:hAnsi="Times New Roman"/>
                <w:color w:val="000000"/>
                <w:sz w:val="18"/>
                <w:szCs w:val="18"/>
              </w:rPr>
              <w:t xml:space="preserve"> </w:t>
            </w:r>
            <w:r w:rsidR="004B23CF">
              <w:rPr>
                <w:rFonts w:ascii="Times New Roman" w:eastAsia="Times New Roman" w:hAnsi="Times New Roman"/>
                <w:color w:val="000000"/>
                <w:sz w:val="18"/>
                <w:szCs w:val="18"/>
              </w:rPr>
              <w:t>336 000</w:t>
            </w:r>
            <w:r w:rsidRPr="00D210DE">
              <w:rPr>
                <w:rFonts w:ascii="Times New Roman" w:eastAsia="Times New Roman" w:hAnsi="Times New Roman"/>
                <w:color w:val="000000"/>
                <w:sz w:val="18"/>
                <w:szCs w:val="18"/>
              </w:rPr>
              <w:t xml:space="preserve"> </w:t>
            </w:r>
          </w:p>
        </w:tc>
        <w:tc>
          <w:tcPr>
            <w:tcW w:w="236" w:type="dxa"/>
          </w:tcPr>
          <w:p w14:paraId="6D2703E3" w14:textId="77777777" w:rsidR="00D210DE" w:rsidRPr="00D210DE" w:rsidRDefault="00D210DE" w:rsidP="009F2398">
            <w:pPr>
              <w:autoSpaceDE w:val="0"/>
              <w:autoSpaceDN w:val="0"/>
              <w:adjustRightInd w:val="0"/>
              <w:spacing w:after="0"/>
              <w:ind w:firstLine="200"/>
              <w:jc w:val="right"/>
              <w:rPr>
                <w:rFonts w:ascii="Times New Roman" w:eastAsia="Times New Roman" w:hAnsi="Times New Roman"/>
                <w:color w:val="000000"/>
                <w:sz w:val="18"/>
                <w:szCs w:val="18"/>
              </w:rPr>
            </w:pPr>
          </w:p>
        </w:tc>
        <w:tc>
          <w:tcPr>
            <w:tcW w:w="1255" w:type="dxa"/>
            <w:noWrap/>
            <w:hideMark/>
          </w:tcPr>
          <w:p w14:paraId="0CCD1B98" w14:textId="77777777" w:rsidR="00D210DE" w:rsidRPr="00D210DE" w:rsidRDefault="004B23CF" w:rsidP="009F2398">
            <w:pPr>
              <w:autoSpaceDE w:val="0"/>
              <w:autoSpaceDN w:val="0"/>
              <w:adjustRightInd w:val="0"/>
              <w:spacing w:after="0"/>
              <w:ind w:firstLine="20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672 300</w:t>
            </w:r>
          </w:p>
        </w:tc>
        <w:tc>
          <w:tcPr>
            <w:tcW w:w="1485" w:type="dxa"/>
            <w:noWrap/>
            <w:hideMark/>
          </w:tcPr>
          <w:p w14:paraId="33A86113" w14:textId="77777777" w:rsidR="00D210DE" w:rsidRPr="00D210DE" w:rsidRDefault="004B23CF" w:rsidP="009F2398">
            <w:pPr>
              <w:autoSpaceDE w:val="0"/>
              <w:autoSpaceDN w:val="0"/>
              <w:adjustRightInd w:val="0"/>
              <w:spacing w:after="0"/>
              <w:ind w:firstLine="20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669 500</w:t>
            </w:r>
            <w:r w:rsidR="00D210DE" w:rsidRPr="00D210DE">
              <w:rPr>
                <w:rFonts w:ascii="Times New Roman" w:eastAsia="Times New Roman" w:hAnsi="Times New Roman"/>
                <w:color w:val="000000"/>
                <w:sz w:val="18"/>
                <w:szCs w:val="18"/>
              </w:rPr>
              <w:t xml:space="preserve"> </w:t>
            </w:r>
          </w:p>
        </w:tc>
        <w:tc>
          <w:tcPr>
            <w:tcW w:w="1948" w:type="dxa"/>
          </w:tcPr>
          <w:p w14:paraId="5DA0DAFC" w14:textId="77777777" w:rsidR="00D210DE" w:rsidRPr="00D210DE" w:rsidRDefault="004B23CF" w:rsidP="009F2398">
            <w:pPr>
              <w:autoSpaceDE w:val="0"/>
              <w:autoSpaceDN w:val="0"/>
              <w:adjustRightInd w:val="0"/>
              <w:spacing w:after="0"/>
              <w:ind w:firstLine="20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538 700</w:t>
            </w:r>
            <w:r w:rsidR="00D210DE" w:rsidRPr="00D210DE">
              <w:rPr>
                <w:rFonts w:ascii="Times New Roman" w:eastAsia="Times New Roman" w:hAnsi="Times New Roman"/>
                <w:color w:val="000000"/>
                <w:sz w:val="18"/>
                <w:szCs w:val="18"/>
              </w:rPr>
              <w:t xml:space="preserve"> </w:t>
            </w:r>
          </w:p>
        </w:tc>
        <w:tc>
          <w:tcPr>
            <w:tcW w:w="1630" w:type="dxa"/>
            <w:noWrap/>
            <w:hideMark/>
          </w:tcPr>
          <w:p w14:paraId="7EFDE184" w14:textId="77777777" w:rsidR="00D210DE" w:rsidRPr="00D210DE" w:rsidRDefault="00D210DE" w:rsidP="009F2398">
            <w:pPr>
              <w:spacing w:after="0"/>
              <w:ind w:firstLine="200"/>
              <w:jc w:val="right"/>
              <w:rPr>
                <w:sz w:val="18"/>
                <w:szCs w:val="18"/>
              </w:rPr>
            </w:pPr>
            <w:r w:rsidRPr="00D210DE">
              <w:rPr>
                <w:sz w:val="18"/>
                <w:szCs w:val="18"/>
              </w:rPr>
              <w:t>640 500</w:t>
            </w:r>
          </w:p>
        </w:tc>
        <w:tc>
          <w:tcPr>
            <w:tcW w:w="1287" w:type="dxa"/>
            <w:noWrap/>
            <w:hideMark/>
          </w:tcPr>
          <w:p w14:paraId="6CC17B56" w14:textId="77777777" w:rsidR="00D210DE" w:rsidRPr="00D210DE" w:rsidRDefault="005A4A42" w:rsidP="005A4A42">
            <w:pPr>
              <w:autoSpaceDE w:val="0"/>
              <w:autoSpaceDN w:val="0"/>
              <w:adjustRightInd w:val="0"/>
              <w:spacing w:after="0"/>
              <w:ind w:firstLine="200"/>
              <w:jc w:val="right"/>
              <w:rPr>
                <w:rFonts w:ascii="Times New Roman" w:eastAsia="Times New Roman" w:hAnsi="Times New Roman"/>
                <w:color w:val="000000"/>
                <w:sz w:val="18"/>
                <w:szCs w:val="18"/>
              </w:rPr>
            </w:pPr>
            <w:r w:rsidRPr="00D210DE">
              <w:rPr>
                <w:rFonts w:ascii="Times New Roman" w:eastAsia="Times New Roman" w:hAnsi="Times New Roman"/>
                <w:color w:val="000000"/>
                <w:sz w:val="18"/>
                <w:szCs w:val="18"/>
              </w:rPr>
              <w:t>4</w:t>
            </w:r>
            <w:r>
              <w:rPr>
                <w:rFonts w:ascii="Times New Roman" w:eastAsia="Times New Roman" w:hAnsi="Times New Roman"/>
                <w:color w:val="000000"/>
                <w:sz w:val="18"/>
                <w:szCs w:val="18"/>
              </w:rPr>
              <w:t>40</w:t>
            </w:r>
            <w:r w:rsidRPr="00D210DE">
              <w:rPr>
                <w:rFonts w:ascii="Times New Roman" w:eastAsia="Times New Roman" w:hAnsi="Times New Roman"/>
                <w:color w:val="000000"/>
                <w:sz w:val="18"/>
                <w:szCs w:val="18"/>
              </w:rPr>
              <w:t xml:space="preserve"> </w:t>
            </w:r>
            <w:r w:rsidR="00D210DE" w:rsidRPr="00D210DE">
              <w:rPr>
                <w:rFonts w:ascii="Times New Roman" w:eastAsia="Times New Roman" w:hAnsi="Times New Roman"/>
                <w:color w:val="000000"/>
                <w:sz w:val="18"/>
                <w:szCs w:val="18"/>
              </w:rPr>
              <w:t xml:space="preserve">800 </w:t>
            </w:r>
          </w:p>
        </w:tc>
        <w:tc>
          <w:tcPr>
            <w:tcW w:w="1342" w:type="dxa"/>
          </w:tcPr>
          <w:p w14:paraId="55A59225" w14:textId="77777777" w:rsidR="00D210DE" w:rsidRPr="00D210DE" w:rsidRDefault="00861090" w:rsidP="009F2398">
            <w:pPr>
              <w:autoSpaceDE w:val="0"/>
              <w:autoSpaceDN w:val="0"/>
              <w:adjustRightInd w:val="0"/>
              <w:spacing w:after="0"/>
              <w:ind w:firstLine="20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457 700</w:t>
            </w:r>
            <w:r w:rsidR="00D210DE" w:rsidRPr="00D210DE">
              <w:rPr>
                <w:rFonts w:ascii="Times New Roman" w:eastAsia="Times New Roman" w:hAnsi="Times New Roman"/>
                <w:color w:val="000000"/>
                <w:sz w:val="18"/>
                <w:szCs w:val="18"/>
              </w:rPr>
              <w:t xml:space="preserve"> </w:t>
            </w:r>
          </w:p>
        </w:tc>
      </w:tr>
    </w:tbl>
    <w:p w14:paraId="15E9EAB1" w14:textId="77777777" w:rsidR="001552D9" w:rsidRDefault="001552D9" w:rsidP="00000676">
      <w:pPr>
        <w:tabs>
          <w:tab w:val="left" w:pos="1182"/>
          <w:tab w:val="left" w:pos="3587"/>
          <w:tab w:val="left" w:pos="4671"/>
          <w:tab w:val="left" w:pos="5672"/>
          <w:tab w:val="left" w:pos="6844"/>
          <w:tab w:val="left" w:pos="8246"/>
          <w:tab w:val="left" w:pos="9773"/>
          <w:tab w:val="left" w:pos="11099"/>
          <w:tab w:val="left" w:pos="12326"/>
          <w:tab w:val="left" w:pos="13476"/>
          <w:tab w:val="left" w:pos="14653"/>
          <w:tab w:val="left" w:pos="15869"/>
        </w:tabs>
        <w:spacing w:after="0"/>
        <w:ind w:left="55"/>
        <w:rPr>
          <w:sz w:val="18"/>
          <w:szCs w:val="18"/>
        </w:rPr>
      </w:pPr>
    </w:p>
    <w:p w14:paraId="49DD50E8" w14:textId="77777777" w:rsidR="00000676" w:rsidRPr="00F37674" w:rsidRDefault="00000676" w:rsidP="005A4A42">
      <w:pPr>
        <w:spacing w:after="0"/>
        <w:rPr>
          <w:sz w:val="18"/>
          <w:szCs w:val="18"/>
        </w:rPr>
      </w:pP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r w:rsidRPr="00F37674">
        <w:rPr>
          <w:sz w:val="18"/>
          <w:szCs w:val="18"/>
        </w:rPr>
        <w:tab/>
      </w:r>
    </w:p>
    <w:tbl>
      <w:tblPr>
        <w:tblW w:w="11082" w:type="dxa"/>
        <w:tblInd w:w="55" w:type="dxa"/>
        <w:tblCellMar>
          <w:left w:w="70" w:type="dxa"/>
          <w:right w:w="70" w:type="dxa"/>
        </w:tblCellMar>
        <w:tblLook w:val="04A0" w:firstRow="1" w:lastRow="0" w:firstColumn="1" w:lastColumn="0" w:noHBand="0" w:noVBand="1"/>
      </w:tblPr>
      <w:tblGrid>
        <w:gridCol w:w="1291"/>
        <w:gridCol w:w="2195"/>
        <w:gridCol w:w="1038"/>
        <w:gridCol w:w="1020"/>
        <w:gridCol w:w="1250"/>
        <w:gridCol w:w="1580"/>
        <w:gridCol w:w="160"/>
        <w:gridCol w:w="1430"/>
        <w:gridCol w:w="1118"/>
      </w:tblGrid>
      <w:tr w:rsidR="00000676" w:rsidRPr="00F37674" w14:paraId="204CFA0C" w14:textId="77777777" w:rsidTr="00F7605C">
        <w:trPr>
          <w:trHeight w:val="240"/>
        </w:trPr>
        <w:tc>
          <w:tcPr>
            <w:tcW w:w="1291" w:type="dxa"/>
            <w:tcBorders>
              <w:top w:val="nil"/>
              <w:left w:val="nil"/>
              <w:bottom w:val="nil"/>
              <w:right w:val="nil"/>
            </w:tcBorders>
            <w:shd w:val="clear" w:color="auto" w:fill="auto"/>
            <w:noWrap/>
            <w:vAlign w:val="bottom"/>
            <w:hideMark/>
          </w:tcPr>
          <w:p w14:paraId="4A75AE7F" w14:textId="77777777" w:rsidR="00000676" w:rsidRPr="00F37674" w:rsidRDefault="00000676" w:rsidP="00000676">
            <w:pPr>
              <w:spacing w:after="0"/>
              <w:rPr>
                <w:sz w:val="18"/>
                <w:szCs w:val="18"/>
              </w:rPr>
            </w:pPr>
            <w:bookmarkStart w:id="278" w:name="OLE_LINK6"/>
          </w:p>
        </w:tc>
        <w:tc>
          <w:tcPr>
            <w:tcW w:w="2195" w:type="dxa"/>
            <w:tcBorders>
              <w:top w:val="nil"/>
              <w:left w:val="nil"/>
              <w:right w:val="nil"/>
            </w:tcBorders>
            <w:shd w:val="clear" w:color="auto" w:fill="auto"/>
            <w:noWrap/>
            <w:vAlign w:val="bottom"/>
            <w:hideMark/>
          </w:tcPr>
          <w:p w14:paraId="1FB40C4A" w14:textId="77777777" w:rsidR="00000676" w:rsidRPr="00F37674" w:rsidRDefault="00000676" w:rsidP="00000676">
            <w:pPr>
              <w:spacing w:after="0"/>
              <w:jc w:val="right"/>
              <w:rPr>
                <w:sz w:val="16"/>
                <w:szCs w:val="16"/>
              </w:rPr>
            </w:pPr>
          </w:p>
        </w:tc>
        <w:tc>
          <w:tcPr>
            <w:tcW w:w="1038" w:type="dxa"/>
            <w:tcBorders>
              <w:top w:val="nil"/>
              <w:left w:val="nil"/>
              <w:right w:val="nil"/>
            </w:tcBorders>
            <w:shd w:val="clear" w:color="auto" w:fill="auto"/>
            <w:noWrap/>
            <w:vAlign w:val="bottom"/>
            <w:hideMark/>
          </w:tcPr>
          <w:p w14:paraId="594837AA" w14:textId="77777777" w:rsidR="00000676" w:rsidRPr="00F37674" w:rsidRDefault="00000676" w:rsidP="00000676">
            <w:pPr>
              <w:spacing w:after="0"/>
              <w:rPr>
                <w:sz w:val="16"/>
                <w:szCs w:val="16"/>
              </w:rPr>
            </w:pPr>
          </w:p>
        </w:tc>
        <w:tc>
          <w:tcPr>
            <w:tcW w:w="3850" w:type="dxa"/>
            <w:gridSpan w:val="3"/>
            <w:tcBorders>
              <w:top w:val="nil"/>
              <w:left w:val="nil"/>
              <w:bottom w:val="single" w:sz="4" w:space="0" w:color="auto"/>
              <w:right w:val="nil"/>
            </w:tcBorders>
            <w:shd w:val="clear" w:color="auto" w:fill="auto"/>
            <w:noWrap/>
            <w:vAlign w:val="bottom"/>
            <w:hideMark/>
          </w:tcPr>
          <w:p w14:paraId="428C6B38" w14:textId="77777777" w:rsidR="00000676" w:rsidRPr="00F37674" w:rsidRDefault="00000676" w:rsidP="004C5B45">
            <w:pPr>
              <w:spacing w:after="0"/>
              <w:jc w:val="center"/>
              <w:rPr>
                <w:sz w:val="18"/>
                <w:szCs w:val="18"/>
              </w:rPr>
            </w:pPr>
            <w:r w:rsidRPr="00F37674">
              <w:rPr>
                <w:sz w:val="18"/>
                <w:szCs w:val="18"/>
              </w:rPr>
              <w:t>Kommunene</w:t>
            </w:r>
          </w:p>
        </w:tc>
        <w:tc>
          <w:tcPr>
            <w:tcW w:w="160" w:type="dxa"/>
            <w:vMerge w:val="restart"/>
            <w:tcBorders>
              <w:top w:val="nil"/>
              <w:left w:val="nil"/>
              <w:right w:val="nil"/>
            </w:tcBorders>
          </w:tcPr>
          <w:p w14:paraId="1FFA23DB" w14:textId="77777777" w:rsidR="00000676" w:rsidRPr="00F37674" w:rsidRDefault="00000676" w:rsidP="00000676">
            <w:pPr>
              <w:spacing w:after="0"/>
              <w:jc w:val="center"/>
              <w:rPr>
                <w:sz w:val="18"/>
                <w:szCs w:val="18"/>
              </w:rPr>
            </w:pPr>
          </w:p>
        </w:tc>
        <w:tc>
          <w:tcPr>
            <w:tcW w:w="2548" w:type="dxa"/>
            <w:gridSpan w:val="2"/>
            <w:tcBorders>
              <w:top w:val="nil"/>
              <w:left w:val="nil"/>
              <w:bottom w:val="single" w:sz="4" w:space="0" w:color="auto"/>
              <w:right w:val="nil"/>
            </w:tcBorders>
          </w:tcPr>
          <w:p w14:paraId="5A3E3A3C" w14:textId="77777777" w:rsidR="00000676" w:rsidRDefault="00000676" w:rsidP="00000676">
            <w:pPr>
              <w:spacing w:after="0"/>
              <w:jc w:val="center"/>
              <w:rPr>
                <w:sz w:val="18"/>
                <w:szCs w:val="18"/>
              </w:rPr>
            </w:pPr>
            <w:r w:rsidRPr="00F37674">
              <w:rPr>
                <w:sz w:val="18"/>
                <w:szCs w:val="18"/>
              </w:rPr>
              <w:t>Spekter</w:t>
            </w:r>
            <w:r>
              <w:rPr>
                <w:sz w:val="18"/>
                <w:szCs w:val="18"/>
              </w:rPr>
              <w:t>-</w:t>
            </w:r>
            <w:r w:rsidRPr="00F37674">
              <w:rPr>
                <w:sz w:val="18"/>
                <w:szCs w:val="18"/>
              </w:rPr>
              <w:t>bedrifter</w:t>
            </w:r>
          </w:p>
        </w:tc>
      </w:tr>
      <w:tr w:rsidR="00000676" w:rsidRPr="00F37674" w14:paraId="6839B142" w14:textId="77777777" w:rsidTr="00F7605C">
        <w:trPr>
          <w:trHeight w:val="506"/>
        </w:trPr>
        <w:tc>
          <w:tcPr>
            <w:tcW w:w="1291" w:type="dxa"/>
            <w:tcBorders>
              <w:top w:val="nil"/>
              <w:left w:val="nil"/>
              <w:bottom w:val="nil"/>
              <w:right w:val="nil"/>
            </w:tcBorders>
            <w:shd w:val="clear" w:color="auto" w:fill="auto"/>
            <w:noWrap/>
            <w:vAlign w:val="bottom"/>
            <w:hideMark/>
          </w:tcPr>
          <w:p w14:paraId="44216790" w14:textId="77777777" w:rsidR="00000676" w:rsidRPr="00F37674" w:rsidRDefault="00000676" w:rsidP="00000676">
            <w:pPr>
              <w:spacing w:after="0"/>
              <w:rPr>
                <w:sz w:val="18"/>
                <w:szCs w:val="18"/>
              </w:rPr>
            </w:pPr>
            <w:r w:rsidRPr="00F37674">
              <w:rPr>
                <w:sz w:val="18"/>
                <w:szCs w:val="18"/>
              </w:rPr>
              <w:t>Å</w:t>
            </w:r>
            <w:r>
              <w:rPr>
                <w:sz w:val="18"/>
                <w:szCs w:val="18"/>
              </w:rPr>
              <w:t>r</w:t>
            </w:r>
          </w:p>
        </w:tc>
        <w:tc>
          <w:tcPr>
            <w:tcW w:w="2195" w:type="dxa"/>
            <w:tcBorders>
              <w:left w:val="nil"/>
              <w:bottom w:val="single" w:sz="4" w:space="0" w:color="auto"/>
              <w:right w:val="nil"/>
            </w:tcBorders>
            <w:shd w:val="clear" w:color="auto" w:fill="auto"/>
            <w:vAlign w:val="bottom"/>
            <w:hideMark/>
          </w:tcPr>
          <w:p w14:paraId="508EEAE9" w14:textId="77777777" w:rsidR="00000676" w:rsidRDefault="00000676" w:rsidP="00000676">
            <w:pPr>
              <w:spacing w:after="0"/>
              <w:jc w:val="right"/>
              <w:rPr>
                <w:sz w:val="18"/>
                <w:szCs w:val="18"/>
              </w:rPr>
            </w:pPr>
            <w:r w:rsidRPr="00F37674">
              <w:rPr>
                <w:sz w:val="18"/>
                <w:szCs w:val="18"/>
              </w:rPr>
              <w:t>Forretningsm.</w:t>
            </w:r>
          </w:p>
          <w:p w14:paraId="15D6C031" w14:textId="77777777" w:rsidR="00000676" w:rsidRPr="00F37674" w:rsidRDefault="00000676" w:rsidP="00000676">
            <w:pPr>
              <w:spacing w:after="0"/>
              <w:jc w:val="right"/>
              <w:rPr>
                <w:sz w:val="18"/>
                <w:szCs w:val="18"/>
              </w:rPr>
            </w:pPr>
            <w:r w:rsidRPr="00F37674">
              <w:rPr>
                <w:sz w:val="18"/>
                <w:szCs w:val="18"/>
              </w:rPr>
              <w:t>tjenesteyting</w:t>
            </w:r>
            <w:r>
              <w:rPr>
                <w:sz w:val="18"/>
                <w:szCs w:val="18"/>
                <w:vertAlign w:val="superscript"/>
              </w:rPr>
              <w:t>7</w:t>
            </w:r>
          </w:p>
        </w:tc>
        <w:tc>
          <w:tcPr>
            <w:tcW w:w="1038" w:type="dxa"/>
            <w:tcBorders>
              <w:left w:val="nil"/>
              <w:bottom w:val="single" w:sz="4" w:space="0" w:color="auto"/>
              <w:right w:val="nil"/>
            </w:tcBorders>
            <w:shd w:val="clear" w:color="auto" w:fill="auto"/>
            <w:noWrap/>
            <w:vAlign w:val="bottom"/>
            <w:hideMark/>
          </w:tcPr>
          <w:p w14:paraId="6A97DF94" w14:textId="77777777" w:rsidR="00000676" w:rsidRPr="00F37674" w:rsidRDefault="00000676" w:rsidP="00000676">
            <w:pPr>
              <w:spacing w:after="0"/>
              <w:jc w:val="right"/>
              <w:rPr>
                <w:sz w:val="18"/>
                <w:szCs w:val="18"/>
              </w:rPr>
            </w:pPr>
            <w:r w:rsidRPr="00F37674">
              <w:rPr>
                <w:sz w:val="18"/>
                <w:szCs w:val="18"/>
              </w:rPr>
              <w:t>Staten</w:t>
            </w:r>
          </w:p>
        </w:tc>
        <w:tc>
          <w:tcPr>
            <w:tcW w:w="1020" w:type="dxa"/>
            <w:tcBorders>
              <w:top w:val="nil"/>
              <w:left w:val="nil"/>
              <w:bottom w:val="single" w:sz="4" w:space="0" w:color="auto"/>
              <w:right w:val="nil"/>
            </w:tcBorders>
            <w:shd w:val="clear" w:color="auto" w:fill="auto"/>
            <w:noWrap/>
            <w:vAlign w:val="bottom"/>
            <w:hideMark/>
          </w:tcPr>
          <w:p w14:paraId="5F69316A" w14:textId="77777777" w:rsidR="00000676" w:rsidRPr="00F37674" w:rsidRDefault="00000676" w:rsidP="00000676">
            <w:pPr>
              <w:spacing w:after="0"/>
              <w:jc w:val="right"/>
              <w:rPr>
                <w:sz w:val="18"/>
                <w:szCs w:val="18"/>
              </w:rPr>
            </w:pPr>
            <w:r w:rsidRPr="00F37674">
              <w:rPr>
                <w:sz w:val="18"/>
                <w:szCs w:val="18"/>
              </w:rPr>
              <w:t>I alt</w:t>
            </w:r>
            <w:r w:rsidR="004C5B45">
              <w:rPr>
                <w:sz w:val="18"/>
                <w:szCs w:val="18"/>
                <w:vertAlign w:val="superscript"/>
              </w:rPr>
              <w:t>13</w:t>
            </w:r>
          </w:p>
        </w:tc>
        <w:tc>
          <w:tcPr>
            <w:tcW w:w="1250" w:type="dxa"/>
            <w:tcBorders>
              <w:top w:val="nil"/>
              <w:left w:val="nil"/>
              <w:bottom w:val="single" w:sz="4" w:space="0" w:color="auto"/>
              <w:right w:val="nil"/>
            </w:tcBorders>
            <w:shd w:val="clear" w:color="auto" w:fill="auto"/>
            <w:vAlign w:val="bottom"/>
            <w:hideMark/>
          </w:tcPr>
          <w:p w14:paraId="6199AAFD" w14:textId="77777777" w:rsidR="00000676" w:rsidRPr="00F37674" w:rsidRDefault="00000676" w:rsidP="00000676">
            <w:pPr>
              <w:spacing w:after="0"/>
              <w:jc w:val="right"/>
              <w:rPr>
                <w:sz w:val="18"/>
                <w:szCs w:val="18"/>
              </w:rPr>
            </w:pPr>
            <w:r w:rsidRPr="00F37674">
              <w:rPr>
                <w:sz w:val="18"/>
                <w:szCs w:val="18"/>
              </w:rPr>
              <w:t>Undervisnings-</w:t>
            </w:r>
            <w:r>
              <w:rPr>
                <w:sz w:val="18"/>
                <w:szCs w:val="18"/>
              </w:rPr>
              <w:t>personell</w:t>
            </w:r>
            <w:r w:rsidR="004C5B45">
              <w:rPr>
                <w:sz w:val="18"/>
                <w:szCs w:val="18"/>
                <w:vertAlign w:val="superscript"/>
              </w:rPr>
              <w:t>13</w:t>
            </w:r>
          </w:p>
        </w:tc>
        <w:tc>
          <w:tcPr>
            <w:tcW w:w="1580" w:type="dxa"/>
            <w:tcBorders>
              <w:left w:val="nil"/>
              <w:bottom w:val="single" w:sz="4" w:space="0" w:color="auto"/>
              <w:right w:val="nil"/>
            </w:tcBorders>
            <w:vAlign w:val="bottom"/>
          </w:tcPr>
          <w:p w14:paraId="5F4192EF" w14:textId="77777777" w:rsidR="00000676" w:rsidRPr="00F37674" w:rsidRDefault="00000676" w:rsidP="00000676">
            <w:pPr>
              <w:spacing w:after="0"/>
              <w:jc w:val="right"/>
              <w:rPr>
                <w:sz w:val="18"/>
                <w:szCs w:val="18"/>
              </w:rPr>
            </w:pPr>
            <w:r>
              <w:rPr>
                <w:sz w:val="18"/>
                <w:szCs w:val="18"/>
              </w:rPr>
              <w:t>Øvrige ansatte</w:t>
            </w:r>
          </w:p>
        </w:tc>
        <w:tc>
          <w:tcPr>
            <w:tcW w:w="160" w:type="dxa"/>
            <w:vMerge/>
            <w:tcBorders>
              <w:left w:val="nil"/>
              <w:bottom w:val="single" w:sz="4" w:space="0" w:color="auto"/>
              <w:right w:val="nil"/>
            </w:tcBorders>
          </w:tcPr>
          <w:p w14:paraId="71AED1A8" w14:textId="77777777" w:rsidR="00000676" w:rsidRPr="00F37674" w:rsidRDefault="00000676" w:rsidP="00000676">
            <w:pPr>
              <w:spacing w:after="0"/>
              <w:jc w:val="right"/>
              <w:rPr>
                <w:sz w:val="18"/>
                <w:szCs w:val="18"/>
              </w:rPr>
            </w:pPr>
          </w:p>
        </w:tc>
        <w:tc>
          <w:tcPr>
            <w:tcW w:w="1430" w:type="dxa"/>
            <w:tcBorders>
              <w:top w:val="single" w:sz="4" w:space="0" w:color="auto"/>
              <w:left w:val="nil"/>
              <w:bottom w:val="single" w:sz="4" w:space="0" w:color="auto"/>
              <w:right w:val="nil"/>
            </w:tcBorders>
            <w:shd w:val="clear" w:color="auto" w:fill="auto"/>
            <w:noWrap/>
            <w:vAlign w:val="bottom"/>
            <w:hideMark/>
          </w:tcPr>
          <w:p w14:paraId="5AAE1D61" w14:textId="77777777" w:rsidR="00000676" w:rsidRPr="00F37674" w:rsidRDefault="00000676" w:rsidP="00000676">
            <w:pPr>
              <w:spacing w:after="0"/>
              <w:jc w:val="right"/>
              <w:rPr>
                <w:sz w:val="18"/>
                <w:szCs w:val="18"/>
              </w:rPr>
            </w:pPr>
            <w:r w:rsidRPr="00F37674">
              <w:rPr>
                <w:sz w:val="18"/>
                <w:szCs w:val="18"/>
              </w:rPr>
              <w:t>Helseforetakene</w:t>
            </w:r>
            <w:r>
              <w:rPr>
                <w:sz w:val="18"/>
                <w:szCs w:val="18"/>
                <w:vertAlign w:val="superscript"/>
              </w:rPr>
              <w:t>11</w:t>
            </w:r>
            <w:r>
              <w:rPr>
                <w:sz w:val="18"/>
                <w:szCs w:val="18"/>
              </w:rPr>
              <w:t xml:space="preserve"> </w:t>
            </w:r>
          </w:p>
        </w:tc>
        <w:tc>
          <w:tcPr>
            <w:tcW w:w="1118" w:type="dxa"/>
            <w:tcBorders>
              <w:top w:val="single" w:sz="4" w:space="0" w:color="auto"/>
              <w:left w:val="nil"/>
              <w:bottom w:val="single" w:sz="4" w:space="0" w:color="auto"/>
              <w:right w:val="nil"/>
            </w:tcBorders>
            <w:vAlign w:val="bottom"/>
          </w:tcPr>
          <w:p w14:paraId="64A9FC1C" w14:textId="77777777" w:rsidR="00000676" w:rsidRPr="00F37674" w:rsidRDefault="00000676" w:rsidP="00000676">
            <w:pPr>
              <w:spacing w:after="0"/>
              <w:jc w:val="right"/>
              <w:rPr>
                <w:sz w:val="18"/>
                <w:szCs w:val="18"/>
              </w:rPr>
            </w:pPr>
            <w:r w:rsidRPr="00F37674">
              <w:rPr>
                <w:sz w:val="18"/>
                <w:szCs w:val="18"/>
              </w:rPr>
              <w:t>Øvrige bedrifter</w:t>
            </w:r>
          </w:p>
        </w:tc>
      </w:tr>
      <w:tr w:rsidR="00000676" w:rsidRPr="00F37674" w14:paraId="48EDA823" w14:textId="77777777" w:rsidTr="00F7605C">
        <w:trPr>
          <w:trHeight w:val="255"/>
        </w:trPr>
        <w:tc>
          <w:tcPr>
            <w:tcW w:w="1291" w:type="dxa"/>
            <w:tcBorders>
              <w:top w:val="nil"/>
              <w:left w:val="nil"/>
              <w:bottom w:val="nil"/>
              <w:right w:val="nil"/>
            </w:tcBorders>
            <w:shd w:val="clear" w:color="auto" w:fill="auto"/>
            <w:noWrap/>
            <w:vAlign w:val="bottom"/>
            <w:hideMark/>
          </w:tcPr>
          <w:p w14:paraId="0852312F" w14:textId="77777777" w:rsidR="00000676" w:rsidRPr="00F37674" w:rsidRDefault="00000676" w:rsidP="00000676">
            <w:pPr>
              <w:spacing w:after="0"/>
              <w:rPr>
                <w:sz w:val="18"/>
                <w:szCs w:val="18"/>
              </w:rPr>
            </w:pPr>
          </w:p>
        </w:tc>
        <w:tc>
          <w:tcPr>
            <w:tcW w:w="2195" w:type="dxa"/>
            <w:tcBorders>
              <w:top w:val="nil"/>
              <w:left w:val="nil"/>
              <w:bottom w:val="nil"/>
              <w:right w:val="nil"/>
            </w:tcBorders>
            <w:shd w:val="clear" w:color="auto" w:fill="auto"/>
            <w:noWrap/>
            <w:vAlign w:val="bottom"/>
            <w:hideMark/>
          </w:tcPr>
          <w:p w14:paraId="54358362" w14:textId="77777777" w:rsidR="00000676" w:rsidRPr="00F37674" w:rsidRDefault="00000676" w:rsidP="00000676">
            <w:pPr>
              <w:spacing w:after="0"/>
              <w:jc w:val="right"/>
              <w:rPr>
                <w:sz w:val="18"/>
                <w:szCs w:val="18"/>
              </w:rPr>
            </w:pPr>
          </w:p>
        </w:tc>
        <w:tc>
          <w:tcPr>
            <w:tcW w:w="1038" w:type="dxa"/>
            <w:tcBorders>
              <w:top w:val="nil"/>
              <w:left w:val="nil"/>
              <w:bottom w:val="nil"/>
              <w:right w:val="nil"/>
            </w:tcBorders>
            <w:shd w:val="clear" w:color="auto" w:fill="auto"/>
            <w:noWrap/>
            <w:vAlign w:val="bottom"/>
            <w:hideMark/>
          </w:tcPr>
          <w:p w14:paraId="23FE1FFE" w14:textId="77777777" w:rsidR="00000676" w:rsidRPr="00F37674" w:rsidRDefault="00000676" w:rsidP="00000676">
            <w:pPr>
              <w:spacing w:after="0"/>
              <w:jc w:val="right"/>
              <w:rPr>
                <w:sz w:val="18"/>
                <w:szCs w:val="18"/>
              </w:rPr>
            </w:pPr>
          </w:p>
        </w:tc>
        <w:tc>
          <w:tcPr>
            <w:tcW w:w="1020" w:type="dxa"/>
            <w:tcBorders>
              <w:top w:val="nil"/>
              <w:left w:val="nil"/>
              <w:bottom w:val="nil"/>
              <w:right w:val="nil"/>
            </w:tcBorders>
            <w:shd w:val="clear" w:color="auto" w:fill="auto"/>
            <w:noWrap/>
            <w:vAlign w:val="bottom"/>
            <w:hideMark/>
          </w:tcPr>
          <w:p w14:paraId="671E217F" w14:textId="77777777" w:rsidR="00000676" w:rsidRPr="00F37674" w:rsidRDefault="00000676" w:rsidP="00000676">
            <w:pPr>
              <w:spacing w:after="0"/>
              <w:jc w:val="right"/>
              <w:rPr>
                <w:sz w:val="18"/>
                <w:szCs w:val="18"/>
              </w:rPr>
            </w:pPr>
          </w:p>
        </w:tc>
        <w:tc>
          <w:tcPr>
            <w:tcW w:w="1250" w:type="dxa"/>
            <w:tcBorders>
              <w:top w:val="nil"/>
              <w:left w:val="nil"/>
              <w:bottom w:val="nil"/>
              <w:right w:val="nil"/>
            </w:tcBorders>
            <w:shd w:val="clear" w:color="auto" w:fill="auto"/>
            <w:noWrap/>
            <w:vAlign w:val="bottom"/>
            <w:hideMark/>
          </w:tcPr>
          <w:p w14:paraId="09F7F742" w14:textId="77777777" w:rsidR="00000676" w:rsidRPr="00F37674" w:rsidRDefault="00000676" w:rsidP="00000676">
            <w:pPr>
              <w:spacing w:after="0"/>
              <w:jc w:val="right"/>
              <w:rPr>
                <w:sz w:val="18"/>
                <w:szCs w:val="18"/>
              </w:rPr>
            </w:pPr>
          </w:p>
        </w:tc>
        <w:tc>
          <w:tcPr>
            <w:tcW w:w="1580" w:type="dxa"/>
            <w:tcBorders>
              <w:top w:val="nil"/>
              <w:left w:val="nil"/>
              <w:bottom w:val="nil"/>
              <w:right w:val="nil"/>
            </w:tcBorders>
          </w:tcPr>
          <w:p w14:paraId="08D54498" w14:textId="77777777" w:rsidR="00000676" w:rsidRPr="00777AF3" w:rsidRDefault="00000676" w:rsidP="00000676">
            <w:pPr>
              <w:pStyle w:val="Tabelltekst"/>
              <w:jc w:val="right"/>
              <w:rPr>
                <w:sz w:val="20"/>
              </w:rPr>
            </w:pPr>
          </w:p>
        </w:tc>
        <w:tc>
          <w:tcPr>
            <w:tcW w:w="160" w:type="dxa"/>
            <w:tcBorders>
              <w:top w:val="nil"/>
              <w:left w:val="nil"/>
              <w:bottom w:val="nil"/>
              <w:right w:val="nil"/>
            </w:tcBorders>
          </w:tcPr>
          <w:p w14:paraId="78B535BC" w14:textId="77777777" w:rsidR="00000676" w:rsidRPr="003D1F81" w:rsidRDefault="00000676" w:rsidP="00000676">
            <w:pPr>
              <w:spacing w:after="0"/>
              <w:jc w:val="right"/>
              <w:rPr>
                <w:sz w:val="18"/>
                <w:szCs w:val="18"/>
              </w:rPr>
            </w:pPr>
          </w:p>
        </w:tc>
        <w:tc>
          <w:tcPr>
            <w:tcW w:w="1430" w:type="dxa"/>
            <w:tcBorders>
              <w:top w:val="nil"/>
              <w:left w:val="nil"/>
              <w:bottom w:val="nil"/>
              <w:right w:val="nil"/>
            </w:tcBorders>
            <w:shd w:val="clear" w:color="auto" w:fill="auto"/>
            <w:noWrap/>
            <w:vAlign w:val="bottom"/>
            <w:hideMark/>
          </w:tcPr>
          <w:p w14:paraId="5ADB682E" w14:textId="77777777" w:rsidR="00000676" w:rsidRPr="003D1F81" w:rsidRDefault="00000676" w:rsidP="00000676">
            <w:pPr>
              <w:spacing w:after="0"/>
              <w:jc w:val="right"/>
              <w:rPr>
                <w:sz w:val="18"/>
                <w:szCs w:val="18"/>
              </w:rPr>
            </w:pPr>
          </w:p>
        </w:tc>
        <w:tc>
          <w:tcPr>
            <w:tcW w:w="1118" w:type="dxa"/>
            <w:tcBorders>
              <w:top w:val="nil"/>
              <w:left w:val="nil"/>
              <w:bottom w:val="nil"/>
              <w:right w:val="nil"/>
            </w:tcBorders>
            <w:vAlign w:val="bottom"/>
          </w:tcPr>
          <w:p w14:paraId="2E38825B" w14:textId="77777777" w:rsidR="00000676" w:rsidRPr="00D26AC1" w:rsidRDefault="00000676" w:rsidP="00000676">
            <w:pPr>
              <w:spacing w:after="0"/>
              <w:jc w:val="right"/>
              <w:rPr>
                <w:sz w:val="18"/>
                <w:szCs w:val="18"/>
              </w:rPr>
            </w:pPr>
          </w:p>
        </w:tc>
      </w:tr>
      <w:tr w:rsidR="00000676" w:rsidRPr="00F37674" w14:paraId="5A31492E" w14:textId="77777777" w:rsidTr="00F7605C">
        <w:trPr>
          <w:trHeight w:val="255"/>
        </w:trPr>
        <w:tc>
          <w:tcPr>
            <w:tcW w:w="1291" w:type="dxa"/>
            <w:tcBorders>
              <w:top w:val="nil"/>
              <w:left w:val="nil"/>
              <w:bottom w:val="nil"/>
              <w:right w:val="nil"/>
            </w:tcBorders>
            <w:shd w:val="clear" w:color="auto" w:fill="auto"/>
            <w:noWrap/>
            <w:vAlign w:val="bottom"/>
            <w:hideMark/>
          </w:tcPr>
          <w:p w14:paraId="605820B4" w14:textId="77777777" w:rsidR="00000676" w:rsidRPr="00F37674" w:rsidRDefault="00000676" w:rsidP="00000676">
            <w:pPr>
              <w:spacing w:after="0"/>
              <w:rPr>
                <w:sz w:val="18"/>
                <w:szCs w:val="18"/>
              </w:rPr>
            </w:pPr>
            <w:r w:rsidRPr="00F37674">
              <w:rPr>
                <w:sz w:val="18"/>
                <w:szCs w:val="18"/>
              </w:rPr>
              <w:t>2005</w:t>
            </w:r>
          </w:p>
        </w:tc>
        <w:tc>
          <w:tcPr>
            <w:tcW w:w="2195" w:type="dxa"/>
            <w:tcBorders>
              <w:top w:val="nil"/>
              <w:left w:val="nil"/>
              <w:bottom w:val="nil"/>
              <w:right w:val="nil"/>
            </w:tcBorders>
            <w:shd w:val="clear" w:color="auto" w:fill="auto"/>
            <w:noWrap/>
            <w:vAlign w:val="bottom"/>
            <w:hideMark/>
          </w:tcPr>
          <w:p w14:paraId="2FEB7900" w14:textId="77777777" w:rsidR="00000676" w:rsidRPr="00F37674" w:rsidRDefault="00000676" w:rsidP="00000676">
            <w:pPr>
              <w:spacing w:after="0"/>
              <w:jc w:val="right"/>
              <w:rPr>
                <w:sz w:val="18"/>
                <w:szCs w:val="18"/>
              </w:rPr>
            </w:pPr>
            <w:r w:rsidRPr="00F37674">
              <w:rPr>
                <w:sz w:val="18"/>
                <w:szCs w:val="18"/>
              </w:rPr>
              <w:t>2,4</w:t>
            </w:r>
          </w:p>
        </w:tc>
        <w:tc>
          <w:tcPr>
            <w:tcW w:w="1038" w:type="dxa"/>
            <w:tcBorders>
              <w:top w:val="nil"/>
              <w:left w:val="nil"/>
              <w:bottom w:val="nil"/>
              <w:right w:val="nil"/>
            </w:tcBorders>
            <w:shd w:val="clear" w:color="auto" w:fill="auto"/>
            <w:noWrap/>
            <w:vAlign w:val="bottom"/>
            <w:hideMark/>
          </w:tcPr>
          <w:p w14:paraId="778DC625" w14:textId="77777777" w:rsidR="00000676" w:rsidRPr="00F37674" w:rsidRDefault="00000676" w:rsidP="00000676">
            <w:pPr>
              <w:spacing w:after="0"/>
              <w:jc w:val="right"/>
              <w:rPr>
                <w:sz w:val="18"/>
                <w:szCs w:val="18"/>
              </w:rPr>
            </w:pPr>
            <w:r w:rsidRPr="00F37674">
              <w:rPr>
                <w:sz w:val="18"/>
                <w:szCs w:val="18"/>
              </w:rPr>
              <w:t>3,4</w:t>
            </w:r>
          </w:p>
        </w:tc>
        <w:tc>
          <w:tcPr>
            <w:tcW w:w="1020" w:type="dxa"/>
            <w:tcBorders>
              <w:top w:val="nil"/>
              <w:left w:val="nil"/>
              <w:bottom w:val="nil"/>
              <w:right w:val="nil"/>
            </w:tcBorders>
            <w:shd w:val="clear" w:color="auto" w:fill="auto"/>
            <w:noWrap/>
            <w:vAlign w:val="bottom"/>
            <w:hideMark/>
          </w:tcPr>
          <w:p w14:paraId="14F76EC8" w14:textId="77777777" w:rsidR="00000676" w:rsidRPr="00F37674" w:rsidRDefault="00000676" w:rsidP="00000676">
            <w:pPr>
              <w:spacing w:after="0"/>
              <w:jc w:val="right"/>
              <w:rPr>
                <w:sz w:val="18"/>
                <w:szCs w:val="18"/>
              </w:rPr>
            </w:pPr>
            <w:r w:rsidRPr="00F37674">
              <w:rPr>
                <w:sz w:val="18"/>
                <w:szCs w:val="18"/>
              </w:rPr>
              <w:t>3,4</w:t>
            </w:r>
          </w:p>
        </w:tc>
        <w:tc>
          <w:tcPr>
            <w:tcW w:w="1250" w:type="dxa"/>
            <w:tcBorders>
              <w:top w:val="nil"/>
              <w:left w:val="nil"/>
              <w:bottom w:val="nil"/>
              <w:right w:val="nil"/>
            </w:tcBorders>
            <w:shd w:val="clear" w:color="auto" w:fill="auto"/>
            <w:noWrap/>
            <w:vAlign w:val="bottom"/>
            <w:hideMark/>
          </w:tcPr>
          <w:p w14:paraId="7361B383" w14:textId="77777777" w:rsidR="00000676" w:rsidRPr="00F37674" w:rsidRDefault="00000676" w:rsidP="00000676">
            <w:pPr>
              <w:spacing w:after="0"/>
              <w:jc w:val="right"/>
              <w:rPr>
                <w:sz w:val="18"/>
                <w:szCs w:val="18"/>
              </w:rPr>
            </w:pPr>
            <w:r w:rsidRPr="00F37674">
              <w:rPr>
                <w:sz w:val="18"/>
                <w:szCs w:val="18"/>
              </w:rPr>
              <w:t>3,0</w:t>
            </w:r>
          </w:p>
        </w:tc>
        <w:tc>
          <w:tcPr>
            <w:tcW w:w="1580" w:type="dxa"/>
            <w:tcBorders>
              <w:top w:val="nil"/>
              <w:left w:val="nil"/>
              <w:bottom w:val="nil"/>
              <w:right w:val="nil"/>
            </w:tcBorders>
          </w:tcPr>
          <w:p w14:paraId="0630A606" w14:textId="77777777" w:rsidR="00000676" w:rsidRPr="00777AF3" w:rsidRDefault="00000676" w:rsidP="00000676">
            <w:pPr>
              <w:pStyle w:val="Tabelltekst"/>
              <w:jc w:val="right"/>
              <w:rPr>
                <w:sz w:val="20"/>
              </w:rPr>
            </w:pPr>
            <w:r>
              <w:rPr>
                <w:sz w:val="20"/>
              </w:rPr>
              <w:t>3,6</w:t>
            </w:r>
          </w:p>
        </w:tc>
        <w:tc>
          <w:tcPr>
            <w:tcW w:w="160" w:type="dxa"/>
            <w:tcBorders>
              <w:top w:val="nil"/>
              <w:left w:val="nil"/>
              <w:bottom w:val="nil"/>
              <w:right w:val="nil"/>
            </w:tcBorders>
          </w:tcPr>
          <w:p w14:paraId="135DEA5B" w14:textId="77777777" w:rsidR="00000676" w:rsidRPr="003D1F81" w:rsidRDefault="00000676" w:rsidP="00000676">
            <w:pPr>
              <w:spacing w:after="0"/>
              <w:jc w:val="right"/>
              <w:rPr>
                <w:sz w:val="18"/>
                <w:szCs w:val="18"/>
              </w:rPr>
            </w:pPr>
          </w:p>
        </w:tc>
        <w:tc>
          <w:tcPr>
            <w:tcW w:w="1430" w:type="dxa"/>
            <w:tcBorders>
              <w:top w:val="nil"/>
              <w:left w:val="nil"/>
              <w:bottom w:val="nil"/>
              <w:right w:val="nil"/>
            </w:tcBorders>
            <w:shd w:val="clear" w:color="auto" w:fill="auto"/>
            <w:noWrap/>
            <w:vAlign w:val="bottom"/>
            <w:hideMark/>
          </w:tcPr>
          <w:p w14:paraId="14F4650D" w14:textId="77777777" w:rsidR="00000676" w:rsidRPr="003D1F81" w:rsidRDefault="00000676" w:rsidP="00000676">
            <w:pPr>
              <w:spacing w:after="0"/>
              <w:jc w:val="right"/>
              <w:rPr>
                <w:sz w:val="18"/>
                <w:szCs w:val="18"/>
              </w:rPr>
            </w:pPr>
            <w:r w:rsidRPr="003D1F81">
              <w:rPr>
                <w:sz w:val="18"/>
                <w:szCs w:val="18"/>
              </w:rPr>
              <w:t>3,3</w:t>
            </w:r>
          </w:p>
        </w:tc>
        <w:tc>
          <w:tcPr>
            <w:tcW w:w="1118" w:type="dxa"/>
            <w:tcBorders>
              <w:top w:val="nil"/>
              <w:left w:val="nil"/>
              <w:bottom w:val="nil"/>
              <w:right w:val="nil"/>
            </w:tcBorders>
            <w:vAlign w:val="bottom"/>
          </w:tcPr>
          <w:p w14:paraId="7ED55BD7" w14:textId="77777777" w:rsidR="00000676" w:rsidRPr="00D26AC1" w:rsidRDefault="00000676" w:rsidP="00000676">
            <w:pPr>
              <w:spacing w:after="0"/>
              <w:jc w:val="right"/>
              <w:rPr>
                <w:sz w:val="18"/>
                <w:szCs w:val="18"/>
              </w:rPr>
            </w:pPr>
            <w:r w:rsidRPr="00D26AC1">
              <w:rPr>
                <w:sz w:val="18"/>
                <w:szCs w:val="18"/>
              </w:rPr>
              <w:t>3,6</w:t>
            </w:r>
          </w:p>
        </w:tc>
      </w:tr>
      <w:tr w:rsidR="00000676" w:rsidRPr="00F37674" w14:paraId="45753878" w14:textId="77777777" w:rsidTr="00F7605C">
        <w:trPr>
          <w:trHeight w:val="255"/>
        </w:trPr>
        <w:tc>
          <w:tcPr>
            <w:tcW w:w="1291" w:type="dxa"/>
            <w:tcBorders>
              <w:top w:val="nil"/>
              <w:left w:val="nil"/>
              <w:bottom w:val="nil"/>
              <w:right w:val="nil"/>
            </w:tcBorders>
            <w:shd w:val="clear" w:color="auto" w:fill="auto"/>
            <w:noWrap/>
            <w:vAlign w:val="bottom"/>
            <w:hideMark/>
          </w:tcPr>
          <w:p w14:paraId="2FD15024" w14:textId="77777777" w:rsidR="00000676" w:rsidRPr="00F37674" w:rsidRDefault="00000676" w:rsidP="00000676">
            <w:pPr>
              <w:spacing w:after="0"/>
              <w:rPr>
                <w:sz w:val="18"/>
                <w:szCs w:val="18"/>
              </w:rPr>
            </w:pPr>
            <w:r w:rsidRPr="00F37674">
              <w:rPr>
                <w:sz w:val="18"/>
                <w:szCs w:val="18"/>
              </w:rPr>
              <w:t>2006</w:t>
            </w:r>
          </w:p>
        </w:tc>
        <w:tc>
          <w:tcPr>
            <w:tcW w:w="2195" w:type="dxa"/>
            <w:tcBorders>
              <w:top w:val="nil"/>
              <w:left w:val="nil"/>
              <w:bottom w:val="nil"/>
              <w:right w:val="nil"/>
            </w:tcBorders>
            <w:shd w:val="clear" w:color="auto" w:fill="auto"/>
            <w:noWrap/>
            <w:vAlign w:val="bottom"/>
            <w:hideMark/>
          </w:tcPr>
          <w:p w14:paraId="0BFC342C" w14:textId="77777777" w:rsidR="00000676" w:rsidRPr="00F37674" w:rsidRDefault="00000676" w:rsidP="00000676">
            <w:pPr>
              <w:spacing w:after="0"/>
              <w:jc w:val="right"/>
              <w:rPr>
                <w:sz w:val="18"/>
                <w:szCs w:val="18"/>
              </w:rPr>
            </w:pPr>
            <w:r w:rsidRPr="00F37674">
              <w:rPr>
                <w:sz w:val="18"/>
                <w:szCs w:val="18"/>
              </w:rPr>
              <w:t>3,2</w:t>
            </w:r>
          </w:p>
        </w:tc>
        <w:tc>
          <w:tcPr>
            <w:tcW w:w="1038" w:type="dxa"/>
            <w:tcBorders>
              <w:top w:val="nil"/>
              <w:left w:val="nil"/>
              <w:bottom w:val="nil"/>
              <w:right w:val="nil"/>
            </w:tcBorders>
            <w:shd w:val="clear" w:color="auto" w:fill="auto"/>
            <w:noWrap/>
            <w:vAlign w:val="bottom"/>
            <w:hideMark/>
          </w:tcPr>
          <w:p w14:paraId="656A2D36" w14:textId="77777777" w:rsidR="00000676" w:rsidRPr="00F37674" w:rsidRDefault="00000676" w:rsidP="00000676">
            <w:pPr>
              <w:spacing w:after="0"/>
              <w:jc w:val="right"/>
              <w:rPr>
                <w:sz w:val="18"/>
                <w:szCs w:val="18"/>
              </w:rPr>
            </w:pPr>
            <w:r w:rsidRPr="00F37674">
              <w:rPr>
                <w:sz w:val="18"/>
                <w:szCs w:val="18"/>
              </w:rPr>
              <w:t>4,5</w:t>
            </w:r>
          </w:p>
        </w:tc>
        <w:tc>
          <w:tcPr>
            <w:tcW w:w="1020" w:type="dxa"/>
            <w:tcBorders>
              <w:top w:val="nil"/>
              <w:left w:val="nil"/>
              <w:bottom w:val="nil"/>
              <w:right w:val="nil"/>
            </w:tcBorders>
            <w:shd w:val="clear" w:color="auto" w:fill="auto"/>
            <w:noWrap/>
            <w:vAlign w:val="bottom"/>
            <w:hideMark/>
          </w:tcPr>
          <w:p w14:paraId="3555576B" w14:textId="77777777" w:rsidR="00000676" w:rsidRPr="00F37674" w:rsidRDefault="00000676" w:rsidP="00000676">
            <w:pPr>
              <w:spacing w:after="0"/>
              <w:jc w:val="right"/>
              <w:rPr>
                <w:sz w:val="18"/>
                <w:szCs w:val="18"/>
              </w:rPr>
            </w:pPr>
            <w:r w:rsidRPr="00F37674">
              <w:rPr>
                <w:sz w:val="18"/>
                <w:szCs w:val="18"/>
              </w:rPr>
              <w:t>3,9</w:t>
            </w:r>
          </w:p>
        </w:tc>
        <w:tc>
          <w:tcPr>
            <w:tcW w:w="1250" w:type="dxa"/>
            <w:tcBorders>
              <w:top w:val="nil"/>
              <w:left w:val="nil"/>
              <w:bottom w:val="nil"/>
              <w:right w:val="nil"/>
            </w:tcBorders>
            <w:shd w:val="clear" w:color="auto" w:fill="auto"/>
            <w:noWrap/>
            <w:vAlign w:val="bottom"/>
            <w:hideMark/>
          </w:tcPr>
          <w:p w14:paraId="260785CE" w14:textId="77777777" w:rsidR="00000676" w:rsidRPr="00F37674" w:rsidRDefault="00000676" w:rsidP="00000676">
            <w:pPr>
              <w:spacing w:after="0"/>
              <w:jc w:val="right"/>
              <w:rPr>
                <w:sz w:val="18"/>
                <w:szCs w:val="18"/>
              </w:rPr>
            </w:pPr>
            <w:r w:rsidRPr="00F37674">
              <w:rPr>
                <w:sz w:val="18"/>
                <w:szCs w:val="18"/>
              </w:rPr>
              <w:t>2,6</w:t>
            </w:r>
          </w:p>
        </w:tc>
        <w:tc>
          <w:tcPr>
            <w:tcW w:w="1580" w:type="dxa"/>
            <w:tcBorders>
              <w:top w:val="nil"/>
              <w:left w:val="nil"/>
              <w:bottom w:val="nil"/>
              <w:right w:val="nil"/>
            </w:tcBorders>
          </w:tcPr>
          <w:p w14:paraId="09A4F2D3" w14:textId="77777777" w:rsidR="00000676" w:rsidRPr="00777AF3" w:rsidRDefault="00000676" w:rsidP="00000676">
            <w:pPr>
              <w:pStyle w:val="Tabelltekst"/>
              <w:jc w:val="right"/>
              <w:rPr>
                <w:sz w:val="20"/>
              </w:rPr>
            </w:pPr>
            <w:r>
              <w:rPr>
                <w:sz w:val="20"/>
              </w:rPr>
              <w:t>4,5</w:t>
            </w:r>
          </w:p>
        </w:tc>
        <w:tc>
          <w:tcPr>
            <w:tcW w:w="160" w:type="dxa"/>
            <w:tcBorders>
              <w:top w:val="nil"/>
              <w:left w:val="nil"/>
              <w:bottom w:val="nil"/>
              <w:right w:val="nil"/>
            </w:tcBorders>
          </w:tcPr>
          <w:p w14:paraId="18044AF7" w14:textId="77777777" w:rsidR="00000676" w:rsidRPr="003D1F81" w:rsidRDefault="00000676" w:rsidP="00000676">
            <w:pPr>
              <w:spacing w:after="0"/>
              <w:jc w:val="right"/>
              <w:rPr>
                <w:sz w:val="18"/>
                <w:szCs w:val="18"/>
              </w:rPr>
            </w:pPr>
          </w:p>
        </w:tc>
        <w:tc>
          <w:tcPr>
            <w:tcW w:w="1430" w:type="dxa"/>
            <w:tcBorders>
              <w:top w:val="nil"/>
              <w:left w:val="nil"/>
              <w:bottom w:val="nil"/>
              <w:right w:val="nil"/>
            </w:tcBorders>
            <w:shd w:val="clear" w:color="auto" w:fill="auto"/>
            <w:noWrap/>
            <w:vAlign w:val="bottom"/>
            <w:hideMark/>
          </w:tcPr>
          <w:p w14:paraId="77BCB60D" w14:textId="77777777" w:rsidR="00000676" w:rsidRPr="003D1F81" w:rsidRDefault="00000676" w:rsidP="00000676">
            <w:pPr>
              <w:spacing w:after="0"/>
              <w:jc w:val="right"/>
              <w:rPr>
                <w:sz w:val="18"/>
                <w:szCs w:val="18"/>
              </w:rPr>
            </w:pPr>
            <w:r w:rsidRPr="003D1F81">
              <w:rPr>
                <w:sz w:val="18"/>
                <w:szCs w:val="18"/>
              </w:rPr>
              <w:t>3,7</w:t>
            </w:r>
          </w:p>
        </w:tc>
        <w:tc>
          <w:tcPr>
            <w:tcW w:w="1118" w:type="dxa"/>
            <w:tcBorders>
              <w:top w:val="nil"/>
              <w:left w:val="nil"/>
              <w:bottom w:val="nil"/>
              <w:right w:val="nil"/>
            </w:tcBorders>
            <w:vAlign w:val="bottom"/>
          </w:tcPr>
          <w:p w14:paraId="1DA10623" w14:textId="77777777" w:rsidR="00000676" w:rsidRPr="00D26AC1" w:rsidRDefault="00000676" w:rsidP="00000676">
            <w:pPr>
              <w:spacing w:after="0"/>
              <w:jc w:val="right"/>
              <w:rPr>
                <w:sz w:val="18"/>
                <w:szCs w:val="18"/>
              </w:rPr>
            </w:pPr>
            <w:r w:rsidRPr="00D26AC1">
              <w:rPr>
                <w:sz w:val="18"/>
                <w:szCs w:val="18"/>
              </w:rPr>
              <w:t>4,8</w:t>
            </w:r>
            <w:r>
              <w:rPr>
                <w:sz w:val="18"/>
                <w:szCs w:val="18"/>
                <w:vertAlign w:val="superscript"/>
              </w:rPr>
              <w:t>5</w:t>
            </w:r>
          </w:p>
        </w:tc>
      </w:tr>
      <w:tr w:rsidR="00000676" w:rsidRPr="00F37674" w14:paraId="4850A7ED" w14:textId="77777777" w:rsidTr="00F7605C">
        <w:trPr>
          <w:trHeight w:val="255"/>
        </w:trPr>
        <w:tc>
          <w:tcPr>
            <w:tcW w:w="1291" w:type="dxa"/>
            <w:tcBorders>
              <w:top w:val="nil"/>
              <w:left w:val="nil"/>
              <w:bottom w:val="nil"/>
              <w:right w:val="nil"/>
            </w:tcBorders>
            <w:shd w:val="clear" w:color="auto" w:fill="auto"/>
            <w:noWrap/>
            <w:vAlign w:val="bottom"/>
            <w:hideMark/>
          </w:tcPr>
          <w:p w14:paraId="3D041F92" w14:textId="77777777" w:rsidR="00000676" w:rsidRPr="00F37674" w:rsidRDefault="00000676" w:rsidP="00000676">
            <w:pPr>
              <w:spacing w:after="0"/>
              <w:rPr>
                <w:sz w:val="18"/>
                <w:szCs w:val="18"/>
              </w:rPr>
            </w:pPr>
            <w:r w:rsidRPr="00F37674">
              <w:rPr>
                <w:sz w:val="18"/>
                <w:szCs w:val="18"/>
              </w:rPr>
              <w:t>2007</w:t>
            </w:r>
          </w:p>
        </w:tc>
        <w:tc>
          <w:tcPr>
            <w:tcW w:w="2195" w:type="dxa"/>
            <w:tcBorders>
              <w:top w:val="nil"/>
              <w:left w:val="nil"/>
              <w:bottom w:val="nil"/>
              <w:right w:val="nil"/>
            </w:tcBorders>
            <w:shd w:val="clear" w:color="auto" w:fill="auto"/>
            <w:noWrap/>
            <w:vAlign w:val="bottom"/>
            <w:hideMark/>
          </w:tcPr>
          <w:p w14:paraId="623C04EB" w14:textId="77777777" w:rsidR="00000676" w:rsidRPr="00F37674" w:rsidRDefault="00000676" w:rsidP="00000676">
            <w:pPr>
              <w:spacing w:after="0"/>
              <w:jc w:val="right"/>
              <w:rPr>
                <w:sz w:val="18"/>
                <w:szCs w:val="18"/>
              </w:rPr>
            </w:pPr>
            <w:r w:rsidRPr="00F37674">
              <w:rPr>
                <w:sz w:val="18"/>
                <w:szCs w:val="18"/>
              </w:rPr>
              <w:t>5,0</w:t>
            </w:r>
          </w:p>
        </w:tc>
        <w:tc>
          <w:tcPr>
            <w:tcW w:w="1038" w:type="dxa"/>
            <w:tcBorders>
              <w:top w:val="nil"/>
              <w:left w:val="nil"/>
              <w:bottom w:val="nil"/>
              <w:right w:val="nil"/>
            </w:tcBorders>
            <w:shd w:val="clear" w:color="auto" w:fill="auto"/>
            <w:noWrap/>
            <w:vAlign w:val="bottom"/>
            <w:hideMark/>
          </w:tcPr>
          <w:p w14:paraId="3395A641" w14:textId="77777777" w:rsidR="00000676" w:rsidRPr="00F37674" w:rsidRDefault="00000676" w:rsidP="00000676">
            <w:pPr>
              <w:spacing w:after="0"/>
              <w:jc w:val="right"/>
              <w:rPr>
                <w:sz w:val="18"/>
                <w:szCs w:val="18"/>
              </w:rPr>
            </w:pPr>
            <w:r w:rsidRPr="00F37674">
              <w:rPr>
                <w:sz w:val="18"/>
                <w:szCs w:val="18"/>
              </w:rPr>
              <w:t>5,1</w:t>
            </w:r>
          </w:p>
        </w:tc>
        <w:tc>
          <w:tcPr>
            <w:tcW w:w="1020" w:type="dxa"/>
            <w:tcBorders>
              <w:top w:val="nil"/>
              <w:left w:val="nil"/>
              <w:bottom w:val="nil"/>
              <w:right w:val="nil"/>
            </w:tcBorders>
            <w:shd w:val="clear" w:color="auto" w:fill="auto"/>
            <w:noWrap/>
            <w:vAlign w:val="bottom"/>
            <w:hideMark/>
          </w:tcPr>
          <w:p w14:paraId="0F17E142" w14:textId="77777777" w:rsidR="00000676" w:rsidRPr="00F37674" w:rsidRDefault="00000676" w:rsidP="00000676">
            <w:pPr>
              <w:spacing w:after="0"/>
              <w:jc w:val="right"/>
              <w:rPr>
                <w:sz w:val="18"/>
                <w:szCs w:val="18"/>
              </w:rPr>
            </w:pPr>
            <w:r w:rsidRPr="00F37674">
              <w:rPr>
                <w:sz w:val="18"/>
                <w:szCs w:val="18"/>
              </w:rPr>
              <w:t>4,8</w:t>
            </w:r>
          </w:p>
        </w:tc>
        <w:tc>
          <w:tcPr>
            <w:tcW w:w="1250" w:type="dxa"/>
            <w:tcBorders>
              <w:top w:val="nil"/>
              <w:left w:val="nil"/>
              <w:bottom w:val="nil"/>
              <w:right w:val="nil"/>
            </w:tcBorders>
            <w:shd w:val="clear" w:color="auto" w:fill="auto"/>
            <w:noWrap/>
            <w:vAlign w:val="bottom"/>
            <w:hideMark/>
          </w:tcPr>
          <w:p w14:paraId="22296C0F" w14:textId="77777777" w:rsidR="00000676" w:rsidRPr="00F37674" w:rsidRDefault="00000676" w:rsidP="00000676">
            <w:pPr>
              <w:spacing w:after="0"/>
              <w:jc w:val="right"/>
              <w:rPr>
                <w:sz w:val="18"/>
                <w:szCs w:val="18"/>
              </w:rPr>
            </w:pPr>
            <w:r w:rsidRPr="00F37674">
              <w:rPr>
                <w:sz w:val="18"/>
                <w:szCs w:val="18"/>
              </w:rPr>
              <w:t>3,6</w:t>
            </w:r>
          </w:p>
        </w:tc>
        <w:tc>
          <w:tcPr>
            <w:tcW w:w="1580" w:type="dxa"/>
            <w:tcBorders>
              <w:top w:val="nil"/>
              <w:left w:val="nil"/>
              <w:bottom w:val="nil"/>
              <w:right w:val="nil"/>
            </w:tcBorders>
          </w:tcPr>
          <w:p w14:paraId="2A232F14" w14:textId="77777777" w:rsidR="00000676" w:rsidRPr="00777AF3" w:rsidRDefault="00000676" w:rsidP="00000676">
            <w:pPr>
              <w:pStyle w:val="Tabelltekst"/>
              <w:jc w:val="right"/>
              <w:rPr>
                <w:sz w:val="20"/>
              </w:rPr>
            </w:pPr>
            <w:r>
              <w:rPr>
                <w:sz w:val="20"/>
              </w:rPr>
              <w:t>5,3</w:t>
            </w:r>
          </w:p>
        </w:tc>
        <w:tc>
          <w:tcPr>
            <w:tcW w:w="160" w:type="dxa"/>
            <w:tcBorders>
              <w:top w:val="nil"/>
              <w:left w:val="nil"/>
              <w:bottom w:val="nil"/>
              <w:right w:val="nil"/>
            </w:tcBorders>
          </w:tcPr>
          <w:p w14:paraId="22D1CB83" w14:textId="77777777" w:rsidR="00000676" w:rsidRPr="003D1F81" w:rsidRDefault="00000676" w:rsidP="00000676">
            <w:pPr>
              <w:spacing w:after="0"/>
              <w:jc w:val="right"/>
              <w:rPr>
                <w:sz w:val="18"/>
                <w:szCs w:val="18"/>
              </w:rPr>
            </w:pPr>
          </w:p>
        </w:tc>
        <w:tc>
          <w:tcPr>
            <w:tcW w:w="1430" w:type="dxa"/>
            <w:tcBorders>
              <w:top w:val="nil"/>
              <w:left w:val="nil"/>
              <w:bottom w:val="nil"/>
              <w:right w:val="nil"/>
            </w:tcBorders>
            <w:shd w:val="clear" w:color="auto" w:fill="auto"/>
            <w:noWrap/>
            <w:vAlign w:val="bottom"/>
            <w:hideMark/>
          </w:tcPr>
          <w:p w14:paraId="657931BC" w14:textId="77777777" w:rsidR="00000676" w:rsidRPr="003D1F81" w:rsidRDefault="00000676" w:rsidP="00000676">
            <w:pPr>
              <w:spacing w:after="0"/>
              <w:jc w:val="right"/>
              <w:rPr>
                <w:sz w:val="18"/>
                <w:szCs w:val="18"/>
              </w:rPr>
            </w:pPr>
            <w:r w:rsidRPr="003D1F81">
              <w:rPr>
                <w:sz w:val="18"/>
                <w:szCs w:val="18"/>
              </w:rPr>
              <w:t>4,9</w:t>
            </w:r>
          </w:p>
        </w:tc>
        <w:tc>
          <w:tcPr>
            <w:tcW w:w="1118" w:type="dxa"/>
            <w:tcBorders>
              <w:top w:val="nil"/>
              <w:left w:val="nil"/>
              <w:bottom w:val="nil"/>
              <w:right w:val="nil"/>
            </w:tcBorders>
            <w:vAlign w:val="bottom"/>
          </w:tcPr>
          <w:p w14:paraId="7575EEA2" w14:textId="77777777" w:rsidR="00000676" w:rsidRPr="00D26AC1" w:rsidRDefault="00000676" w:rsidP="00000676">
            <w:pPr>
              <w:spacing w:after="0"/>
              <w:jc w:val="right"/>
              <w:rPr>
                <w:sz w:val="18"/>
                <w:szCs w:val="18"/>
              </w:rPr>
            </w:pPr>
            <w:r w:rsidRPr="00D26AC1">
              <w:rPr>
                <w:sz w:val="18"/>
                <w:szCs w:val="18"/>
              </w:rPr>
              <w:t>5,3</w:t>
            </w:r>
          </w:p>
        </w:tc>
      </w:tr>
      <w:tr w:rsidR="00000676" w:rsidRPr="00F37674" w14:paraId="60D0E052" w14:textId="77777777" w:rsidTr="00F7605C">
        <w:trPr>
          <w:trHeight w:val="270"/>
        </w:trPr>
        <w:tc>
          <w:tcPr>
            <w:tcW w:w="1291" w:type="dxa"/>
            <w:tcBorders>
              <w:top w:val="nil"/>
              <w:left w:val="nil"/>
              <w:bottom w:val="nil"/>
              <w:right w:val="nil"/>
            </w:tcBorders>
            <w:shd w:val="clear" w:color="auto" w:fill="auto"/>
            <w:noWrap/>
            <w:vAlign w:val="bottom"/>
            <w:hideMark/>
          </w:tcPr>
          <w:p w14:paraId="5946F84D" w14:textId="77777777" w:rsidR="00000676" w:rsidRPr="00F37674" w:rsidRDefault="00000676" w:rsidP="00000676">
            <w:pPr>
              <w:spacing w:after="0"/>
              <w:rPr>
                <w:sz w:val="18"/>
                <w:szCs w:val="18"/>
              </w:rPr>
            </w:pPr>
            <w:r w:rsidRPr="00F37674">
              <w:rPr>
                <w:sz w:val="18"/>
                <w:szCs w:val="18"/>
              </w:rPr>
              <w:t>2008</w:t>
            </w:r>
          </w:p>
        </w:tc>
        <w:tc>
          <w:tcPr>
            <w:tcW w:w="2195" w:type="dxa"/>
            <w:tcBorders>
              <w:top w:val="nil"/>
              <w:left w:val="nil"/>
              <w:bottom w:val="nil"/>
              <w:right w:val="nil"/>
            </w:tcBorders>
            <w:shd w:val="clear" w:color="auto" w:fill="auto"/>
            <w:noWrap/>
            <w:vAlign w:val="bottom"/>
            <w:hideMark/>
          </w:tcPr>
          <w:p w14:paraId="12B08D93" w14:textId="77777777" w:rsidR="00000676" w:rsidRPr="00F37674" w:rsidRDefault="00000676" w:rsidP="00000676">
            <w:pPr>
              <w:spacing w:after="0"/>
              <w:jc w:val="right"/>
              <w:rPr>
                <w:sz w:val="18"/>
                <w:szCs w:val="18"/>
              </w:rPr>
            </w:pPr>
            <w:r w:rsidRPr="00F37674">
              <w:rPr>
                <w:sz w:val="18"/>
                <w:szCs w:val="18"/>
              </w:rPr>
              <w:t>4,8</w:t>
            </w:r>
          </w:p>
        </w:tc>
        <w:tc>
          <w:tcPr>
            <w:tcW w:w="1038" w:type="dxa"/>
            <w:tcBorders>
              <w:top w:val="nil"/>
              <w:left w:val="nil"/>
              <w:bottom w:val="nil"/>
              <w:right w:val="nil"/>
            </w:tcBorders>
            <w:shd w:val="clear" w:color="auto" w:fill="auto"/>
            <w:noWrap/>
            <w:vAlign w:val="bottom"/>
            <w:hideMark/>
          </w:tcPr>
          <w:p w14:paraId="1A33ED96" w14:textId="77777777" w:rsidR="00000676" w:rsidRPr="00F37674" w:rsidRDefault="00000676" w:rsidP="00000676">
            <w:pPr>
              <w:spacing w:after="0"/>
              <w:jc w:val="right"/>
              <w:rPr>
                <w:sz w:val="18"/>
                <w:szCs w:val="18"/>
              </w:rPr>
            </w:pPr>
            <w:r w:rsidRPr="00F37674">
              <w:rPr>
                <w:sz w:val="18"/>
                <w:szCs w:val="18"/>
              </w:rPr>
              <w:t>6,7</w:t>
            </w:r>
          </w:p>
        </w:tc>
        <w:tc>
          <w:tcPr>
            <w:tcW w:w="1020" w:type="dxa"/>
            <w:tcBorders>
              <w:top w:val="nil"/>
              <w:left w:val="nil"/>
              <w:bottom w:val="nil"/>
              <w:right w:val="nil"/>
            </w:tcBorders>
            <w:shd w:val="clear" w:color="auto" w:fill="auto"/>
            <w:noWrap/>
            <w:vAlign w:val="bottom"/>
            <w:hideMark/>
          </w:tcPr>
          <w:p w14:paraId="552E5B46" w14:textId="77777777" w:rsidR="00000676" w:rsidRPr="00F37674" w:rsidRDefault="00000676" w:rsidP="00000676">
            <w:pPr>
              <w:spacing w:after="0"/>
              <w:jc w:val="right"/>
              <w:rPr>
                <w:sz w:val="18"/>
                <w:szCs w:val="18"/>
              </w:rPr>
            </w:pPr>
            <w:r w:rsidRPr="00F37674">
              <w:rPr>
                <w:sz w:val="18"/>
                <w:szCs w:val="18"/>
              </w:rPr>
              <w:t>6,7</w:t>
            </w:r>
            <w:r>
              <w:rPr>
                <w:sz w:val="18"/>
                <w:szCs w:val="18"/>
                <w:vertAlign w:val="superscript"/>
              </w:rPr>
              <w:t>6</w:t>
            </w:r>
          </w:p>
        </w:tc>
        <w:tc>
          <w:tcPr>
            <w:tcW w:w="1250" w:type="dxa"/>
            <w:tcBorders>
              <w:top w:val="nil"/>
              <w:left w:val="nil"/>
              <w:bottom w:val="nil"/>
              <w:right w:val="nil"/>
            </w:tcBorders>
            <w:shd w:val="clear" w:color="auto" w:fill="auto"/>
            <w:noWrap/>
            <w:vAlign w:val="bottom"/>
            <w:hideMark/>
          </w:tcPr>
          <w:p w14:paraId="6E7066B7" w14:textId="77777777" w:rsidR="00000676" w:rsidRPr="00F37674" w:rsidRDefault="00000676" w:rsidP="00000676">
            <w:pPr>
              <w:spacing w:after="0"/>
              <w:jc w:val="right"/>
              <w:rPr>
                <w:sz w:val="18"/>
                <w:szCs w:val="18"/>
              </w:rPr>
            </w:pPr>
            <w:r w:rsidRPr="00F37674">
              <w:rPr>
                <w:sz w:val="18"/>
                <w:szCs w:val="18"/>
              </w:rPr>
              <w:t>5,7</w:t>
            </w:r>
          </w:p>
        </w:tc>
        <w:tc>
          <w:tcPr>
            <w:tcW w:w="1580" w:type="dxa"/>
            <w:tcBorders>
              <w:top w:val="nil"/>
              <w:left w:val="nil"/>
              <w:bottom w:val="nil"/>
              <w:right w:val="nil"/>
            </w:tcBorders>
          </w:tcPr>
          <w:p w14:paraId="692175F6" w14:textId="77777777" w:rsidR="00000676" w:rsidRPr="00777AF3" w:rsidRDefault="00000676" w:rsidP="00000676">
            <w:pPr>
              <w:pStyle w:val="Tabelltekst"/>
              <w:jc w:val="right"/>
              <w:rPr>
                <w:sz w:val="20"/>
              </w:rPr>
            </w:pPr>
            <w:r>
              <w:rPr>
                <w:sz w:val="20"/>
              </w:rPr>
              <w:t>7,1</w:t>
            </w:r>
          </w:p>
        </w:tc>
        <w:tc>
          <w:tcPr>
            <w:tcW w:w="160" w:type="dxa"/>
            <w:tcBorders>
              <w:top w:val="nil"/>
              <w:left w:val="nil"/>
              <w:bottom w:val="nil"/>
              <w:right w:val="nil"/>
            </w:tcBorders>
          </w:tcPr>
          <w:p w14:paraId="43B74565" w14:textId="77777777" w:rsidR="00000676" w:rsidRPr="003D1F81" w:rsidRDefault="00000676" w:rsidP="00000676">
            <w:pPr>
              <w:spacing w:after="0"/>
              <w:jc w:val="right"/>
              <w:rPr>
                <w:sz w:val="18"/>
                <w:szCs w:val="18"/>
              </w:rPr>
            </w:pPr>
          </w:p>
        </w:tc>
        <w:tc>
          <w:tcPr>
            <w:tcW w:w="1430" w:type="dxa"/>
            <w:tcBorders>
              <w:top w:val="nil"/>
              <w:left w:val="nil"/>
              <w:bottom w:val="nil"/>
              <w:right w:val="nil"/>
            </w:tcBorders>
            <w:shd w:val="clear" w:color="auto" w:fill="auto"/>
            <w:noWrap/>
            <w:vAlign w:val="bottom"/>
            <w:hideMark/>
          </w:tcPr>
          <w:p w14:paraId="68EE042A" w14:textId="77777777" w:rsidR="00000676" w:rsidRPr="003D1F81" w:rsidRDefault="00000676" w:rsidP="00000676">
            <w:pPr>
              <w:spacing w:after="0"/>
              <w:jc w:val="right"/>
              <w:rPr>
                <w:sz w:val="18"/>
                <w:szCs w:val="18"/>
              </w:rPr>
            </w:pPr>
            <w:r w:rsidRPr="003D1F81">
              <w:rPr>
                <w:sz w:val="18"/>
                <w:szCs w:val="18"/>
              </w:rPr>
              <w:t>6,5</w:t>
            </w:r>
          </w:p>
        </w:tc>
        <w:tc>
          <w:tcPr>
            <w:tcW w:w="1118" w:type="dxa"/>
            <w:tcBorders>
              <w:top w:val="nil"/>
              <w:left w:val="nil"/>
              <w:bottom w:val="nil"/>
              <w:right w:val="nil"/>
            </w:tcBorders>
            <w:vAlign w:val="bottom"/>
          </w:tcPr>
          <w:p w14:paraId="0E229C3F" w14:textId="77777777" w:rsidR="00000676" w:rsidRPr="00D26AC1" w:rsidRDefault="00000676" w:rsidP="00000676">
            <w:pPr>
              <w:spacing w:after="0"/>
              <w:jc w:val="right"/>
              <w:rPr>
                <w:sz w:val="18"/>
                <w:szCs w:val="18"/>
              </w:rPr>
            </w:pPr>
            <w:r w:rsidRPr="00D26AC1">
              <w:rPr>
                <w:sz w:val="18"/>
                <w:szCs w:val="18"/>
              </w:rPr>
              <w:t>6,2</w:t>
            </w:r>
          </w:p>
        </w:tc>
      </w:tr>
      <w:tr w:rsidR="00000676" w:rsidRPr="00F37674" w14:paraId="1802165E" w14:textId="77777777" w:rsidTr="00F7605C">
        <w:trPr>
          <w:trHeight w:val="270"/>
        </w:trPr>
        <w:tc>
          <w:tcPr>
            <w:tcW w:w="1291" w:type="dxa"/>
            <w:tcBorders>
              <w:top w:val="nil"/>
              <w:left w:val="nil"/>
              <w:bottom w:val="nil"/>
              <w:right w:val="nil"/>
            </w:tcBorders>
            <w:shd w:val="clear" w:color="auto" w:fill="auto"/>
            <w:noWrap/>
            <w:vAlign w:val="bottom"/>
            <w:hideMark/>
          </w:tcPr>
          <w:p w14:paraId="483A95E9" w14:textId="77777777" w:rsidR="00000676" w:rsidRPr="00F37674" w:rsidRDefault="00000676" w:rsidP="00000676">
            <w:pPr>
              <w:spacing w:after="0"/>
              <w:rPr>
                <w:sz w:val="18"/>
                <w:szCs w:val="18"/>
              </w:rPr>
            </w:pPr>
            <w:r w:rsidRPr="00F37674">
              <w:rPr>
                <w:sz w:val="18"/>
                <w:szCs w:val="18"/>
              </w:rPr>
              <w:t>2009</w:t>
            </w:r>
          </w:p>
        </w:tc>
        <w:tc>
          <w:tcPr>
            <w:tcW w:w="2195" w:type="dxa"/>
            <w:tcBorders>
              <w:top w:val="nil"/>
              <w:left w:val="nil"/>
              <w:bottom w:val="nil"/>
              <w:right w:val="nil"/>
            </w:tcBorders>
            <w:shd w:val="clear" w:color="auto" w:fill="auto"/>
            <w:noWrap/>
            <w:vAlign w:val="bottom"/>
            <w:hideMark/>
          </w:tcPr>
          <w:p w14:paraId="0A95E99C" w14:textId="77777777" w:rsidR="00000676" w:rsidRPr="00F37674" w:rsidRDefault="00000676" w:rsidP="00000676">
            <w:pPr>
              <w:spacing w:after="0"/>
              <w:jc w:val="right"/>
              <w:rPr>
                <w:sz w:val="18"/>
                <w:szCs w:val="18"/>
              </w:rPr>
            </w:pPr>
            <w:r>
              <w:rPr>
                <w:sz w:val="18"/>
                <w:szCs w:val="18"/>
              </w:rPr>
              <w:t>2,7</w:t>
            </w:r>
          </w:p>
        </w:tc>
        <w:tc>
          <w:tcPr>
            <w:tcW w:w="1038" w:type="dxa"/>
            <w:tcBorders>
              <w:top w:val="nil"/>
              <w:left w:val="nil"/>
              <w:bottom w:val="nil"/>
              <w:right w:val="nil"/>
            </w:tcBorders>
            <w:shd w:val="clear" w:color="auto" w:fill="auto"/>
            <w:noWrap/>
            <w:vAlign w:val="bottom"/>
            <w:hideMark/>
          </w:tcPr>
          <w:p w14:paraId="342FB09B" w14:textId="77777777" w:rsidR="00000676" w:rsidRPr="00F37674" w:rsidRDefault="00000676" w:rsidP="00000676">
            <w:pPr>
              <w:spacing w:after="0"/>
              <w:jc w:val="right"/>
              <w:rPr>
                <w:sz w:val="18"/>
                <w:szCs w:val="18"/>
              </w:rPr>
            </w:pPr>
            <w:r w:rsidRPr="00F37674">
              <w:rPr>
                <w:sz w:val="18"/>
                <w:szCs w:val="18"/>
              </w:rPr>
              <w:t>4,4</w:t>
            </w:r>
          </w:p>
        </w:tc>
        <w:tc>
          <w:tcPr>
            <w:tcW w:w="1020" w:type="dxa"/>
            <w:tcBorders>
              <w:top w:val="nil"/>
              <w:left w:val="nil"/>
              <w:bottom w:val="nil"/>
              <w:right w:val="nil"/>
            </w:tcBorders>
            <w:shd w:val="clear" w:color="auto" w:fill="auto"/>
            <w:noWrap/>
            <w:vAlign w:val="bottom"/>
            <w:hideMark/>
          </w:tcPr>
          <w:p w14:paraId="24970739" w14:textId="77777777" w:rsidR="00000676" w:rsidRPr="00F37674" w:rsidRDefault="00000676" w:rsidP="00000676">
            <w:pPr>
              <w:spacing w:after="0"/>
              <w:jc w:val="right"/>
              <w:rPr>
                <w:sz w:val="18"/>
                <w:szCs w:val="18"/>
              </w:rPr>
            </w:pPr>
            <w:r w:rsidRPr="00F37674">
              <w:rPr>
                <w:sz w:val="18"/>
                <w:szCs w:val="18"/>
              </w:rPr>
              <w:t>4,</w:t>
            </w:r>
            <w:r>
              <w:rPr>
                <w:sz w:val="18"/>
                <w:szCs w:val="18"/>
              </w:rPr>
              <w:t>6</w:t>
            </w:r>
          </w:p>
        </w:tc>
        <w:tc>
          <w:tcPr>
            <w:tcW w:w="1250" w:type="dxa"/>
            <w:tcBorders>
              <w:top w:val="nil"/>
              <w:left w:val="nil"/>
              <w:bottom w:val="nil"/>
              <w:right w:val="nil"/>
            </w:tcBorders>
            <w:shd w:val="clear" w:color="auto" w:fill="auto"/>
            <w:noWrap/>
            <w:vAlign w:val="bottom"/>
            <w:hideMark/>
          </w:tcPr>
          <w:p w14:paraId="50FCD22C" w14:textId="77777777" w:rsidR="00000676" w:rsidRPr="00F37674" w:rsidRDefault="00000676" w:rsidP="00000676">
            <w:pPr>
              <w:spacing w:after="0"/>
              <w:jc w:val="right"/>
              <w:rPr>
                <w:sz w:val="18"/>
                <w:szCs w:val="18"/>
              </w:rPr>
            </w:pPr>
            <w:r>
              <w:rPr>
                <w:sz w:val="18"/>
                <w:szCs w:val="18"/>
              </w:rPr>
              <w:t>4,4</w:t>
            </w:r>
            <w:r w:rsidRPr="00F37674">
              <w:rPr>
                <w:sz w:val="18"/>
                <w:szCs w:val="18"/>
              </w:rPr>
              <w:t> </w:t>
            </w:r>
          </w:p>
        </w:tc>
        <w:tc>
          <w:tcPr>
            <w:tcW w:w="1580" w:type="dxa"/>
            <w:tcBorders>
              <w:top w:val="nil"/>
              <w:left w:val="nil"/>
              <w:bottom w:val="nil"/>
              <w:right w:val="nil"/>
            </w:tcBorders>
          </w:tcPr>
          <w:p w14:paraId="0E17D23B" w14:textId="77777777" w:rsidR="00000676" w:rsidRPr="00777AF3" w:rsidRDefault="00000676" w:rsidP="00000676">
            <w:pPr>
              <w:pStyle w:val="Tabelltekst"/>
              <w:jc w:val="right"/>
              <w:rPr>
                <w:sz w:val="20"/>
              </w:rPr>
            </w:pPr>
            <w:r>
              <w:rPr>
                <w:sz w:val="20"/>
              </w:rPr>
              <w:t>4,7</w:t>
            </w:r>
          </w:p>
        </w:tc>
        <w:tc>
          <w:tcPr>
            <w:tcW w:w="160" w:type="dxa"/>
            <w:tcBorders>
              <w:top w:val="nil"/>
              <w:left w:val="nil"/>
              <w:bottom w:val="nil"/>
              <w:right w:val="nil"/>
            </w:tcBorders>
          </w:tcPr>
          <w:p w14:paraId="42E8D8A8" w14:textId="77777777" w:rsidR="00000676" w:rsidRPr="003D1F81" w:rsidRDefault="00000676" w:rsidP="00000676">
            <w:pPr>
              <w:spacing w:after="0"/>
              <w:jc w:val="right"/>
              <w:rPr>
                <w:sz w:val="18"/>
                <w:szCs w:val="18"/>
              </w:rPr>
            </w:pPr>
          </w:p>
        </w:tc>
        <w:tc>
          <w:tcPr>
            <w:tcW w:w="1430" w:type="dxa"/>
            <w:tcBorders>
              <w:top w:val="nil"/>
              <w:left w:val="nil"/>
              <w:bottom w:val="nil"/>
              <w:right w:val="nil"/>
            </w:tcBorders>
            <w:shd w:val="clear" w:color="auto" w:fill="auto"/>
            <w:noWrap/>
            <w:vAlign w:val="bottom"/>
            <w:hideMark/>
          </w:tcPr>
          <w:p w14:paraId="79CC79D9" w14:textId="77777777" w:rsidR="00000676" w:rsidRPr="003D1F81" w:rsidRDefault="00000676" w:rsidP="00000676">
            <w:pPr>
              <w:spacing w:after="0"/>
              <w:jc w:val="right"/>
              <w:rPr>
                <w:sz w:val="18"/>
                <w:szCs w:val="18"/>
              </w:rPr>
            </w:pPr>
            <w:r w:rsidRPr="003D1F81">
              <w:rPr>
                <w:sz w:val="18"/>
                <w:szCs w:val="18"/>
              </w:rPr>
              <w:t>5,1</w:t>
            </w:r>
          </w:p>
        </w:tc>
        <w:tc>
          <w:tcPr>
            <w:tcW w:w="1118" w:type="dxa"/>
            <w:tcBorders>
              <w:top w:val="nil"/>
              <w:left w:val="nil"/>
              <w:bottom w:val="nil"/>
              <w:right w:val="nil"/>
            </w:tcBorders>
            <w:vAlign w:val="bottom"/>
          </w:tcPr>
          <w:p w14:paraId="346B6B59" w14:textId="77777777" w:rsidR="00000676" w:rsidRPr="00D26AC1" w:rsidRDefault="00000676" w:rsidP="00000676">
            <w:pPr>
              <w:spacing w:after="0"/>
              <w:jc w:val="right"/>
              <w:rPr>
                <w:sz w:val="18"/>
                <w:szCs w:val="18"/>
              </w:rPr>
            </w:pPr>
            <w:r w:rsidRPr="00D26AC1">
              <w:rPr>
                <w:sz w:val="18"/>
                <w:szCs w:val="18"/>
              </w:rPr>
              <w:t>4,0</w:t>
            </w:r>
          </w:p>
        </w:tc>
      </w:tr>
      <w:tr w:rsidR="00000676" w:rsidRPr="00F37674" w14:paraId="5343A879" w14:textId="77777777" w:rsidTr="00F7605C">
        <w:trPr>
          <w:trHeight w:val="270"/>
        </w:trPr>
        <w:tc>
          <w:tcPr>
            <w:tcW w:w="1291" w:type="dxa"/>
            <w:tcBorders>
              <w:top w:val="nil"/>
              <w:left w:val="nil"/>
              <w:right w:val="nil"/>
            </w:tcBorders>
            <w:shd w:val="clear" w:color="auto" w:fill="auto"/>
            <w:noWrap/>
            <w:vAlign w:val="bottom"/>
            <w:hideMark/>
          </w:tcPr>
          <w:p w14:paraId="2320D03E" w14:textId="77777777" w:rsidR="00000676" w:rsidRPr="00F37674" w:rsidRDefault="00000676" w:rsidP="00000676">
            <w:pPr>
              <w:spacing w:after="0"/>
              <w:rPr>
                <w:sz w:val="18"/>
                <w:szCs w:val="18"/>
              </w:rPr>
            </w:pPr>
            <w:r w:rsidRPr="00F37674">
              <w:rPr>
                <w:sz w:val="18"/>
                <w:szCs w:val="18"/>
              </w:rPr>
              <w:t>20</w:t>
            </w:r>
            <w:r>
              <w:rPr>
                <w:sz w:val="18"/>
                <w:szCs w:val="18"/>
              </w:rPr>
              <w:t>10</w:t>
            </w:r>
          </w:p>
        </w:tc>
        <w:tc>
          <w:tcPr>
            <w:tcW w:w="2195" w:type="dxa"/>
            <w:tcBorders>
              <w:top w:val="nil"/>
              <w:left w:val="nil"/>
              <w:right w:val="nil"/>
            </w:tcBorders>
            <w:shd w:val="clear" w:color="auto" w:fill="auto"/>
            <w:noWrap/>
            <w:vAlign w:val="bottom"/>
            <w:hideMark/>
          </w:tcPr>
          <w:p w14:paraId="3CE1A7ED" w14:textId="77777777" w:rsidR="00000676" w:rsidRDefault="00000676" w:rsidP="00000676">
            <w:pPr>
              <w:spacing w:after="0"/>
              <w:jc w:val="right"/>
              <w:rPr>
                <w:sz w:val="18"/>
                <w:szCs w:val="18"/>
              </w:rPr>
            </w:pPr>
            <w:r>
              <w:rPr>
                <w:sz w:val="18"/>
                <w:szCs w:val="18"/>
              </w:rPr>
              <w:t> 3,3</w:t>
            </w:r>
          </w:p>
        </w:tc>
        <w:tc>
          <w:tcPr>
            <w:tcW w:w="1038" w:type="dxa"/>
            <w:tcBorders>
              <w:top w:val="nil"/>
              <w:left w:val="nil"/>
              <w:right w:val="nil"/>
            </w:tcBorders>
            <w:shd w:val="clear" w:color="auto" w:fill="auto"/>
            <w:noWrap/>
            <w:vAlign w:val="bottom"/>
            <w:hideMark/>
          </w:tcPr>
          <w:p w14:paraId="37F3FAED" w14:textId="77777777" w:rsidR="00000676" w:rsidRDefault="00000676" w:rsidP="00000676">
            <w:pPr>
              <w:spacing w:after="0"/>
              <w:jc w:val="right"/>
              <w:rPr>
                <w:sz w:val="18"/>
                <w:szCs w:val="18"/>
              </w:rPr>
            </w:pPr>
            <w:r>
              <w:rPr>
                <w:sz w:val="18"/>
                <w:szCs w:val="18"/>
              </w:rPr>
              <w:t>4,5</w:t>
            </w:r>
            <w:r w:rsidRPr="005731B5">
              <w:rPr>
                <w:sz w:val="18"/>
                <w:szCs w:val="18"/>
                <w:vertAlign w:val="superscript"/>
              </w:rPr>
              <w:t>1</w:t>
            </w:r>
            <w:r>
              <w:rPr>
                <w:sz w:val="18"/>
                <w:szCs w:val="18"/>
                <w:vertAlign w:val="superscript"/>
              </w:rPr>
              <w:t>2</w:t>
            </w:r>
          </w:p>
        </w:tc>
        <w:tc>
          <w:tcPr>
            <w:tcW w:w="1020" w:type="dxa"/>
            <w:tcBorders>
              <w:top w:val="nil"/>
              <w:left w:val="nil"/>
              <w:right w:val="nil"/>
            </w:tcBorders>
            <w:shd w:val="clear" w:color="auto" w:fill="auto"/>
            <w:noWrap/>
            <w:vAlign w:val="bottom"/>
            <w:hideMark/>
          </w:tcPr>
          <w:p w14:paraId="25EE290C" w14:textId="77777777" w:rsidR="00000676" w:rsidRDefault="00000676" w:rsidP="00000676">
            <w:pPr>
              <w:spacing w:after="0"/>
              <w:jc w:val="right"/>
              <w:rPr>
                <w:sz w:val="18"/>
                <w:szCs w:val="18"/>
              </w:rPr>
            </w:pPr>
            <w:r>
              <w:rPr>
                <w:sz w:val="18"/>
                <w:szCs w:val="18"/>
              </w:rPr>
              <w:t>3,7</w:t>
            </w:r>
          </w:p>
        </w:tc>
        <w:tc>
          <w:tcPr>
            <w:tcW w:w="1250" w:type="dxa"/>
            <w:tcBorders>
              <w:top w:val="nil"/>
              <w:left w:val="nil"/>
              <w:right w:val="nil"/>
            </w:tcBorders>
            <w:shd w:val="clear" w:color="auto" w:fill="auto"/>
            <w:noWrap/>
            <w:vAlign w:val="bottom"/>
            <w:hideMark/>
          </w:tcPr>
          <w:p w14:paraId="3CA967C2" w14:textId="77777777" w:rsidR="00000676" w:rsidRDefault="00000676" w:rsidP="00000676">
            <w:pPr>
              <w:spacing w:after="0"/>
              <w:jc w:val="right"/>
              <w:rPr>
                <w:sz w:val="18"/>
                <w:szCs w:val="18"/>
              </w:rPr>
            </w:pPr>
            <w:r>
              <w:rPr>
                <w:sz w:val="18"/>
                <w:szCs w:val="18"/>
              </w:rPr>
              <w:t xml:space="preserve">3,6 </w:t>
            </w:r>
          </w:p>
        </w:tc>
        <w:tc>
          <w:tcPr>
            <w:tcW w:w="1580" w:type="dxa"/>
            <w:tcBorders>
              <w:top w:val="nil"/>
              <w:left w:val="nil"/>
              <w:right w:val="nil"/>
            </w:tcBorders>
          </w:tcPr>
          <w:p w14:paraId="49FE525F" w14:textId="77777777" w:rsidR="00000676" w:rsidRPr="00777AF3" w:rsidRDefault="00000676" w:rsidP="00000676">
            <w:pPr>
              <w:pStyle w:val="Tabelltekst"/>
              <w:jc w:val="right"/>
              <w:rPr>
                <w:sz w:val="20"/>
              </w:rPr>
            </w:pPr>
            <w:r>
              <w:rPr>
                <w:sz w:val="20"/>
              </w:rPr>
              <w:t>3,7</w:t>
            </w:r>
          </w:p>
        </w:tc>
        <w:tc>
          <w:tcPr>
            <w:tcW w:w="160" w:type="dxa"/>
            <w:tcBorders>
              <w:top w:val="nil"/>
              <w:left w:val="nil"/>
              <w:right w:val="nil"/>
            </w:tcBorders>
          </w:tcPr>
          <w:p w14:paraId="3CAAD8A2" w14:textId="77777777" w:rsidR="00000676" w:rsidRPr="003D1F81" w:rsidRDefault="00000676" w:rsidP="00000676">
            <w:pPr>
              <w:spacing w:after="0"/>
              <w:jc w:val="right"/>
              <w:rPr>
                <w:sz w:val="18"/>
                <w:szCs w:val="18"/>
              </w:rPr>
            </w:pPr>
          </w:p>
        </w:tc>
        <w:tc>
          <w:tcPr>
            <w:tcW w:w="1430" w:type="dxa"/>
            <w:tcBorders>
              <w:top w:val="nil"/>
              <w:left w:val="nil"/>
              <w:right w:val="nil"/>
            </w:tcBorders>
            <w:shd w:val="clear" w:color="auto" w:fill="auto"/>
            <w:noWrap/>
            <w:vAlign w:val="bottom"/>
            <w:hideMark/>
          </w:tcPr>
          <w:p w14:paraId="01459BB1" w14:textId="77777777" w:rsidR="00000676" w:rsidRPr="003D1F81" w:rsidRDefault="00000676" w:rsidP="00000676">
            <w:pPr>
              <w:spacing w:after="0"/>
              <w:jc w:val="right"/>
              <w:rPr>
                <w:sz w:val="18"/>
                <w:szCs w:val="18"/>
              </w:rPr>
            </w:pPr>
            <w:r w:rsidRPr="003D1F81">
              <w:rPr>
                <w:sz w:val="18"/>
                <w:szCs w:val="18"/>
              </w:rPr>
              <w:t>3,5</w:t>
            </w:r>
          </w:p>
        </w:tc>
        <w:tc>
          <w:tcPr>
            <w:tcW w:w="1118" w:type="dxa"/>
            <w:tcBorders>
              <w:top w:val="nil"/>
              <w:left w:val="nil"/>
              <w:right w:val="nil"/>
            </w:tcBorders>
            <w:vAlign w:val="bottom"/>
          </w:tcPr>
          <w:p w14:paraId="66728ACC" w14:textId="77777777" w:rsidR="00000676" w:rsidRPr="00D26AC1" w:rsidRDefault="00000676" w:rsidP="00000676">
            <w:pPr>
              <w:spacing w:after="0"/>
              <w:jc w:val="right"/>
              <w:rPr>
                <w:sz w:val="18"/>
                <w:szCs w:val="18"/>
              </w:rPr>
            </w:pPr>
            <w:r>
              <w:rPr>
                <w:sz w:val="18"/>
                <w:szCs w:val="18"/>
              </w:rPr>
              <w:t>3,5</w:t>
            </w:r>
            <w:r w:rsidRPr="00D26AC1">
              <w:rPr>
                <w:sz w:val="18"/>
                <w:szCs w:val="18"/>
              </w:rPr>
              <w:t xml:space="preserve"> </w:t>
            </w:r>
          </w:p>
        </w:tc>
      </w:tr>
      <w:tr w:rsidR="00000676" w:rsidRPr="00F37674" w14:paraId="4A5D4CC9" w14:textId="77777777" w:rsidTr="00F7605C">
        <w:trPr>
          <w:trHeight w:val="240"/>
        </w:trPr>
        <w:tc>
          <w:tcPr>
            <w:tcW w:w="1291" w:type="dxa"/>
            <w:tcBorders>
              <w:top w:val="nil"/>
              <w:left w:val="nil"/>
              <w:right w:val="nil"/>
            </w:tcBorders>
            <w:shd w:val="clear" w:color="auto" w:fill="auto"/>
            <w:noWrap/>
            <w:vAlign w:val="bottom"/>
            <w:hideMark/>
          </w:tcPr>
          <w:p w14:paraId="65A312A1" w14:textId="77777777" w:rsidR="00000676" w:rsidRPr="00F37674" w:rsidRDefault="00000676" w:rsidP="00000676">
            <w:pPr>
              <w:spacing w:after="0"/>
              <w:rPr>
                <w:sz w:val="18"/>
                <w:szCs w:val="18"/>
              </w:rPr>
            </w:pPr>
            <w:r>
              <w:rPr>
                <w:sz w:val="18"/>
                <w:szCs w:val="18"/>
              </w:rPr>
              <w:t>2011</w:t>
            </w:r>
          </w:p>
        </w:tc>
        <w:tc>
          <w:tcPr>
            <w:tcW w:w="2195" w:type="dxa"/>
            <w:tcBorders>
              <w:top w:val="nil"/>
              <w:left w:val="nil"/>
              <w:right w:val="nil"/>
            </w:tcBorders>
            <w:shd w:val="clear" w:color="auto" w:fill="auto"/>
            <w:noWrap/>
            <w:vAlign w:val="bottom"/>
            <w:hideMark/>
          </w:tcPr>
          <w:p w14:paraId="3C0EA12D" w14:textId="77777777" w:rsidR="00000676" w:rsidRDefault="00000676" w:rsidP="00000676">
            <w:pPr>
              <w:spacing w:after="0"/>
              <w:jc w:val="right"/>
              <w:rPr>
                <w:sz w:val="18"/>
                <w:szCs w:val="18"/>
              </w:rPr>
            </w:pPr>
            <w:r>
              <w:rPr>
                <w:sz w:val="18"/>
                <w:szCs w:val="18"/>
              </w:rPr>
              <w:t>4,8</w:t>
            </w:r>
          </w:p>
        </w:tc>
        <w:tc>
          <w:tcPr>
            <w:tcW w:w="1038" w:type="dxa"/>
            <w:tcBorders>
              <w:top w:val="nil"/>
              <w:left w:val="nil"/>
              <w:right w:val="nil"/>
            </w:tcBorders>
            <w:shd w:val="clear" w:color="auto" w:fill="auto"/>
            <w:noWrap/>
            <w:vAlign w:val="bottom"/>
            <w:hideMark/>
          </w:tcPr>
          <w:p w14:paraId="184A0A66" w14:textId="77777777" w:rsidR="00000676" w:rsidRDefault="00000676" w:rsidP="00000676">
            <w:pPr>
              <w:spacing w:after="0"/>
              <w:jc w:val="right"/>
              <w:rPr>
                <w:sz w:val="18"/>
                <w:szCs w:val="18"/>
              </w:rPr>
            </w:pPr>
            <w:r>
              <w:rPr>
                <w:sz w:val="18"/>
                <w:szCs w:val="18"/>
              </w:rPr>
              <w:t>4,2</w:t>
            </w:r>
          </w:p>
        </w:tc>
        <w:tc>
          <w:tcPr>
            <w:tcW w:w="1020" w:type="dxa"/>
            <w:tcBorders>
              <w:top w:val="nil"/>
              <w:left w:val="nil"/>
              <w:right w:val="nil"/>
            </w:tcBorders>
            <w:shd w:val="clear" w:color="auto" w:fill="auto"/>
            <w:noWrap/>
            <w:vAlign w:val="bottom"/>
            <w:hideMark/>
          </w:tcPr>
          <w:p w14:paraId="6B7DB6BB" w14:textId="77777777" w:rsidR="00000676" w:rsidRDefault="00000676" w:rsidP="00000676">
            <w:pPr>
              <w:spacing w:after="0"/>
              <w:jc w:val="right"/>
              <w:rPr>
                <w:sz w:val="18"/>
                <w:szCs w:val="18"/>
              </w:rPr>
            </w:pPr>
            <w:r>
              <w:rPr>
                <w:sz w:val="18"/>
                <w:szCs w:val="18"/>
              </w:rPr>
              <w:t> 4,3</w:t>
            </w:r>
          </w:p>
        </w:tc>
        <w:tc>
          <w:tcPr>
            <w:tcW w:w="1250" w:type="dxa"/>
            <w:tcBorders>
              <w:top w:val="nil"/>
              <w:left w:val="nil"/>
              <w:right w:val="nil"/>
            </w:tcBorders>
            <w:shd w:val="clear" w:color="auto" w:fill="auto"/>
            <w:noWrap/>
            <w:vAlign w:val="bottom"/>
            <w:hideMark/>
          </w:tcPr>
          <w:p w14:paraId="50D80F4E" w14:textId="77777777" w:rsidR="00000676" w:rsidRDefault="00000676" w:rsidP="00000676">
            <w:pPr>
              <w:spacing w:after="0"/>
              <w:jc w:val="right"/>
              <w:rPr>
                <w:sz w:val="18"/>
                <w:szCs w:val="18"/>
              </w:rPr>
            </w:pPr>
            <w:r>
              <w:rPr>
                <w:sz w:val="18"/>
                <w:szCs w:val="18"/>
              </w:rPr>
              <w:t xml:space="preserve"> 4,3 </w:t>
            </w:r>
          </w:p>
        </w:tc>
        <w:tc>
          <w:tcPr>
            <w:tcW w:w="1580" w:type="dxa"/>
            <w:tcBorders>
              <w:top w:val="nil"/>
              <w:left w:val="nil"/>
              <w:right w:val="nil"/>
            </w:tcBorders>
          </w:tcPr>
          <w:p w14:paraId="0BD0086B" w14:textId="77777777" w:rsidR="00000676" w:rsidRDefault="00000676" w:rsidP="00000676">
            <w:pPr>
              <w:pStyle w:val="Tabelltekst"/>
              <w:jc w:val="right"/>
              <w:rPr>
                <w:sz w:val="20"/>
              </w:rPr>
            </w:pPr>
            <w:r>
              <w:rPr>
                <w:sz w:val="20"/>
              </w:rPr>
              <w:t>4,3</w:t>
            </w:r>
          </w:p>
        </w:tc>
        <w:tc>
          <w:tcPr>
            <w:tcW w:w="160" w:type="dxa"/>
            <w:tcBorders>
              <w:top w:val="nil"/>
              <w:left w:val="nil"/>
              <w:right w:val="nil"/>
            </w:tcBorders>
          </w:tcPr>
          <w:p w14:paraId="46DFA59F" w14:textId="77777777" w:rsidR="00000676" w:rsidRPr="003D1F81" w:rsidRDefault="00000676" w:rsidP="00000676">
            <w:pPr>
              <w:spacing w:after="0"/>
              <w:jc w:val="right"/>
              <w:rPr>
                <w:sz w:val="18"/>
                <w:szCs w:val="18"/>
              </w:rPr>
            </w:pPr>
          </w:p>
        </w:tc>
        <w:tc>
          <w:tcPr>
            <w:tcW w:w="1430" w:type="dxa"/>
            <w:tcBorders>
              <w:top w:val="nil"/>
              <w:left w:val="nil"/>
              <w:right w:val="nil"/>
            </w:tcBorders>
            <w:shd w:val="clear" w:color="auto" w:fill="auto"/>
            <w:noWrap/>
            <w:vAlign w:val="bottom"/>
            <w:hideMark/>
          </w:tcPr>
          <w:p w14:paraId="0CE199CF" w14:textId="77777777" w:rsidR="00000676" w:rsidRPr="003D1F81" w:rsidRDefault="00000676" w:rsidP="00000676">
            <w:pPr>
              <w:spacing w:after="0"/>
              <w:jc w:val="right"/>
              <w:rPr>
                <w:sz w:val="18"/>
                <w:szCs w:val="18"/>
              </w:rPr>
            </w:pPr>
            <w:r w:rsidRPr="003D1F81">
              <w:rPr>
                <w:sz w:val="18"/>
                <w:szCs w:val="18"/>
              </w:rPr>
              <w:t>4,0 </w:t>
            </w:r>
          </w:p>
        </w:tc>
        <w:tc>
          <w:tcPr>
            <w:tcW w:w="1118" w:type="dxa"/>
            <w:tcBorders>
              <w:top w:val="nil"/>
              <w:left w:val="nil"/>
              <w:right w:val="nil"/>
            </w:tcBorders>
            <w:vAlign w:val="bottom"/>
          </w:tcPr>
          <w:p w14:paraId="45D653E5" w14:textId="77777777" w:rsidR="00000676" w:rsidRDefault="00000676" w:rsidP="00000676">
            <w:pPr>
              <w:spacing w:after="0"/>
              <w:jc w:val="right"/>
              <w:rPr>
                <w:sz w:val="18"/>
                <w:szCs w:val="18"/>
              </w:rPr>
            </w:pPr>
            <w:r>
              <w:rPr>
                <w:sz w:val="18"/>
                <w:szCs w:val="18"/>
              </w:rPr>
              <w:t>4,1</w:t>
            </w:r>
          </w:p>
        </w:tc>
      </w:tr>
      <w:tr w:rsidR="00000676" w:rsidRPr="00F37674" w14:paraId="718CDE9C" w14:textId="77777777" w:rsidTr="00F7605C">
        <w:trPr>
          <w:trHeight w:val="240"/>
        </w:trPr>
        <w:tc>
          <w:tcPr>
            <w:tcW w:w="1291" w:type="dxa"/>
            <w:tcBorders>
              <w:left w:val="nil"/>
              <w:right w:val="nil"/>
            </w:tcBorders>
            <w:shd w:val="clear" w:color="auto" w:fill="auto"/>
            <w:noWrap/>
            <w:vAlign w:val="bottom"/>
            <w:hideMark/>
          </w:tcPr>
          <w:p w14:paraId="785797A1" w14:textId="77777777" w:rsidR="00000676" w:rsidRDefault="00000676" w:rsidP="00000676">
            <w:pPr>
              <w:spacing w:after="0"/>
              <w:rPr>
                <w:sz w:val="18"/>
                <w:szCs w:val="18"/>
              </w:rPr>
            </w:pPr>
            <w:r>
              <w:rPr>
                <w:sz w:val="18"/>
                <w:szCs w:val="18"/>
              </w:rPr>
              <w:t>2012</w:t>
            </w:r>
          </w:p>
        </w:tc>
        <w:tc>
          <w:tcPr>
            <w:tcW w:w="2195" w:type="dxa"/>
            <w:tcBorders>
              <w:left w:val="nil"/>
              <w:right w:val="nil"/>
            </w:tcBorders>
            <w:shd w:val="clear" w:color="auto" w:fill="auto"/>
            <w:noWrap/>
            <w:vAlign w:val="bottom"/>
            <w:hideMark/>
          </w:tcPr>
          <w:p w14:paraId="5360E8CF" w14:textId="77777777" w:rsidR="00000676" w:rsidRDefault="00000676" w:rsidP="00000676">
            <w:pPr>
              <w:spacing w:after="0"/>
              <w:jc w:val="right"/>
              <w:rPr>
                <w:sz w:val="18"/>
                <w:szCs w:val="18"/>
              </w:rPr>
            </w:pPr>
            <w:r>
              <w:rPr>
                <w:sz w:val="18"/>
                <w:szCs w:val="18"/>
              </w:rPr>
              <w:t>3,0</w:t>
            </w:r>
          </w:p>
        </w:tc>
        <w:tc>
          <w:tcPr>
            <w:tcW w:w="1038" w:type="dxa"/>
            <w:tcBorders>
              <w:left w:val="nil"/>
              <w:right w:val="nil"/>
            </w:tcBorders>
            <w:shd w:val="clear" w:color="auto" w:fill="auto"/>
            <w:noWrap/>
            <w:vAlign w:val="bottom"/>
            <w:hideMark/>
          </w:tcPr>
          <w:p w14:paraId="47D027A3" w14:textId="77777777" w:rsidR="00000676" w:rsidRDefault="00000676" w:rsidP="00000676">
            <w:pPr>
              <w:spacing w:after="0"/>
              <w:jc w:val="right"/>
              <w:rPr>
                <w:sz w:val="18"/>
                <w:szCs w:val="18"/>
              </w:rPr>
            </w:pPr>
            <w:r>
              <w:rPr>
                <w:sz w:val="18"/>
                <w:szCs w:val="18"/>
              </w:rPr>
              <w:t>4,1</w:t>
            </w:r>
          </w:p>
        </w:tc>
        <w:tc>
          <w:tcPr>
            <w:tcW w:w="1020" w:type="dxa"/>
            <w:tcBorders>
              <w:left w:val="nil"/>
              <w:right w:val="nil"/>
            </w:tcBorders>
            <w:shd w:val="clear" w:color="auto" w:fill="auto"/>
            <w:noWrap/>
            <w:vAlign w:val="bottom"/>
            <w:hideMark/>
          </w:tcPr>
          <w:p w14:paraId="178D7B46" w14:textId="77777777" w:rsidR="00000676" w:rsidRDefault="00000676" w:rsidP="00000676">
            <w:pPr>
              <w:spacing w:after="0"/>
              <w:jc w:val="right"/>
              <w:rPr>
                <w:sz w:val="18"/>
                <w:szCs w:val="18"/>
              </w:rPr>
            </w:pPr>
            <w:r>
              <w:rPr>
                <w:sz w:val="18"/>
                <w:szCs w:val="18"/>
              </w:rPr>
              <w:t>4,1</w:t>
            </w:r>
          </w:p>
        </w:tc>
        <w:tc>
          <w:tcPr>
            <w:tcW w:w="1250" w:type="dxa"/>
            <w:tcBorders>
              <w:left w:val="nil"/>
              <w:right w:val="nil"/>
            </w:tcBorders>
            <w:shd w:val="clear" w:color="auto" w:fill="auto"/>
            <w:noWrap/>
            <w:vAlign w:val="bottom"/>
            <w:hideMark/>
          </w:tcPr>
          <w:p w14:paraId="29BEE4DA" w14:textId="77777777" w:rsidR="00000676" w:rsidRDefault="00000676" w:rsidP="00000676">
            <w:pPr>
              <w:spacing w:after="0"/>
              <w:jc w:val="right"/>
              <w:rPr>
                <w:sz w:val="18"/>
                <w:szCs w:val="18"/>
              </w:rPr>
            </w:pPr>
            <w:r>
              <w:rPr>
                <w:sz w:val="18"/>
                <w:szCs w:val="18"/>
              </w:rPr>
              <w:t>4,0</w:t>
            </w:r>
          </w:p>
        </w:tc>
        <w:tc>
          <w:tcPr>
            <w:tcW w:w="1580" w:type="dxa"/>
            <w:tcBorders>
              <w:left w:val="nil"/>
              <w:right w:val="nil"/>
            </w:tcBorders>
          </w:tcPr>
          <w:p w14:paraId="1B5E506C" w14:textId="77777777" w:rsidR="00000676" w:rsidRDefault="00000676" w:rsidP="00000676">
            <w:pPr>
              <w:pStyle w:val="Tabelltekst"/>
              <w:jc w:val="right"/>
              <w:rPr>
                <w:sz w:val="20"/>
              </w:rPr>
            </w:pPr>
            <w:r>
              <w:rPr>
                <w:sz w:val="20"/>
              </w:rPr>
              <w:t>4,1</w:t>
            </w:r>
          </w:p>
        </w:tc>
        <w:tc>
          <w:tcPr>
            <w:tcW w:w="160" w:type="dxa"/>
            <w:tcBorders>
              <w:left w:val="nil"/>
              <w:right w:val="nil"/>
            </w:tcBorders>
          </w:tcPr>
          <w:p w14:paraId="0C3FEED1" w14:textId="77777777" w:rsidR="00000676" w:rsidRDefault="00000676" w:rsidP="00000676">
            <w:pPr>
              <w:spacing w:after="0"/>
              <w:jc w:val="right"/>
              <w:rPr>
                <w:sz w:val="18"/>
                <w:szCs w:val="18"/>
              </w:rPr>
            </w:pPr>
          </w:p>
        </w:tc>
        <w:tc>
          <w:tcPr>
            <w:tcW w:w="1430" w:type="dxa"/>
            <w:tcBorders>
              <w:left w:val="nil"/>
              <w:right w:val="nil"/>
            </w:tcBorders>
            <w:shd w:val="clear" w:color="auto" w:fill="auto"/>
            <w:noWrap/>
            <w:vAlign w:val="bottom"/>
            <w:hideMark/>
          </w:tcPr>
          <w:p w14:paraId="0BB98884" w14:textId="77777777" w:rsidR="00000676" w:rsidRPr="003D1F81" w:rsidRDefault="00000676" w:rsidP="00000676">
            <w:pPr>
              <w:spacing w:after="0"/>
              <w:jc w:val="right"/>
              <w:rPr>
                <w:sz w:val="18"/>
                <w:szCs w:val="18"/>
              </w:rPr>
            </w:pPr>
            <w:r>
              <w:rPr>
                <w:sz w:val="18"/>
                <w:szCs w:val="18"/>
              </w:rPr>
              <w:t xml:space="preserve">3,7 </w:t>
            </w:r>
          </w:p>
        </w:tc>
        <w:tc>
          <w:tcPr>
            <w:tcW w:w="1118" w:type="dxa"/>
            <w:tcBorders>
              <w:left w:val="nil"/>
              <w:right w:val="nil"/>
            </w:tcBorders>
            <w:vAlign w:val="bottom"/>
          </w:tcPr>
          <w:p w14:paraId="67B6F975" w14:textId="77777777" w:rsidR="00000676" w:rsidRDefault="00000676" w:rsidP="00000676">
            <w:pPr>
              <w:spacing w:after="0"/>
              <w:jc w:val="right"/>
              <w:rPr>
                <w:sz w:val="18"/>
                <w:szCs w:val="18"/>
              </w:rPr>
            </w:pPr>
            <w:r>
              <w:rPr>
                <w:sz w:val="18"/>
                <w:szCs w:val="18"/>
              </w:rPr>
              <w:t>4,2</w:t>
            </w:r>
          </w:p>
        </w:tc>
      </w:tr>
      <w:tr w:rsidR="00000676" w:rsidRPr="00F37674" w14:paraId="1F48084F" w14:textId="77777777" w:rsidTr="00F7605C">
        <w:trPr>
          <w:trHeight w:val="240"/>
        </w:trPr>
        <w:tc>
          <w:tcPr>
            <w:tcW w:w="1291" w:type="dxa"/>
            <w:tcBorders>
              <w:left w:val="nil"/>
              <w:right w:val="nil"/>
            </w:tcBorders>
            <w:shd w:val="clear" w:color="auto" w:fill="auto"/>
            <w:noWrap/>
            <w:vAlign w:val="bottom"/>
            <w:hideMark/>
          </w:tcPr>
          <w:p w14:paraId="4444F019" w14:textId="77777777" w:rsidR="00000676" w:rsidRDefault="00000676" w:rsidP="00000676">
            <w:pPr>
              <w:spacing w:after="0"/>
              <w:rPr>
                <w:sz w:val="18"/>
                <w:szCs w:val="18"/>
              </w:rPr>
            </w:pPr>
            <w:r>
              <w:rPr>
                <w:sz w:val="18"/>
                <w:szCs w:val="18"/>
              </w:rPr>
              <w:t>2013</w:t>
            </w:r>
          </w:p>
        </w:tc>
        <w:tc>
          <w:tcPr>
            <w:tcW w:w="2195" w:type="dxa"/>
            <w:tcBorders>
              <w:left w:val="nil"/>
              <w:right w:val="nil"/>
            </w:tcBorders>
            <w:shd w:val="clear" w:color="auto" w:fill="auto"/>
            <w:noWrap/>
            <w:vAlign w:val="bottom"/>
            <w:hideMark/>
          </w:tcPr>
          <w:p w14:paraId="23BBB870" w14:textId="77777777" w:rsidR="00000676" w:rsidRDefault="00000676" w:rsidP="00000676">
            <w:pPr>
              <w:spacing w:after="0"/>
              <w:jc w:val="right"/>
              <w:rPr>
                <w:sz w:val="18"/>
                <w:szCs w:val="18"/>
              </w:rPr>
            </w:pPr>
            <w:r>
              <w:rPr>
                <w:sz w:val="18"/>
                <w:szCs w:val="18"/>
              </w:rPr>
              <w:t>3,6</w:t>
            </w:r>
          </w:p>
        </w:tc>
        <w:tc>
          <w:tcPr>
            <w:tcW w:w="1038" w:type="dxa"/>
            <w:tcBorders>
              <w:left w:val="nil"/>
              <w:right w:val="nil"/>
            </w:tcBorders>
            <w:shd w:val="clear" w:color="auto" w:fill="auto"/>
            <w:noWrap/>
            <w:vAlign w:val="bottom"/>
            <w:hideMark/>
          </w:tcPr>
          <w:p w14:paraId="739F73DB" w14:textId="77777777" w:rsidR="00000676" w:rsidRPr="001A26C7" w:rsidRDefault="00000676" w:rsidP="00000676">
            <w:pPr>
              <w:spacing w:after="0"/>
              <w:jc w:val="right"/>
              <w:rPr>
                <w:sz w:val="18"/>
                <w:szCs w:val="18"/>
              </w:rPr>
            </w:pPr>
            <w:r w:rsidRPr="001A26C7">
              <w:rPr>
                <w:sz w:val="18"/>
                <w:szCs w:val="18"/>
              </w:rPr>
              <w:t>3,5</w:t>
            </w:r>
          </w:p>
        </w:tc>
        <w:tc>
          <w:tcPr>
            <w:tcW w:w="1020" w:type="dxa"/>
            <w:tcBorders>
              <w:left w:val="nil"/>
              <w:right w:val="nil"/>
            </w:tcBorders>
            <w:shd w:val="clear" w:color="auto" w:fill="auto"/>
            <w:noWrap/>
            <w:vAlign w:val="bottom"/>
            <w:hideMark/>
          </w:tcPr>
          <w:p w14:paraId="472C8A3A" w14:textId="77777777" w:rsidR="00000676" w:rsidRDefault="00000676" w:rsidP="00000676">
            <w:pPr>
              <w:spacing w:after="0"/>
              <w:jc w:val="right"/>
              <w:rPr>
                <w:sz w:val="18"/>
                <w:szCs w:val="18"/>
              </w:rPr>
            </w:pPr>
            <w:r>
              <w:rPr>
                <w:sz w:val="18"/>
                <w:szCs w:val="18"/>
              </w:rPr>
              <w:t xml:space="preserve">3,7 </w:t>
            </w:r>
          </w:p>
        </w:tc>
        <w:tc>
          <w:tcPr>
            <w:tcW w:w="1250" w:type="dxa"/>
            <w:tcBorders>
              <w:left w:val="nil"/>
              <w:right w:val="nil"/>
            </w:tcBorders>
            <w:shd w:val="clear" w:color="auto" w:fill="auto"/>
            <w:noWrap/>
            <w:vAlign w:val="bottom"/>
            <w:hideMark/>
          </w:tcPr>
          <w:p w14:paraId="12BF9BAE" w14:textId="77777777" w:rsidR="00000676" w:rsidRDefault="00000676" w:rsidP="00000676">
            <w:pPr>
              <w:spacing w:after="0"/>
              <w:jc w:val="right"/>
              <w:rPr>
                <w:sz w:val="18"/>
                <w:szCs w:val="18"/>
              </w:rPr>
            </w:pPr>
            <w:r>
              <w:rPr>
                <w:sz w:val="18"/>
                <w:szCs w:val="18"/>
              </w:rPr>
              <w:t xml:space="preserve">3,2 </w:t>
            </w:r>
          </w:p>
        </w:tc>
        <w:tc>
          <w:tcPr>
            <w:tcW w:w="1580" w:type="dxa"/>
            <w:tcBorders>
              <w:left w:val="nil"/>
              <w:right w:val="nil"/>
            </w:tcBorders>
          </w:tcPr>
          <w:p w14:paraId="5BC4160F" w14:textId="77777777" w:rsidR="00000676" w:rsidRDefault="00000676" w:rsidP="00000676">
            <w:pPr>
              <w:pStyle w:val="Tabelltekst"/>
              <w:jc w:val="right"/>
              <w:rPr>
                <w:rFonts w:ascii="Times" w:eastAsia="Batang" w:hAnsi="Times"/>
                <w:sz w:val="20"/>
              </w:rPr>
            </w:pPr>
            <w:r>
              <w:rPr>
                <w:sz w:val="20"/>
              </w:rPr>
              <w:t xml:space="preserve">3,9 </w:t>
            </w:r>
          </w:p>
        </w:tc>
        <w:tc>
          <w:tcPr>
            <w:tcW w:w="160" w:type="dxa"/>
            <w:tcBorders>
              <w:left w:val="nil"/>
              <w:right w:val="nil"/>
            </w:tcBorders>
          </w:tcPr>
          <w:p w14:paraId="0C8F31F7" w14:textId="77777777" w:rsidR="00000676" w:rsidRDefault="00000676" w:rsidP="00000676">
            <w:pPr>
              <w:spacing w:after="0"/>
              <w:jc w:val="right"/>
              <w:rPr>
                <w:sz w:val="18"/>
                <w:szCs w:val="18"/>
              </w:rPr>
            </w:pPr>
          </w:p>
        </w:tc>
        <w:tc>
          <w:tcPr>
            <w:tcW w:w="1430" w:type="dxa"/>
            <w:tcBorders>
              <w:left w:val="nil"/>
              <w:right w:val="nil"/>
            </w:tcBorders>
            <w:shd w:val="clear" w:color="auto" w:fill="auto"/>
            <w:noWrap/>
            <w:vAlign w:val="bottom"/>
            <w:hideMark/>
          </w:tcPr>
          <w:p w14:paraId="6C7C9583" w14:textId="77777777" w:rsidR="00000676" w:rsidRDefault="00000676" w:rsidP="00000676">
            <w:pPr>
              <w:spacing w:after="0"/>
              <w:jc w:val="right"/>
              <w:rPr>
                <w:sz w:val="18"/>
                <w:szCs w:val="18"/>
              </w:rPr>
            </w:pPr>
            <w:r>
              <w:rPr>
                <w:sz w:val="18"/>
                <w:szCs w:val="18"/>
              </w:rPr>
              <w:t>3,8</w:t>
            </w:r>
          </w:p>
        </w:tc>
        <w:tc>
          <w:tcPr>
            <w:tcW w:w="1118" w:type="dxa"/>
            <w:tcBorders>
              <w:left w:val="nil"/>
              <w:right w:val="nil"/>
            </w:tcBorders>
            <w:vAlign w:val="bottom"/>
          </w:tcPr>
          <w:p w14:paraId="0280B90E" w14:textId="77777777" w:rsidR="00000676" w:rsidRDefault="00000676" w:rsidP="00000676">
            <w:pPr>
              <w:spacing w:after="0"/>
              <w:jc w:val="right"/>
              <w:rPr>
                <w:sz w:val="18"/>
                <w:szCs w:val="18"/>
              </w:rPr>
            </w:pPr>
            <w:r>
              <w:rPr>
                <w:sz w:val="18"/>
                <w:szCs w:val="18"/>
              </w:rPr>
              <w:t xml:space="preserve">3,6 </w:t>
            </w:r>
          </w:p>
        </w:tc>
      </w:tr>
      <w:tr w:rsidR="00000676" w:rsidRPr="00F37674" w14:paraId="6B0EF5AE" w14:textId="77777777" w:rsidTr="00F7605C">
        <w:trPr>
          <w:trHeight w:val="240"/>
        </w:trPr>
        <w:tc>
          <w:tcPr>
            <w:tcW w:w="1291" w:type="dxa"/>
            <w:tcBorders>
              <w:left w:val="nil"/>
              <w:bottom w:val="single" w:sz="4" w:space="0" w:color="auto"/>
              <w:right w:val="nil"/>
            </w:tcBorders>
            <w:shd w:val="clear" w:color="auto" w:fill="auto"/>
            <w:noWrap/>
            <w:vAlign w:val="bottom"/>
            <w:hideMark/>
          </w:tcPr>
          <w:p w14:paraId="29737759" w14:textId="77777777" w:rsidR="00000676" w:rsidRDefault="00000676" w:rsidP="00000676">
            <w:pPr>
              <w:spacing w:after="0"/>
              <w:rPr>
                <w:sz w:val="18"/>
                <w:szCs w:val="18"/>
              </w:rPr>
            </w:pPr>
            <w:r>
              <w:rPr>
                <w:sz w:val="18"/>
                <w:szCs w:val="18"/>
              </w:rPr>
              <w:t>2014</w:t>
            </w:r>
          </w:p>
        </w:tc>
        <w:tc>
          <w:tcPr>
            <w:tcW w:w="2195" w:type="dxa"/>
            <w:tcBorders>
              <w:left w:val="nil"/>
              <w:bottom w:val="single" w:sz="4" w:space="0" w:color="auto"/>
              <w:right w:val="nil"/>
            </w:tcBorders>
            <w:shd w:val="clear" w:color="auto" w:fill="auto"/>
            <w:noWrap/>
            <w:vAlign w:val="bottom"/>
            <w:hideMark/>
          </w:tcPr>
          <w:p w14:paraId="4DB66819" w14:textId="77777777" w:rsidR="00000676" w:rsidRDefault="00861090" w:rsidP="00000676">
            <w:pPr>
              <w:spacing w:after="0"/>
              <w:jc w:val="right"/>
              <w:rPr>
                <w:sz w:val="18"/>
                <w:szCs w:val="18"/>
              </w:rPr>
            </w:pPr>
            <w:r>
              <w:rPr>
                <w:sz w:val="18"/>
                <w:szCs w:val="18"/>
              </w:rPr>
              <w:t>2,4</w:t>
            </w:r>
          </w:p>
        </w:tc>
        <w:tc>
          <w:tcPr>
            <w:tcW w:w="1038" w:type="dxa"/>
            <w:tcBorders>
              <w:left w:val="nil"/>
              <w:bottom w:val="single" w:sz="4" w:space="0" w:color="auto"/>
              <w:right w:val="nil"/>
            </w:tcBorders>
            <w:shd w:val="clear" w:color="auto" w:fill="auto"/>
            <w:noWrap/>
            <w:vAlign w:val="bottom"/>
            <w:hideMark/>
          </w:tcPr>
          <w:p w14:paraId="69C46DF5" w14:textId="77777777" w:rsidR="00000676" w:rsidRPr="001A26C7" w:rsidRDefault="00000676" w:rsidP="00F7605C">
            <w:pPr>
              <w:spacing w:after="0"/>
              <w:jc w:val="right"/>
              <w:rPr>
                <w:sz w:val="18"/>
                <w:szCs w:val="18"/>
              </w:rPr>
            </w:pPr>
            <w:r>
              <w:rPr>
                <w:sz w:val="18"/>
                <w:szCs w:val="18"/>
              </w:rPr>
              <w:t>3</w:t>
            </w:r>
            <w:r w:rsidR="00F7605C">
              <w:rPr>
                <w:sz w:val="18"/>
                <w:szCs w:val="18"/>
              </w:rPr>
              <w:t>.4</w:t>
            </w:r>
            <w:r>
              <w:rPr>
                <w:sz w:val="18"/>
                <w:szCs w:val="18"/>
              </w:rPr>
              <w:t xml:space="preserve"> </w:t>
            </w:r>
          </w:p>
        </w:tc>
        <w:tc>
          <w:tcPr>
            <w:tcW w:w="1020" w:type="dxa"/>
            <w:tcBorders>
              <w:left w:val="nil"/>
              <w:bottom w:val="single" w:sz="4" w:space="0" w:color="auto"/>
              <w:right w:val="nil"/>
            </w:tcBorders>
            <w:shd w:val="clear" w:color="auto" w:fill="auto"/>
            <w:noWrap/>
            <w:vAlign w:val="bottom"/>
            <w:hideMark/>
          </w:tcPr>
          <w:p w14:paraId="2FBB38E8" w14:textId="77777777" w:rsidR="00000676" w:rsidRDefault="00000676" w:rsidP="00000676">
            <w:pPr>
              <w:spacing w:after="0"/>
              <w:jc w:val="right"/>
              <w:rPr>
                <w:sz w:val="18"/>
                <w:szCs w:val="18"/>
              </w:rPr>
            </w:pPr>
            <w:r>
              <w:rPr>
                <w:sz w:val="18"/>
                <w:szCs w:val="18"/>
              </w:rPr>
              <w:t>3</w:t>
            </w:r>
            <w:r w:rsidR="00F7605C">
              <w:rPr>
                <w:sz w:val="18"/>
                <w:szCs w:val="18"/>
              </w:rPr>
              <w:t>,2</w:t>
            </w:r>
          </w:p>
        </w:tc>
        <w:tc>
          <w:tcPr>
            <w:tcW w:w="1250" w:type="dxa"/>
            <w:tcBorders>
              <w:left w:val="nil"/>
              <w:bottom w:val="single" w:sz="4" w:space="0" w:color="auto"/>
              <w:right w:val="nil"/>
            </w:tcBorders>
            <w:shd w:val="clear" w:color="auto" w:fill="auto"/>
            <w:noWrap/>
            <w:vAlign w:val="bottom"/>
            <w:hideMark/>
          </w:tcPr>
          <w:p w14:paraId="3C82DB26" w14:textId="77777777" w:rsidR="00000676" w:rsidRDefault="00000676" w:rsidP="00F7605C">
            <w:pPr>
              <w:spacing w:after="0"/>
              <w:jc w:val="right"/>
              <w:rPr>
                <w:sz w:val="18"/>
                <w:szCs w:val="18"/>
              </w:rPr>
            </w:pPr>
            <w:r>
              <w:rPr>
                <w:sz w:val="18"/>
                <w:szCs w:val="18"/>
              </w:rPr>
              <w:t>2</w:t>
            </w:r>
            <w:r w:rsidR="00F7605C">
              <w:rPr>
                <w:sz w:val="18"/>
                <w:szCs w:val="18"/>
              </w:rPr>
              <w:t>,3</w:t>
            </w:r>
          </w:p>
        </w:tc>
        <w:tc>
          <w:tcPr>
            <w:tcW w:w="1580" w:type="dxa"/>
            <w:tcBorders>
              <w:left w:val="nil"/>
              <w:bottom w:val="single" w:sz="4" w:space="0" w:color="auto"/>
              <w:right w:val="nil"/>
            </w:tcBorders>
          </w:tcPr>
          <w:p w14:paraId="031E037F" w14:textId="77777777" w:rsidR="00000676" w:rsidRDefault="00000676" w:rsidP="00F7605C">
            <w:pPr>
              <w:pStyle w:val="Tabelltekst"/>
              <w:jc w:val="right"/>
              <w:rPr>
                <w:rFonts w:ascii="Times" w:eastAsia="Batang" w:hAnsi="Times"/>
                <w:sz w:val="20"/>
              </w:rPr>
            </w:pPr>
            <w:r>
              <w:rPr>
                <w:sz w:val="18"/>
                <w:szCs w:val="18"/>
              </w:rPr>
              <w:t>3</w:t>
            </w:r>
            <w:r w:rsidR="00F7605C">
              <w:rPr>
                <w:sz w:val="18"/>
                <w:szCs w:val="18"/>
              </w:rPr>
              <w:t>,7</w:t>
            </w:r>
          </w:p>
        </w:tc>
        <w:tc>
          <w:tcPr>
            <w:tcW w:w="160" w:type="dxa"/>
            <w:tcBorders>
              <w:left w:val="nil"/>
              <w:bottom w:val="single" w:sz="4" w:space="0" w:color="auto"/>
              <w:right w:val="nil"/>
            </w:tcBorders>
          </w:tcPr>
          <w:p w14:paraId="3178C593" w14:textId="77777777" w:rsidR="00000676" w:rsidRDefault="00000676" w:rsidP="00000676">
            <w:pPr>
              <w:spacing w:after="0"/>
              <w:jc w:val="right"/>
              <w:rPr>
                <w:sz w:val="18"/>
                <w:szCs w:val="18"/>
              </w:rPr>
            </w:pPr>
          </w:p>
        </w:tc>
        <w:tc>
          <w:tcPr>
            <w:tcW w:w="1430" w:type="dxa"/>
            <w:tcBorders>
              <w:left w:val="nil"/>
              <w:bottom w:val="single" w:sz="4" w:space="0" w:color="auto"/>
              <w:right w:val="nil"/>
            </w:tcBorders>
            <w:shd w:val="clear" w:color="auto" w:fill="auto"/>
            <w:noWrap/>
            <w:vAlign w:val="bottom"/>
            <w:hideMark/>
          </w:tcPr>
          <w:p w14:paraId="01407937" w14:textId="77777777" w:rsidR="00000676" w:rsidRDefault="00000676" w:rsidP="00000676">
            <w:pPr>
              <w:spacing w:after="0"/>
              <w:jc w:val="right"/>
              <w:rPr>
                <w:sz w:val="18"/>
                <w:szCs w:val="18"/>
              </w:rPr>
            </w:pPr>
            <w:r>
              <w:rPr>
                <w:sz w:val="18"/>
                <w:szCs w:val="18"/>
              </w:rPr>
              <w:t>3,4</w:t>
            </w:r>
          </w:p>
        </w:tc>
        <w:tc>
          <w:tcPr>
            <w:tcW w:w="1118" w:type="dxa"/>
            <w:tcBorders>
              <w:left w:val="nil"/>
              <w:bottom w:val="nil"/>
              <w:right w:val="nil"/>
            </w:tcBorders>
            <w:vAlign w:val="bottom"/>
          </w:tcPr>
          <w:p w14:paraId="2176F12C" w14:textId="77777777" w:rsidR="00000676" w:rsidRDefault="00000676" w:rsidP="00F7605C">
            <w:pPr>
              <w:spacing w:after="0"/>
              <w:jc w:val="right"/>
              <w:rPr>
                <w:sz w:val="18"/>
                <w:szCs w:val="18"/>
              </w:rPr>
            </w:pPr>
            <w:r>
              <w:rPr>
                <w:sz w:val="18"/>
                <w:szCs w:val="18"/>
              </w:rPr>
              <w:t>3</w:t>
            </w:r>
            <w:r w:rsidR="00F7605C">
              <w:rPr>
                <w:sz w:val="18"/>
                <w:szCs w:val="18"/>
              </w:rPr>
              <w:t>,3</w:t>
            </w:r>
          </w:p>
        </w:tc>
      </w:tr>
      <w:tr w:rsidR="0042150A" w:rsidRPr="00F37674" w14:paraId="45418BC8" w14:textId="77777777" w:rsidTr="001471F1">
        <w:trPr>
          <w:trHeight w:hRule="exact" w:val="238"/>
        </w:trPr>
        <w:tc>
          <w:tcPr>
            <w:tcW w:w="1291" w:type="dxa"/>
            <w:tcBorders>
              <w:top w:val="nil"/>
              <w:left w:val="nil"/>
              <w:bottom w:val="nil"/>
              <w:right w:val="nil"/>
            </w:tcBorders>
            <w:shd w:val="clear" w:color="auto" w:fill="auto"/>
            <w:noWrap/>
            <w:vAlign w:val="bottom"/>
            <w:hideMark/>
          </w:tcPr>
          <w:p w14:paraId="37F4119B" w14:textId="77777777" w:rsidR="0042150A" w:rsidRPr="00F37674" w:rsidRDefault="0042150A" w:rsidP="00F7605C">
            <w:pPr>
              <w:spacing w:after="0"/>
              <w:rPr>
                <w:sz w:val="18"/>
                <w:szCs w:val="18"/>
              </w:rPr>
            </w:pPr>
            <w:r>
              <w:rPr>
                <w:sz w:val="18"/>
                <w:szCs w:val="18"/>
              </w:rPr>
              <w:t>2004</w:t>
            </w:r>
            <w:r w:rsidRPr="00F37674">
              <w:rPr>
                <w:sz w:val="18"/>
                <w:szCs w:val="18"/>
              </w:rPr>
              <w:t>-</w:t>
            </w:r>
            <w:r>
              <w:rPr>
                <w:sz w:val="18"/>
                <w:szCs w:val="18"/>
              </w:rPr>
              <w:t>14</w:t>
            </w:r>
          </w:p>
        </w:tc>
        <w:tc>
          <w:tcPr>
            <w:tcW w:w="2195" w:type="dxa"/>
            <w:tcBorders>
              <w:top w:val="nil"/>
              <w:left w:val="nil"/>
              <w:bottom w:val="nil"/>
              <w:right w:val="nil"/>
            </w:tcBorders>
            <w:shd w:val="clear" w:color="auto" w:fill="auto"/>
            <w:noWrap/>
            <w:vAlign w:val="bottom"/>
            <w:hideMark/>
          </w:tcPr>
          <w:p w14:paraId="29542D12" w14:textId="77777777" w:rsidR="0042150A" w:rsidRPr="005371AB"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41,3</w:t>
            </w:r>
          </w:p>
        </w:tc>
        <w:tc>
          <w:tcPr>
            <w:tcW w:w="1038" w:type="dxa"/>
            <w:tcBorders>
              <w:top w:val="nil"/>
              <w:left w:val="nil"/>
              <w:bottom w:val="nil"/>
              <w:right w:val="nil"/>
            </w:tcBorders>
            <w:shd w:val="clear" w:color="auto" w:fill="auto"/>
            <w:noWrap/>
            <w:vAlign w:val="bottom"/>
            <w:hideMark/>
          </w:tcPr>
          <w:p w14:paraId="1D51C323" w14:textId="77777777" w:rsidR="0042150A" w:rsidRPr="005371AB"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53,5</w:t>
            </w:r>
          </w:p>
        </w:tc>
        <w:tc>
          <w:tcPr>
            <w:tcW w:w="1020" w:type="dxa"/>
            <w:tcBorders>
              <w:top w:val="nil"/>
              <w:left w:val="nil"/>
              <w:bottom w:val="nil"/>
              <w:right w:val="nil"/>
            </w:tcBorders>
            <w:shd w:val="clear" w:color="auto" w:fill="auto"/>
            <w:noWrap/>
            <w:vAlign w:val="bottom"/>
            <w:hideMark/>
          </w:tcPr>
          <w:p w14:paraId="64B7E703" w14:textId="77777777" w:rsidR="0042150A" w:rsidRPr="005371AB"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51,4</w:t>
            </w:r>
          </w:p>
        </w:tc>
        <w:tc>
          <w:tcPr>
            <w:tcW w:w="1250" w:type="dxa"/>
            <w:tcBorders>
              <w:top w:val="nil"/>
              <w:left w:val="nil"/>
              <w:bottom w:val="nil"/>
              <w:right w:val="nil"/>
            </w:tcBorders>
            <w:shd w:val="clear" w:color="auto" w:fill="auto"/>
            <w:noWrap/>
            <w:vAlign w:val="bottom"/>
            <w:hideMark/>
          </w:tcPr>
          <w:p w14:paraId="7E263AFF" w14:textId="77777777" w:rsidR="0042150A" w:rsidRPr="005371AB"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43,3</w:t>
            </w:r>
          </w:p>
        </w:tc>
        <w:tc>
          <w:tcPr>
            <w:tcW w:w="1580" w:type="dxa"/>
            <w:tcBorders>
              <w:top w:val="single" w:sz="4" w:space="0" w:color="auto"/>
              <w:left w:val="nil"/>
              <w:bottom w:val="nil"/>
              <w:right w:val="nil"/>
            </w:tcBorders>
            <w:vAlign w:val="bottom"/>
          </w:tcPr>
          <w:p w14:paraId="1BB251D5" w14:textId="77777777" w:rsidR="0042150A" w:rsidRPr="005371AB"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55,1</w:t>
            </w:r>
          </w:p>
        </w:tc>
        <w:tc>
          <w:tcPr>
            <w:tcW w:w="160" w:type="dxa"/>
            <w:tcBorders>
              <w:top w:val="single" w:sz="4" w:space="0" w:color="auto"/>
              <w:left w:val="nil"/>
              <w:bottom w:val="nil"/>
              <w:right w:val="nil"/>
            </w:tcBorders>
          </w:tcPr>
          <w:p w14:paraId="22FA2256" w14:textId="77777777" w:rsidR="0042150A" w:rsidRPr="002C4B93" w:rsidRDefault="0042150A" w:rsidP="00000676">
            <w:pPr>
              <w:spacing w:after="0"/>
              <w:jc w:val="right"/>
              <w:rPr>
                <w:sz w:val="18"/>
                <w:szCs w:val="18"/>
              </w:rPr>
            </w:pPr>
          </w:p>
        </w:tc>
        <w:tc>
          <w:tcPr>
            <w:tcW w:w="1430" w:type="dxa"/>
            <w:tcBorders>
              <w:top w:val="single" w:sz="4" w:space="0" w:color="auto"/>
              <w:left w:val="nil"/>
              <w:bottom w:val="nil"/>
              <w:right w:val="nil"/>
            </w:tcBorders>
            <w:shd w:val="clear" w:color="auto" w:fill="auto"/>
            <w:noWrap/>
            <w:vAlign w:val="bottom"/>
            <w:hideMark/>
          </w:tcPr>
          <w:p w14:paraId="7103FB6E" w14:textId="77777777" w:rsidR="0042150A" w:rsidRPr="006D7B5F"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50,7</w:t>
            </w:r>
          </w:p>
        </w:tc>
        <w:tc>
          <w:tcPr>
            <w:tcW w:w="1118" w:type="dxa"/>
            <w:tcBorders>
              <w:top w:val="single" w:sz="4" w:space="0" w:color="auto"/>
              <w:left w:val="nil"/>
              <w:bottom w:val="nil"/>
              <w:right w:val="nil"/>
            </w:tcBorders>
            <w:vAlign w:val="bottom"/>
          </w:tcPr>
          <w:p w14:paraId="40D1A206" w14:textId="77777777" w:rsidR="0042150A" w:rsidRPr="006D7B5F"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51,7</w:t>
            </w:r>
          </w:p>
        </w:tc>
      </w:tr>
      <w:tr w:rsidR="0042150A" w:rsidRPr="002456A0" w14:paraId="42A9D3A5" w14:textId="77777777" w:rsidTr="001471F1">
        <w:trPr>
          <w:trHeight w:hRule="exact" w:val="238"/>
        </w:trPr>
        <w:tc>
          <w:tcPr>
            <w:tcW w:w="1291" w:type="dxa"/>
            <w:tcBorders>
              <w:top w:val="nil"/>
              <w:left w:val="nil"/>
              <w:bottom w:val="nil"/>
              <w:right w:val="nil"/>
            </w:tcBorders>
            <w:shd w:val="clear" w:color="auto" w:fill="auto"/>
            <w:noWrap/>
            <w:vAlign w:val="bottom"/>
            <w:hideMark/>
          </w:tcPr>
          <w:p w14:paraId="7E9C5C0F" w14:textId="77777777" w:rsidR="0042150A" w:rsidRPr="002456A0" w:rsidRDefault="0042150A" w:rsidP="00000676">
            <w:pPr>
              <w:spacing w:after="0"/>
              <w:rPr>
                <w:sz w:val="18"/>
                <w:szCs w:val="18"/>
              </w:rPr>
            </w:pPr>
            <w:r w:rsidRPr="002456A0">
              <w:rPr>
                <w:sz w:val="18"/>
                <w:szCs w:val="18"/>
              </w:rPr>
              <w:t>Gj. sn</w:t>
            </w:r>
            <w:r>
              <w:rPr>
                <w:sz w:val="18"/>
                <w:szCs w:val="18"/>
              </w:rPr>
              <w:t>.</w:t>
            </w:r>
            <w:r w:rsidRPr="002456A0">
              <w:rPr>
                <w:sz w:val="18"/>
                <w:szCs w:val="18"/>
              </w:rPr>
              <w:t xml:space="preserve"> per år</w:t>
            </w:r>
          </w:p>
        </w:tc>
        <w:tc>
          <w:tcPr>
            <w:tcW w:w="2195" w:type="dxa"/>
            <w:tcBorders>
              <w:top w:val="nil"/>
              <w:left w:val="nil"/>
              <w:bottom w:val="nil"/>
              <w:right w:val="nil"/>
            </w:tcBorders>
            <w:shd w:val="clear" w:color="auto" w:fill="auto"/>
            <w:noWrap/>
            <w:vAlign w:val="bottom"/>
            <w:hideMark/>
          </w:tcPr>
          <w:p w14:paraId="4F849493" w14:textId="77777777" w:rsidR="0042150A" w:rsidRPr="005371AB"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3,5</w:t>
            </w:r>
          </w:p>
        </w:tc>
        <w:tc>
          <w:tcPr>
            <w:tcW w:w="1038" w:type="dxa"/>
            <w:tcBorders>
              <w:top w:val="nil"/>
              <w:left w:val="nil"/>
              <w:bottom w:val="nil"/>
              <w:right w:val="nil"/>
            </w:tcBorders>
            <w:shd w:val="clear" w:color="auto" w:fill="auto"/>
            <w:noWrap/>
            <w:vAlign w:val="bottom"/>
            <w:hideMark/>
          </w:tcPr>
          <w:p w14:paraId="2C449F40" w14:textId="77777777" w:rsidR="0042150A" w:rsidRPr="005371AB"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4,4</w:t>
            </w:r>
          </w:p>
        </w:tc>
        <w:tc>
          <w:tcPr>
            <w:tcW w:w="1020" w:type="dxa"/>
            <w:tcBorders>
              <w:top w:val="nil"/>
              <w:left w:val="nil"/>
              <w:bottom w:val="nil"/>
              <w:right w:val="nil"/>
            </w:tcBorders>
            <w:shd w:val="clear" w:color="auto" w:fill="auto"/>
            <w:noWrap/>
            <w:vAlign w:val="bottom"/>
            <w:hideMark/>
          </w:tcPr>
          <w:p w14:paraId="5F9E178A" w14:textId="77777777" w:rsidR="0042150A" w:rsidRPr="005371AB"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4,2</w:t>
            </w:r>
          </w:p>
        </w:tc>
        <w:tc>
          <w:tcPr>
            <w:tcW w:w="1250" w:type="dxa"/>
            <w:tcBorders>
              <w:top w:val="nil"/>
              <w:left w:val="nil"/>
              <w:bottom w:val="nil"/>
              <w:right w:val="nil"/>
            </w:tcBorders>
            <w:shd w:val="clear" w:color="auto" w:fill="auto"/>
            <w:noWrap/>
            <w:vAlign w:val="bottom"/>
            <w:hideMark/>
          </w:tcPr>
          <w:p w14:paraId="4EF9F94D" w14:textId="77777777" w:rsidR="0042150A" w:rsidRPr="005371AB"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3,7</w:t>
            </w:r>
          </w:p>
        </w:tc>
        <w:tc>
          <w:tcPr>
            <w:tcW w:w="1580" w:type="dxa"/>
            <w:tcBorders>
              <w:top w:val="nil"/>
              <w:left w:val="nil"/>
              <w:right w:val="nil"/>
            </w:tcBorders>
            <w:vAlign w:val="bottom"/>
          </w:tcPr>
          <w:p w14:paraId="66DDD596" w14:textId="77777777" w:rsidR="0042150A" w:rsidRPr="005371AB"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4,5</w:t>
            </w:r>
          </w:p>
        </w:tc>
        <w:tc>
          <w:tcPr>
            <w:tcW w:w="160" w:type="dxa"/>
            <w:tcBorders>
              <w:top w:val="nil"/>
              <w:left w:val="nil"/>
              <w:right w:val="nil"/>
            </w:tcBorders>
          </w:tcPr>
          <w:p w14:paraId="6757DACB" w14:textId="77777777" w:rsidR="0042150A" w:rsidRPr="002C4B93" w:rsidRDefault="0042150A" w:rsidP="00000676">
            <w:pPr>
              <w:spacing w:after="0"/>
              <w:jc w:val="right"/>
              <w:rPr>
                <w:sz w:val="18"/>
                <w:szCs w:val="18"/>
              </w:rPr>
            </w:pPr>
          </w:p>
        </w:tc>
        <w:tc>
          <w:tcPr>
            <w:tcW w:w="1430" w:type="dxa"/>
            <w:tcBorders>
              <w:top w:val="nil"/>
              <w:left w:val="nil"/>
              <w:right w:val="nil"/>
            </w:tcBorders>
            <w:shd w:val="clear" w:color="auto" w:fill="auto"/>
            <w:noWrap/>
            <w:vAlign w:val="bottom"/>
            <w:hideMark/>
          </w:tcPr>
          <w:p w14:paraId="30718EE4" w14:textId="77777777" w:rsidR="0042150A" w:rsidRPr="006D7B5F"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4,2</w:t>
            </w:r>
          </w:p>
        </w:tc>
        <w:tc>
          <w:tcPr>
            <w:tcW w:w="1118" w:type="dxa"/>
            <w:tcBorders>
              <w:top w:val="nil"/>
              <w:left w:val="nil"/>
              <w:right w:val="nil"/>
            </w:tcBorders>
            <w:vAlign w:val="bottom"/>
          </w:tcPr>
          <w:p w14:paraId="0F837EF2" w14:textId="77777777" w:rsidR="0042150A" w:rsidRPr="006D7B5F" w:rsidRDefault="0042150A" w:rsidP="00000676">
            <w:pPr>
              <w:autoSpaceDE w:val="0"/>
              <w:autoSpaceDN w:val="0"/>
              <w:adjustRightInd w:val="0"/>
              <w:spacing w:after="0"/>
              <w:jc w:val="right"/>
              <w:rPr>
                <w:rFonts w:ascii="Times New Roman" w:eastAsia="Times New Roman" w:hAnsi="Times New Roman"/>
                <w:color w:val="000000"/>
                <w:sz w:val="18"/>
                <w:szCs w:val="18"/>
              </w:rPr>
            </w:pPr>
            <w:r>
              <w:rPr>
                <w:sz w:val="18"/>
                <w:szCs w:val="18"/>
              </w:rPr>
              <w:t>4,3</w:t>
            </w:r>
          </w:p>
        </w:tc>
      </w:tr>
      <w:tr w:rsidR="00000676" w:rsidRPr="002456A0" w14:paraId="2B437170" w14:textId="77777777" w:rsidTr="00F7605C">
        <w:trPr>
          <w:trHeight w:val="255"/>
        </w:trPr>
        <w:tc>
          <w:tcPr>
            <w:tcW w:w="1291" w:type="dxa"/>
            <w:tcBorders>
              <w:top w:val="nil"/>
              <w:left w:val="nil"/>
              <w:bottom w:val="single" w:sz="4" w:space="0" w:color="auto"/>
              <w:right w:val="nil"/>
            </w:tcBorders>
            <w:shd w:val="clear" w:color="auto" w:fill="auto"/>
            <w:noWrap/>
            <w:vAlign w:val="center"/>
            <w:hideMark/>
          </w:tcPr>
          <w:p w14:paraId="08293098" w14:textId="77777777" w:rsidR="00000676" w:rsidRPr="002456A0" w:rsidRDefault="00000676" w:rsidP="00F7605C">
            <w:pPr>
              <w:spacing w:after="0"/>
              <w:rPr>
                <w:sz w:val="18"/>
                <w:szCs w:val="18"/>
              </w:rPr>
            </w:pPr>
            <w:r w:rsidRPr="002456A0">
              <w:rPr>
                <w:sz w:val="18"/>
                <w:szCs w:val="18"/>
              </w:rPr>
              <w:t xml:space="preserve">Årslønn </w:t>
            </w:r>
            <w:r w:rsidR="00F7605C" w:rsidRPr="002456A0">
              <w:rPr>
                <w:sz w:val="18"/>
                <w:szCs w:val="18"/>
              </w:rPr>
              <w:t>20</w:t>
            </w:r>
            <w:r w:rsidR="00F7605C">
              <w:rPr>
                <w:sz w:val="18"/>
                <w:szCs w:val="18"/>
              </w:rPr>
              <w:t>14</w:t>
            </w:r>
          </w:p>
        </w:tc>
        <w:tc>
          <w:tcPr>
            <w:tcW w:w="2195" w:type="dxa"/>
            <w:tcBorders>
              <w:top w:val="nil"/>
              <w:left w:val="nil"/>
              <w:bottom w:val="single" w:sz="4" w:space="0" w:color="auto"/>
              <w:right w:val="nil"/>
            </w:tcBorders>
            <w:shd w:val="clear" w:color="auto" w:fill="auto"/>
            <w:noWrap/>
            <w:hideMark/>
          </w:tcPr>
          <w:p w14:paraId="2F39EDEB" w14:textId="77777777" w:rsidR="00000676" w:rsidRPr="005371AB" w:rsidRDefault="00861090" w:rsidP="00000676">
            <w:pPr>
              <w:autoSpaceDE w:val="0"/>
              <w:autoSpaceDN w:val="0"/>
              <w:adjustRightInd w:val="0"/>
              <w:spacing w:after="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419 300</w:t>
            </w:r>
          </w:p>
        </w:tc>
        <w:tc>
          <w:tcPr>
            <w:tcW w:w="1038" w:type="dxa"/>
            <w:tcBorders>
              <w:top w:val="nil"/>
              <w:left w:val="nil"/>
              <w:bottom w:val="single" w:sz="4" w:space="0" w:color="auto"/>
              <w:right w:val="nil"/>
            </w:tcBorders>
            <w:shd w:val="clear" w:color="auto" w:fill="auto"/>
            <w:noWrap/>
            <w:hideMark/>
          </w:tcPr>
          <w:p w14:paraId="5C691AC6" w14:textId="77777777" w:rsidR="00000676" w:rsidRPr="005371AB" w:rsidRDefault="00F7605C" w:rsidP="00000676">
            <w:pPr>
              <w:autoSpaceDE w:val="0"/>
              <w:autoSpaceDN w:val="0"/>
              <w:adjustRightInd w:val="0"/>
              <w:spacing w:after="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524 300</w:t>
            </w:r>
            <w:r w:rsidR="00000676" w:rsidRPr="005371AB">
              <w:rPr>
                <w:rFonts w:ascii="Times New Roman" w:eastAsia="Times New Roman" w:hAnsi="Times New Roman"/>
                <w:color w:val="000000"/>
                <w:sz w:val="18"/>
                <w:szCs w:val="18"/>
              </w:rPr>
              <w:t xml:space="preserve"> </w:t>
            </w:r>
          </w:p>
        </w:tc>
        <w:tc>
          <w:tcPr>
            <w:tcW w:w="1020" w:type="dxa"/>
            <w:tcBorders>
              <w:top w:val="nil"/>
              <w:left w:val="nil"/>
              <w:bottom w:val="single" w:sz="4" w:space="0" w:color="auto"/>
              <w:right w:val="nil"/>
            </w:tcBorders>
            <w:shd w:val="clear" w:color="auto" w:fill="auto"/>
            <w:noWrap/>
            <w:hideMark/>
          </w:tcPr>
          <w:p w14:paraId="473505EE" w14:textId="77777777" w:rsidR="00000676" w:rsidRPr="005371AB" w:rsidRDefault="00F7605C" w:rsidP="00000676">
            <w:pPr>
              <w:autoSpaceDE w:val="0"/>
              <w:autoSpaceDN w:val="0"/>
              <w:adjustRightInd w:val="0"/>
              <w:spacing w:after="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462 000</w:t>
            </w:r>
            <w:r w:rsidR="00000676" w:rsidRPr="005371AB">
              <w:rPr>
                <w:rFonts w:ascii="Times New Roman" w:eastAsia="Times New Roman" w:hAnsi="Times New Roman"/>
                <w:color w:val="000000"/>
                <w:sz w:val="18"/>
                <w:szCs w:val="18"/>
              </w:rPr>
              <w:t xml:space="preserve"> </w:t>
            </w:r>
          </w:p>
        </w:tc>
        <w:tc>
          <w:tcPr>
            <w:tcW w:w="1250" w:type="dxa"/>
            <w:tcBorders>
              <w:top w:val="nil"/>
              <w:left w:val="nil"/>
              <w:bottom w:val="single" w:sz="4" w:space="0" w:color="auto"/>
              <w:right w:val="nil"/>
            </w:tcBorders>
            <w:shd w:val="clear" w:color="auto" w:fill="auto"/>
            <w:noWrap/>
            <w:hideMark/>
          </w:tcPr>
          <w:p w14:paraId="583159CB" w14:textId="77777777" w:rsidR="00000676" w:rsidRPr="005371AB" w:rsidRDefault="00F7605C" w:rsidP="00000676">
            <w:pPr>
              <w:autoSpaceDE w:val="0"/>
              <w:autoSpaceDN w:val="0"/>
              <w:adjustRightInd w:val="0"/>
              <w:spacing w:after="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507 200</w:t>
            </w:r>
            <w:r w:rsidR="00000676" w:rsidRPr="005371AB">
              <w:rPr>
                <w:rFonts w:ascii="Times New Roman" w:eastAsia="Times New Roman" w:hAnsi="Times New Roman"/>
                <w:color w:val="000000"/>
                <w:sz w:val="18"/>
                <w:szCs w:val="18"/>
              </w:rPr>
              <w:t xml:space="preserve"> </w:t>
            </w:r>
          </w:p>
        </w:tc>
        <w:tc>
          <w:tcPr>
            <w:tcW w:w="1580" w:type="dxa"/>
            <w:tcBorders>
              <w:top w:val="nil"/>
              <w:left w:val="nil"/>
              <w:bottom w:val="single" w:sz="4" w:space="0" w:color="auto"/>
              <w:right w:val="nil"/>
            </w:tcBorders>
          </w:tcPr>
          <w:p w14:paraId="784EB4E2" w14:textId="77777777" w:rsidR="00000676" w:rsidRPr="005371AB" w:rsidRDefault="00F7605C" w:rsidP="00000676">
            <w:pPr>
              <w:autoSpaceDE w:val="0"/>
              <w:autoSpaceDN w:val="0"/>
              <w:adjustRightInd w:val="0"/>
              <w:spacing w:after="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447 800</w:t>
            </w:r>
            <w:r w:rsidR="00000676" w:rsidRPr="005371AB">
              <w:rPr>
                <w:rFonts w:ascii="Times New Roman" w:eastAsia="Times New Roman" w:hAnsi="Times New Roman"/>
                <w:color w:val="000000"/>
                <w:sz w:val="18"/>
                <w:szCs w:val="18"/>
              </w:rPr>
              <w:t xml:space="preserve"> </w:t>
            </w:r>
          </w:p>
        </w:tc>
        <w:tc>
          <w:tcPr>
            <w:tcW w:w="160" w:type="dxa"/>
            <w:tcBorders>
              <w:top w:val="nil"/>
              <w:left w:val="nil"/>
              <w:bottom w:val="single" w:sz="4" w:space="0" w:color="auto"/>
              <w:right w:val="nil"/>
            </w:tcBorders>
          </w:tcPr>
          <w:p w14:paraId="7E7E30C4" w14:textId="77777777" w:rsidR="00000676" w:rsidRDefault="00000676" w:rsidP="00000676">
            <w:pPr>
              <w:spacing w:after="0"/>
              <w:jc w:val="right"/>
              <w:rPr>
                <w:sz w:val="20"/>
              </w:rPr>
            </w:pPr>
          </w:p>
        </w:tc>
        <w:tc>
          <w:tcPr>
            <w:tcW w:w="1430" w:type="dxa"/>
            <w:tcBorders>
              <w:top w:val="nil"/>
              <w:left w:val="nil"/>
              <w:bottom w:val="single" w:sz="4" w:space="0" w:color="auto"/>
              <w:right w:val="nil"/>
            </w:tcBorders>
            <w:shd w:val="clear" w:color="auto" w:fill="auto"/>
            <w:noWrap/>
            <w:hideMark/>
          </w:tcPr>
          <w:p w14:paraId="4A21DA58" w14:textId="77777777" w:rsidR="00000676" w:rsidRPr="006D7B5F" w:rsidRDefault="00F7605C" w:rsidP="00000676">
            <w:pPr>
              <w:autoSpaceDE w:val="0"/>
              <w:autoSpaceDN w:val="0"/>
              <w:adjustRightInd w:val="0"/>
              <w:spacing w:after="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523 900</w:t>
            </w:r>
          </w:p>
        </w:tc>
        <w:tc>
          <w:tcPr>
            <w:tcW w:w="1118" w:type="dxa"/>
            <w:tcBorders>
              <w:top w:val="nil"/>
              <w:left w:val="nil"/>
              <w:bottom w:val="single" w:sz="4" w:space="0" w:color="auto"/>
              <w:right w:val="nil"/>
            </w:tcBorders>
          </w:tcPr>
          <w:p w14:paraId="0FC247A6" w14:textId="77777777" w:rsidR="00000676" w:rsidRPr="006D7B5F" w:rsidRDefault="00F7605C" w:rsidP="00000676">
            <w:pPr>
              <w:autoSpaceDE w:val="0"/>
              <w:autoSpaceDN w:val="0"/>
              <w:adjustRightInd w:val="0"/>
              <w:spacing w:after="0"/>
              <w:jc w:val="right"/>
              <w:rPr>
                <w:rFonts w:ascii="Times New Roman" w:eastAsia="Times New Roman" w:hAnsi="Times New Roman"/>
                <w:color w:val="000000"/>
                <w:sz w:val="18"/>
                <w:szCs w:val="18"/>
              </w:rPr>
            </w:pPr>
            <w:r>
              <w:rPr>
                <w:rFonts w:ascii="Times New Roman" w:eastAsia="Times New Roman" w:hAnsi="Times New Roman"/>
                <w:color w:val="000000"/>
                <w:sz w:val="18"/>
                <w:szCs w:val="18"/>
              </w:rPr>
              <w:t>492 100</w:t>
            </w:r>
          </w:p>
        </w:tc>
      </w:tr>
    </w:tbl>
    <w:bookmarkEnd w:id="278"/>
    <w:p w14:paraId="5563B020" w14:textId="77777777" w:rsidR="00000676" w:rsidRPr="00ED4265" w:rsidRDefault="00000676" w:rsidP="006E305B">
      <w:pPr>
        <w:pStyle w:val="tabell-noter"/>
        <w:numPr>
          <w:ilvl w:val="0"/>
          <w:numId w:val="38"/>
        </w:numPr>
        <w:spacing w:after="0"/>
        <w:rPr>
          <w:sz w:val="18"/>
          <w:szCs w:val="18"/>
        </w:rPr>
      </w:pPr>
      <w:r w:rsidRPr="00ED4265">
        <w:rPr>
          <w:sz w:val="18"/>
          <w:szCs w:val="18"/>
        </w:rPr>
        <w:t xml:space="preserve">Veksttallene er per årsverk for arbeidere og funksjonærer i NHO-bedrifter, staten, kommunene og Spekter-bedrifter. For de andre er </w:t>
      </w:r>
      <w:r>
        <w:rPr>
          <w:sz w:val="18"/>
          <w:szCs w:val="18"/>
        </w:rPr>
        <w:t>veksttallene</w:t>
      </w:r>
      <w:r w:rsidRPr="00ED4265">
        <w:rPr>
          <w:sz w:val="18"/>
          <w:szCs w:val="18"/>
        </w:rPr>
        <w:t xml:space="preserve"> for heltidsansatte med unntak av varehandel og forretningsmessig tjenesteyting fra og med 2010.</w:t>
      </w:r>
    </w:p>
    <w:p w14:paraId="6C689EAE" w14:textId="77777777" w:rsidR="00000676" w:rsidRPr="00ED4265" w:rsidRDefault="00000676" w:rsidP="006E305B">
      <w:pPr>
        <w:pStyle w:val="tabell-noter"/>
        <w:numPr>
          <w:ilvl w:val="0"/>
          <w:numId w:val="38"/>
        </w:numPr>
        <w:spacing w:after="0"/>
        <w:ind w:left="993" w:hanging="284"/>
        <w:rPr>
          <w:sz w:val="18"/>
          <w:szCs w:val="18"/>
        </w:rPr>
      </w:pPr>
      <w:r w:rsidRPr="00ED4265">
        <w:rPr>
          <w:sz w:val="18"/>
          <w:szCs w:val="18"/>
        </w:rPr>
        <w:t>Gjelder for arbeidere med gjennomsnittlig avtalefestet normalarbeidstid, for dagarbeidere betyr dette 37,5 t/uke.</w:t>
      </w:r>
    </w:p>
    <w:p w14:paraId="049C5800" w14:textId="77777777" w:rsidR="00000676" w:rsidRPr="00ED4265" w:rsidRDefault="00000676" w:rsidP="006E305B">
      <w:pPr>
        <w:pStyle w:val="tabell-noter"/>
        <w:numPr>
          <w:ilvl w:val="0"/>
          <w:numId w:val="38"/>
        </w:numPr>
        <w:spacing w:after="0"/>
        <w:ind w:left="993" w:hanging="284"/>
        <w:rPr>
          <w:sz w:val="18"/>
          <w:szCs w:val="18"/>
        </w:rPr>
      </w:pPr>
      <w:r w:rsidRPr="00ED4265">
        <w:rPr>
          <w:sz w:val="18"/>
          <w:szCs w:val="18"/>
        </w:rPr>
        <w:t xml:space="preserve">Omfatter månedslønte, prosentlønte og timelønte arbeidstakere. Årslønnsnivået er et gjennomsnitt for fastlønte og prosentlønte.     </w:t>
      </w:r>
    </w:p>
    <w:p w14:paraId="7CE8A2EE" w14:textId="77777777" w:rsidR="00000676" w:rsidRPr="00ED4265" w:rsidRDefault="00000676" w:rsidP="006E305B">
      <w:pPr>
        <w:pStyle w:val="tabell-noter"/>
        <w:numPr>
          <w:ilvl w:val="0"/>
          <w:numId w:val="38"/>
        </w:numPr>
        <w:spacing w:after="0"/>
        <w:ind w:left="993" w:hanging="284"/>
        <w:rPr>
          <w:sz w:val="18"/>
          <w:szCs w:val="18"/>
        </w:rPr>
      </w:pPr>
      <w:r w:rsidRPr="00ED4265">
        <w:rPr>
          <w:sz w:val="18"/>
          <w:szCs w:val="18"/>
        </w:rPr>
        <w:t xml:space="preserve">Forretnings- og sparebanker og forsikringsvirksomhet under ett som omfatter noen flere grupper enn forhandlingsområdet bank og forsikring. </w:t>
      </w:r>
    </w:p>
    <w:p w14:paraId="03BF87BD" w14:textId="77777777" w:rsidR="00000676" w:rsidRPr="00ED4265" w:rsidRDefault="00000676" w:rsidP="006E305B">
      <w:pPr>
        <w:pStyle w:val="tabell-noter"/>
        <w:numPr>
          <w:ilvl w:val="0"/>
          <w:numId w:val="38"/>
        </w:numPr>
        <w:spacing w:after="0"/>
        <w:ind w:left="993" w:hanging="284"/>
        <w:rPr>
          <w:sz w:val="18"/>
          <w:szCs w:val="18"/>
        </w:rPr>
      </w:pPr>
      <w:r w:rsidRPr="00ED4265">
        <w:rPr>
          <w:sz w:val="18"/>
          <w:szCs w:val="18"/>
        </w:rPr>
        <w:t>Ekskl. flygeledere var lønnsveksten 4,4 prosent.</w:t>
      </w:r>
    </w:p>
    <w:p w14:paraId="65C71A20" w14:textId="77777777" w:rsidR="00000676" w:rsidRPr="00ED4265" w:rsidRDefault="00000676" w:rsidP="006E305B">
      <w:pPr>
        <w:pStyle w:val="tabell-noter"/>
        <w:numPr>
          <w:ilvl w:val="0"/>
          <w:numId w:val="38"/>
        </w:numPr>
        <w:spacing w:after="0"/>
        <w:ind w:left="993" w:hanging="284"/>
        <w:rPr>
          <w:sz w:val="18"/>
          <w:szCs w:val="18"/>
        </w:rPr>
      </w:pPr>
      <w:r w:rsidRPr="00ED4265">
        <w:rPr>
          <w:sz w:val="18"/>
          <w:szCs w:val="18"/>
        </w:rPr>
        <w:t>En oppjustering av minstelønnssatsene for høyskolegruppene pr 1.1.2008 bidro med 0,2 prosentpoeng til lønnsveksten i 2008.</w:t>
      </w:r>
    </w:p>
    <w:p w14:paraId="22422DDF" w14:textId="77777777" w:rsidR="00000676" w:rsidRPr="00ED4265" w:rsidRDefault="00000676" w:rsidP="006E305B">
      <w:pPr>
        <w:pStyle w:val="tabell-noter"/>
        <w:numPr>
          <w:ilvl w:val="0"/>
          <w:numId w:val="38"/>
        </w:numPr>
        <w:spacing w:after="0"/>
        <w:ind w:left="993" w:hanging="284"/>
        <w:rPr>
          <w:sz w:val="18"/>
          <w:szCs w:val="18"/>
        </w:rPr>
      </w:pPr>
      <w:r w:rsidRPr="00ED4265">
        <w:rPr>
          <w:sz w:val="18"/>
          <w:szCs w:val="18"/>
        </w:rPr>
        <w:t>Lønnsveksten fra 2008 til 2009 er etter ny næringsstandard. Sammenlignet med veksten fra 2007 til 2008 og tidligere år, vil det være et brudd i tidsserien.</w:t>
      </w:r>
      <w:r>
        <w:rPr>
          <w:sz w:val="18"/>
          <w:szCs w:val="18"/>
        </w:rPr>
        <w:t xml:space="preserve"> </w:t>
      </w:r>
    </w:p>
    <w:p w14:paraId="5FE67B3B" w14:textId="77777777" w:rsidR="00000676" w:rsidRPr="00ED4265" w:rsidRDefault="00000676" w:rsidP="006E305B">
      <w:pPr>
        <w:pStyle w:val="tabell-noter"/>
        <w:numPr>
          <w:ilvl w:val="0"/>
          <w:numId w:val="38"/>
        </w:numPr>
        <w:spacing w:after="0"/>
        <w:ind w:left="993" w:hanging="284"/>
        <w:rPr>
          <w:sz w:val="18"/>
          <w:szCs w:val="18"/>
        </w:rPr>
      </w:pPr>
      <w:r w:rsidRPr="00ED4265">
        <w:rPr>
          <w:sz w:val="18"/>
          <w:szCs w:val="18"/>
        </w:rPr>
        <w:t>Gruppen samsvarer om lag med summen av tidligere elektrokjemisk industri, kjemisk industri og treforedling (se tabell 4.9 i NOU:2009:7) og en del mindre grupper innenfor kjemisk prosessindustri.</w:t>
      </w:r>
    </w:p>
    <w:p w14:paraId="2812819E" w14:textId="77777777" w:rsidR="00000676" w:rsidRPr="00ED4265" w:rsidRDefault="00000676" w:rsidP="006E305B">
      <w:pPr>
        <w:pStyle w:val="tabell-noter"/>
        <w:numPr>
          <w:ilvl w:val="0"/>
          <w:numId w:val="38"/>
        </w:numPr>
        <w:spacing w:after="0"/>
        <w:ind w:left="993" w:hanging="284"/>
        <w:rPr>
          <w:sz w:val="18"/>
          <w:szCs w:val="18"/>
        </w:rPr>
      </w:pPr>
      <w:r w:rsidRPr="00ED4265">
        <w:rPr>
          <w:sz w:val="18"/>
          <w:szCs w:val="18"/>
        </w:rPr>
        <w:t xml:space="preserve">Antall årsverk i industrifunksjonærgruppen </w:t>
      </w:r>
      <w:r>
        <w:rPr>
          <w:sz w:val="18"/>
          <w:szCs w:val="18"/>
        </w:rPr>
        <w:t>ble</w:t>
      </w:r>
      <w:r w:rsidRPr="00ED4265">
        <w:rPr>
          <w:sz w:val="18"/>
          <w:szCs w:val="18"/>
        </w:rPr>
        <w:t xml:space="preserve"> redusert med i overkant av 10 prosent fra 2008 til 2009, i hovedsak fordi forlag nå </w:t>
      </w:r>
      <w:r>
        <w:rPr>
          <w:sz w:val="18"/>
          <w:szCs w:val="18"/>
        </w:rPr>
        <w:t>ble</w:t>
      </w:r>
      <w:r w:rsidRPr="00ED4265">
        <w:rPr>
          <w:sz w:val="18"/>
          <w:szCs w:val="18"/>
        </w:rPr>
        <w:t xml:space="preserve"> klassifisert utenfor industri, mens de fram til 2008 var innenfor industri.</w:t>
      </w:r>
    </w:p>
    <w:p w14:paraId="6903558D" w14:textId="77777777" w:rsidR="00000676" w:rsidRDefault="00000676" w:rsidP="006E305B">
      <w:pPr>
        <w:pStyle w:val="tabell-noter"/>
        <w:numPr>
          <w:ilvl w:val="0"/>
          <w:numId w:val="38"/>
        </w:numPr>
        <w:spacing w:after="0"/>
        <w:ind w:left="993" w:hanging="284"/>
        <w:rPr>
          <w:sz w:val="18"/>
          <w:szCs w:val="18"/>
        </w:rPr>
      </w:pPr>
      <w:r w:rsidRPr="00ED4265">
        <w:rPr>
          <w:sz w:val="18"/>
          <w:szCs w:val="18"/>
        </w:rPr>
        <w:t xml:space="preserve">Som følge av ny næringsgruppering </w:t>
      </w:r>
      <w:r>
        <w:rPr>
          <w:sz w:val="18"/>
          <w:szCs w:val="18"/>
        </w:rPr>
        <w:t>ble</w:t>
      </w:r>
      <w:r w:rsidRPr="00ED4265">
        <w:rPr>
          <w:sz w:val="18"/>
          <w:szCs w:val="18"/>
        </w:rPr>
        <w:t xml:space="preserve"> montasje og reparasjon av heiser flyttet til bygg- og anleggsvirksomhet.</w:t>
      </w:r>
    </w:p>
    <w:p w14:paraId="3FF5E32E" w14:textId="77777777" w:rsidR="00000676" w:rsidRPr="00ED4265" w:rsidRDefault="00000676" w:rsidP="006E305B">
      <w:pPr>
        <w:pStyle w:val="tabell-noter"/>
        <w:numPr>
          <w:ilvl w:val="0"/>
          <w:numId w:val="38"/>
        </w:numPr>
        <w:spacing w:after="0"/>
        <w:ind w:left="993" w:hanging="284"/>
        <w:rPr>
          <w:sz w:val="18"/>
          <w:szCs w:val="18"/>
        </w:rPr>
      </w:pPr>
      <w:r w:rsidRPr="00ED4265">
        <w:rPr>
          <w:rStyle w:val="StilTimes"/>
          <w:sz w:val="18"/>
          <w:szCs w:val="18"/>
        </w:rPr>
        <w:t xml:space="preserve">Beregnet på Spekters tallmateriale til </w:t>
      </w:r>
      <w:r>
        <w:rPr>
          <w:rStyle w:val="StilTimes"/>
          <w:sz w:val="18"/>
          <w:szCs w:val="18"/>
        </w:rPr>
        <w:t xml:space="preserve">og med </w:t>
      </w:r>
      <w:r w:rsidRPr="00ED4265">
        <w:rPr>
          <w:rStyle w:val="StilTimes"/>
          <w:sz w:val="18"/>
          <w:szCs w:val="18"/>
        </w:rPr>
        <w:t>2009</w:t>
      </w:r>
      <w:r w:rsidR="000E71BA">
        <w:rPr>
          <w:rStyle w:val="StilTimes"/>
          <w:sz w:val="18"/>
          <w:szCs w:val="18"/>
        </w:rPr>
        <w:t>. F</w:t>
      </w:r>
      <w:r w:rsidRPr="00ED4265">
        <w:rPr>
          <w:rStyle w:val="StilTimes"/>
          <w:sz w:val="18"/>
          <w:szCs w:val="18"/>
        </w:rPr>
        <w:t>ra 2010</w:t>
      </w:r>
      <w:r>
        <w:rPr>
          <w:rStyle w:val="StilTimes"/>
          <w:sz w:val="18"/>
          <w:szCs w:val="18"/>
        </w:rPr>
        <w:t xml:space="preserve"> </w:t>
      </w:r>
      <w:r w:rsidRPr="00ED4265">
        <w:rPr>
          <w:rStyle w:val="StilTimes"/>
          <w:sz w:val="18"/>
          <w:szCs w:val="18"/>
        </w:rPr>
        <w:t xml:space="preserve">beregnet på tallmateriale fra </w:t>
      </w:r>
      <w:r w:rsidR="00573205">
        <w:rPr>
          <w:rStyle w:val="StilTimes"/>
          <w:sz w:val="18"/>
          <w:szCs w:val="18"/>
        </w:rPr>
        <w:t>Statistisk sentralbyrå</w:t>
      </w:r>
      <w:r w:rsidRPr="00ED4265">
        <w:rPr>
          <w:rStyle w:val="StilTimes"/>
          <w:sz w:val="18"/>
          <w:szCs w:val="18"/>
        </w:rPr>
        <w:t>.</w:t>
      </w:r>
      <w:r w:rsidRPr="00ED4265">
        <w:rPr>
          <w:sz w:val="18"/>
          <w:szCs w:val="18"/>
        </w:rPr>
        <w:tab/>
      </w:r>
    </w:p>
    <w:p w14:paraId="57193733" w14:textId="77777777" w:rsidR="00000676" w:rsidRDefault="00000676" w:rsidP="006E305B">
      <w:pPr>
        <w:pStyle w:val="tabell-noter"/>
        <w:numPr>
          <w:ilvl w:val="0"/>
          <w:numId w:val="38"/>
        </w:numPr>
        <w:spacing w:after="0"/>
        <w:ind w:left="993" w:hanging="284"/>
        <w:rPr>
          <w:sz w:val="18"/>
          <w:szCs w:val="18"/>
        </w:rPr>
      </w:pPr>
      <w:r w:rsidRPr="00ED4265">
        <w:rPr>
          <w:sz w:val="18"/>
          <w:szCs w:val="18"/>
        </w:rPr>
        <w:t xml:space="preserve">Årslønnsveksten for det statlige tariffområdet inkluderer virkninger </w:t>
      </w:r>
      <w:r>
        <w:rPr>
          <w:sz w:val="18"/>
          <w:szCs w:val="18"/>
        </w:rPr>
        <w:t xml:space="preserve">av </w:t>
      </w:r>
      <w:r w:rsidRPr="00ED4265">
        <w:rPr>
          <w:sz w:val="18"/>
          <w:szCs w:val="18"/>
        </w:rPr>
        <w:t>ny arbeidstidsavtale for politi- og lensmannsetaten med et bidrag på 0,6 prosentpoeng</w:t>
      </w:r>
      <w:r>
        <w:rPr>
          <w:sz w:val="18"/>
          <w:szCs w:val="18"/>
        </w:rPr>
        <w:t>,</w:t>
      </w:r>
      <w:r w:rsidRPr="00ED4265">
        <w:rPr>
          <w:sz w:val="18"/>
          <w:szCs w:val="18"/>
        </w:rPr>
        <w:t xml:space="preserve"> og 0,3 prosentpoeng som skyldes omlegging av beregningsmetode.</w:t>
      </w:r>
    </w:p>
    <w:p w14:paraId="7D67710C" w14:textId="77777777" w:rsidR="00000676" w:rsidRPr="00147CFE" w:rsidRDefault="00000676" w:rsidP="006E305B">
      <w:pPr>
        <w:pStyle w:val="tabell-noter"/>
        <w:numPr>
          <w:ilvl w:val="0"/>
          <w:numId w:val="38"/>
        </w:numPr>
        <w:spacing w:after="0"/>
        <w:ind w:left="993" w:hanging="284"/>
        <w:rPr>
          <w:sz w:val="18"/>
          <w:szCs w:val="18"/>
        </w:rPr>
      </w:pPr>
      <w:r w:rsidRPr="0055494F">
        <w:rPr>
          <w:sz w:val="18"/>
          <w:szCs w:val="18"/>
        </w:rPr>
        <w:t xml:space="preserve">For ansatte i konflikt i 2014 ble virkningstidspunkter </w:t>
      </w:r>
      <w:r>
        <w:rPr>
          <w:sz w:val="18"/>
          <w:szCs w:val="18"/>
        </w:rPr>
        <w:t>forskjøvet</w:t>
      </w:r>
      <w:r w:rsidRPr="0055494F">
        <w:rPr>
          <w:sz w:val="18"/>
          <w:szCs w:val="18"/>
        </w:rPr>
        <w:t xml:space="preserve">. Dette trakk årslønnsvekstanslaget i 2014 ned med </w:t>
      </w:r>
      <w:r w:rsidR="004C5B45">
        <w:rPr>
          <w:sz w:val="18"/>
          <w:szCs w:val="18"/>
        </w:rPr>
        <w:t>0,2</w:t>
      </w:r>
      <w:r w:rsidRPr="0055494F">
        <w:rPr>
          <w:sz w:val="18"/>
          <w:szCs w:val="18"/>
        </w:rPr>
        <w:t xml:space="preserve"> prosentpoeng i hele kommunesektoren</w:t>
      </w:r>
      <w:r w:rsidR="004C5B45">
        <w:rPr>
          <w:sz w:val="18"/>
          <w:szCs w:val="18"/>
        </w:rPr>
        <w:t xml:space="preserve"> og</w:t>
      </w:r>
      <w:r w:rsidRPr="0055494F">
        <w:rPr>
          <w:sz w:val="18"/>
          <w:szCs w:val="18"/>
        </w:rPr>
        <w:t xml:space="preserve"> med </w:t>
      </w:r>
      <w:r w:rsidR="004C5B45">
        <w:rPr>
          <w:sz w:val="18"/>
          <w:szCs w:val="18"/>
        </w:rPr>
        <w:t>0,9</w:t>
      </w:r>
      <w:r w:rsidRPr="0055494F">
        <w:rPr>
          <w:sz w:val="18"/>
          <w:szCs w:val="18"/>
        </w:rPr>
        <w:t xml:space="preserve"> prosentpoeng for undervisningspersonell.</w:t>
      </w:r>
      <w:r w:rsidRPr="002456A0">
        <w:tab/>
      </w:r>
      <w:r w:rsidRPr="002456A0">
        <w:tab/>
      </w:r>
      <w:r>
        <w:tab/>
      </w:r>
      <w:r>
        <w:tab/>
      </w:r>
      <w:r>
        <w:tab/>
      </w:r>
    </w:p>
    <w:p w14:paraId="0468CB2E" w14:textId="69AC609C" w:rsidR="00A41346" w:rsidRPr="00D12062" w:rsidRDefault="00000676" w:rsidP="00000676">
      <w:r w:rsidRPr="00E00CD6">
        <w:rPr>
          <w:sz w:val="20"/>
        </w:rPr>
        <w:t>Kilder: Statistisk sentralbyrå og Beregningsutvalget</w:t>
      </w:r>
      <w:r w:rsidR="0065791D">
        <w:rPr>
          <w:sz w:val="20"/>
        </w:rPr>
        <w:t>.</w:t>
      </w:r>
    </w:p>
    <w:p w14:paraId="434753E4" w14:textId="77777777" w:rsidR="00510204" w:rsidRDefault="00510204" w:rsidP="009539FD">
      <w:pPr>
        <w:pStyle w:val="vedlegg-nr"/>
        <w:sectPr w:rsidR="00510204" w:rsidSect="00A41346">
          <w:pgSz w:w="16838" w:h="11906" w:orient="landscape"/>
          <w:pgMar w:top="1418" w:right="1418" w:bottom="1418" w:left="1418" w:header="709" w:footer="709" w:gutter="0"/>
          <w:cols w:space="708"/>
          <w:docGrid w:linePitch="360"/>
        </w:sectPr>
      </w:pPr>
    </w:p>
    <w:p w14:paraId="226A23CD" w14:textId="7190ADEB" w:rsidR="00DA3C9E" w:rsidRPr="00872748" w:rsidRDefault="00DA3C9E" w:rsidP="00DA3C9E">
      <w:pPr>
        <w:spacing w:after="0"/>
      </w:pPr>
      <w:r>
        <w:t xml:space="preserve">Tabell </w:t>
      </w:r>
      <w:r w:rsidR="0009043D">
        <w:t>2.2</w:t>
      </w:r>
      <w:r>
        <w:t xml:space="preserve"> </w:t>
      </w:r>
      <w:r w:rsidRPr="00872748">
        <w:t>Kvinners gjennomsnittslønn som andel av menns gjennomsnittslønn etter næring per 1.9/1.10/1.12. Heltids- og deltidsansatte hvor deltid er omgjort til heltidsekvivalenter</w:t>
      </w:r>
    </w:p>
    <w:tbl>
      <w:tblPr>
        <w:tblW w:w="5000" w:type="pct"/>
        <w:tblCellMar>
          <w:left w:w="0" w:type="dxa"/>
          <w:right w:w="0" w:type="dxa"/>
        </w:tblCellMar>
        <w:tblLook w:val="0000" w:firstRow="0" w:lastRow="0" w:firstColumn="0" w:lastColumn="0" w:noHBand="0" w:noVBand="0"/>
      </w:tblPr>
      <w:tblGrid>
        <w:gridCol w:w="1771"/>
        <w:gridCol w:w="534"/>
        <w:gridCol w:w="533"/>
        <w:gridCol w:w="533"/>
        <w:gridCol w:w="533"/>
        <w:gridCol w:w="533"/>
        <w:gridCol w:w="533"/>
        <w:gridCol w:w="533"/>
        <w:gridCol w:w="533"/>
        <w:gridCol w:w="533"/>
        <w:gridCol w:w="405"/>
        <w:gridCol w:w="541"/>
        <w:gridCol w:w="695"/>
        <w:gridCol w:w="860"/>
      </w:tblGrid>
      <w:tr w:rsidR="00DA3C9E" w:rsidRPr="00D95705" w14:paraId="64314E26" w14:textId="77777777" w:rsidTr="00EF6F89">
        <w:trPr>
          <w:trHeight w:val="700"/>
        </w:trPr>
        <w:tc>
          <w:tcPr>
            <w:tcW w:w="976" w:type="pct"/>
            <w:tcBorders>
              <w:top w:val="single" w:sz="4" w:space="0" w:color="auto"/>
              <w:left w:val="nil"/>
              <w:bottom w:val="single" w:sz="4" w:space="0" w:color="auto"/>
            </w:tcBorders>
            <w:tcMar>
              <w:top w:w="15" w:type="dxa"/>
              <w:left w:w="15" w:type="dxa"/>
              <w:bottom w:w="0" w:type="dxa"/>
              <w:right w:w="15" w:type="dxa"/>
            </w:tcMar>
            <w:vAlign w:val="bottom"/>
          </w:tcPr>
          <w:p w14:paraId="5CEC3E5F" w14:textId="77777777" w:rsidR="00DA3C9E" w:rsidRDefault="00DA3C9E" w:rsidP="00B20A65">
            <w:pPr>
              <w:spacing w:after="0"/>
              <w:ind w:left="709" w:right="-709" w:hanging="709"/>
              <w:rPr>
                <w:sz w:val="18"/>
                <w:szCs w:val="18"/>
              </w:rPr>
            </w:pPr>
          </w:p>
        </w:tc>
        <w:tc>
          <w:tcPr>
            <w:tcW w:w="294" w:type="pct"/>
            <w:tcBorders>
              <w:top w:val="single" w:sz="4" w:space="0" w:color="auto"/>
              <w:left w:val="nil"/>
              <w:bottom w:val="single" w:sz="4" w:space="0" w:color="auto"/>
            </w:tcBorders>
            <w:vAlign w:val="bottom"/>
          </w:tcPr>
          <w:p w14:paraId="6E21A69D" w14:textId="77777777" w:rsidR="00DA3C9E" w:rsidRDefault="00DA3C9E" w:rsidP="00B20A65">
            <w:pPr>
              <w:spacing w:after="0"/>
              <w:ind w:left="709" w:right="-709" w:hanging="709"/>
              <w:rPr>
                <w:sz w:val="18"/>
                <w:szCs w:val="18"/>
              </w:rPr>
            </w:pPr>
          </w:p>
        </w:tc>
        <w:tc>
          <w:tcPr>
            <w:tcW w:w="294" w:type="pct"/>
            <w:tcBorders>
              <w:top w:val="single" w:sz="4" w:space="0" w:color="auto"/>
              <w:left w:val="nil"/>
              <w:bottom w:val="single" w:sz="4" w:space="0" w:color="auto"/>
            </w:tcBorders>
            <w:vAlign w:val="bottom"/>
          </w:tcPr>
          <w:p w14:paraId="1C01C8A7" w14:textId="77777777" w:rsidR="00DA3C9E" w:rsidRDefault="00DA3C9E" w:rsidP="00B20A65">
            <w:pPr>
              <w:spacing w:after="0"/>
              <w:ind w:left="709" w:right="-709" w:hanging="709"/>
              <w:rPr>
                <w:sz w:val="18"/>
                <w:szCs w:val="18"/>
              </w:rPr>
            </w:pPr>
          </w:p>
        </w:tc>
        <w:tc>
          <w:tcPr>
            <w:tcW w:w="294" w:type="pct"/>
            <w:tcBorders>
              <w:top w:val="single" w:sz="4" w:space="0" w:color="auto"/>
              <w:left w:val="nil"/>
              <w:bottom w:val="single" w:sz="4" w:space="0" w:color="auto"/>
            </w:tcBorders>
            <w:vAlign w:val="bottom"/>
          </w:tcPr>
          <w:p w14:paraId="0B7B6CA3" w14:textId="77777777" w:rsidR="00DA3C9E" w:rsidRDefault="00DA3C9E" w:rsidP="00B20A65">
            <w:pPr>
              <w:spacing w:after="0"/>
              <w:ind w:left="709" w:right="-709" w:hanging="709"/>
              <w:rPr>
                <w:sz w:val="18"/>
                <w:szCs w:val="18"/>
              </w:rPr>
            </w:pPr>
          </w:p>
        </w:tc>
        <w:tc>
          <w:tcPr>
            <w:tcW w:w="294" w:type="pct"/>
            <w:tcBorders>
              <w:top w:val="single" w:sz="4" w:space="0" w:color="auto"/>
              <w:left w:val="nil"/>
              <w:bottom w:val="single" w:sz="4" w:space="0" w:color="auto"/>
            </w:tcBorders>
            <w:vAlign w:val="bottom"/>
          </w:tcPr>
          <w:p w14:paraId="19036503" w14:textId="77777777" w:rsidR="00DA3C9E" w:rsidRDefault="00DA3C9E" w:rsidP="00B20A65">
            <w:pPr>
              <w:spacing w:after="0"/>
              <w:ind w:left="709" w:right="-709" w:hanging="709"/>
              <w:rPr>
                <w:sz w:val="18"/>
                <w:szCs w:val="18"/>
              </w:rPr>
            </w:pPr>
          </w:p>
        </w:tc>
        <w:tc>
          <w:tcPr>
            <w:tcW w:w="294" w:type="pct"/>
            <w:tcBorders>
              <w:top w:val="single" w:sz="4" w:space="0" w:color="auto"/>
              <w:left w:val="nil"/>
              <w:bottom w:val="single" w:sz="4" w:space="0" w:color="auto"/>
            </w:tcBorders>
            <w:vAlign w:val="bottom"/>
          </w:tcPr>
          <w:p w14:paraId="3246D59E" w14:textId="77777777" w:rsidR="00DA3C9E" w:rsidRDefault="00DA3C9E" w:rsidP="00B20A65">
            <w:pPr>
              <w:spacing w:after="0"/>
              <w:ind w:left="709" w:right="-851" w:hanging="709"/>
              <w:rPr>
                <w:sz w:val="18"/>
                <w:szCs w:val="18"/>
              </w:rPr>
            </w:pPr>
          </w:p>
        </w:tc>
        <w:tc>
          <w:tcPr>
            <w:tcW w:w="294" w:type="pct"/>
            <w:tcBorders>
              <w:top w:val="single" w:sz="4" w:space="0" w:color="auto"/>
              <w:left w:val="nil"/>
              <w:bottom w:val="single" w:sz="4" w:space="0" w:color="auto"/>
            </w:tcBorders>
            <w:vAlign w:val="bottom"/>
          </w:tcPr>
          <w:p w14:paraId="627DEAB5" w14:textId="77777777" w:rsidR="00DA3C9E" w:rsidRDefault="00DA3C9E" w:rsidP="00B20A65">
            <w:pPr>
              <w:spacing w:after="0"/>
              <w:ind w:left="709" w:right="-709" w:hanging="709"/>
              <w:rPr>
                <w:sz w:val="18"/>
                <w:szCs w:val="18"/>
              </w:rPr>
            </w:pPr>
          </w:p>
        </w:tc>
        <w:tc>
          <w:tcPr>
            <w:tcW w:w="294" w:type="pct"/>
            <w:tcBorders>
              <w:top w:val="single" w:sz="4" w:space="0" w:color="auto"/>
              <w:left w:val="nil"/>
              <w:bottom w:val="single" w:sz="4" w:space="0" w:color="auto"/>
            </w:tcBorders>
            <w:vAlign w:val="bottom"/>
          </w:tcPr>
          <w:p w14:paraId="13A21991" w14:textId="77777777" w:rsidR="00DA3C9E" w:rsidRDefault="00DA3C9E" w:rsidP="00B20A65">
            <w:pPr>
              <w:spacing w:after="0"/>
              <w:ind w:left="709" w:right="-709" w:hanging="709"/>
              <w:rPr>
                <w:sz w:val="18"/>
                <w:szCs w:val="18"/>
              </w:rPr>
            </w:pPr>
          </w:p>
        </w:tc>
        <w:tc>
          <w:tcPr>
            <w:tcW w:w="294" w:type="pct"/>
            <w:tcBorders>
              <w:top w:val="single" w:sz="4" w:space="0" w:color="auto"/>
              <w:left w:val="nil"/>
              <w:bottom w:val="single" w:sz="4" w:space="0" w:color="auto"/>
            </w:tcBorders>
            <w:vAlign w:val="bottom"/>
          </w:tcPr>
          <w:p w14:paraId="4CBB9429" w14:textId="77777777" w:rsidR="00DA3C9E" w:rsidRDefault="00DA3C9E" w:rsidP="00B20A65">
            <w:pPr>
              <w:spacing w:after="0"/>
              <w:ind w:left="709" w:right="-709" w:hanging="709"/>
              <w:rPr>
                <w:sz w:val="18"/>
                <w:szCs w:val="18"/>
              </w:rPr>
            </w:pPr>
          </w:p>
        </w:tc>
        <w:tc>
          <w:tcPr>
            <w:tcW w:w="294" w:type="pct"/>
            <w:tcBorders>
              <w:top w:val="single" w:sz="4" w:space="0" w:color="auto"/>
              <w:left w:val="nil"/>
              <w:bottom w:val="single" w:sz="4" w:space="0" w:color="auto"/>
            </w:tcBorders>
            <w:vAlign w:val="bottom"/>
          </w:tcPr>
          <w:p w14:paraId="532FC37B" w14:textId="77777777" w:rsidR="00DA3C9E" w:rsidRDefault="00DA3C9E" w:rsidP="00B20A65">
            <w:pPr>
              <w:spacing w:after="0"/>
              <w:ind w:left="709" w:right="-709" w:hanging="709"/>
              <w:rPr>
                <w:sz w:val="18"/>
                <w:szCs w:val="18"/>
              </w:rPr>
            </w:pPr>
          </w:p>
        </w:tc>
        <w:tc>
          <w:tcPr>
            <w:tcW w:w="223" w:type="pct"/>
            <w:tcBorders>
              <w:top w:val="single" w:sz="4" w:space="0" w:color="auto"/>
              <w:left w:val="nil"/>
              <w:bottom w:val="single" w:sz="4" w:space="0" w:color="auto"/>
            </w:tcBorders>
            <w:vAlign w:val="bottom"/>
          </w:tcPr>
          <w:p w14:paraId="6A6B36AC" w14:textId="77777777" w:rsidR="00DA3C9E" w:rsidRDefault="00DA3C9E" w:rsidP="00B20A65">
            <w:pPr>
              <w:spacing w:after="0"/>
              <w:ind w:left="709" w:right="-709" w:hanging="709"/>
              <w:rPr>
                <w:sz w:val="18"/>
                <w:szCs w:val="18"/>
              </w:rPr>
            </w:pPr>
          </w:p>
        </w:tc>
        <w:tc>
          <w:tcPr>
            <w:tcW w:w="298" w:type="pct"/>
            <w:tcBorders>
              <w:top w:val="single" w:sz="4" w:space="0" w:color="auto"/>
              <w:left w:val="nil"/>
              <w:bottom w:val="single" w:sz="4" w:space="0" w:color="auto"/>
            </w:tcBorders>
            <w:vAlign w:val="bottom"/>
          </w:tcPr>
          <w:p w14:paraId="2E1D6164" w14:textId="77777777" w:rsidR="00DA3C9E" w:rsidRDefault="00DA3C9E" w:rsidP="00B20A65">
            <w:pPr>
              <w:spacing w:after="0"/>
              <w:ind w:left="709" w:right="-709" w:hanging="709"/>
              <w:jc w:val="center"/>
              <w:rPr>
                <w:sz w:val="18"/>
                <w:szCs w:val="18"/>
              </w:rPr>
            </w:pPr>
          </w:p>
        </w:tc>
        <w:tc>
          <w:tcPr>
            <w:tcW w:w="857" w:type="pct"/>
            <w:gridSpan w:val="2"/>
            <w:tcBorders>
              <w:top w:val="single" w:sz="4" w:space="0" w:color="auto"/>
              <w:bottom w:val="single" w:sz="4" w:space="0" w:color="auto"/>
              <w:right w:val="nil"/>
            </w:tcBorders>
            <w:vAlign w:val="bottom"/>
          </w:tcPr>
          <w:p w14:paraId="382E0B4D" w14:textId="77777777" w:rsidR="00DA3C9E" w:rsidRDefault="00DA3C9E" w:rsidP="00B20A65">
            <w:pPr>
              <w:spacing w:after="0"/>
              <w:ind w:left="709" w:right="-709" w:hanging="709"/>
              <w:rPr>
                <w:sz w:val="18"/>
                <w:szCs w:val="18"/>
              </w:rPr>
            </w:pPr>
            <w:r w:rsidRPr="00D95705">
              <w:rPr>
                <w:sz w:val="18"/>
                <w:szCs w:val="18"/>
              </w:rPr>
              <w:t>Månedslønn*12</w:t>
            </w:r>
          </w:p>
          <w:p w14:paraId="597457DF" w14:textId="77777777" w:rsidR="00DA3C9E" w:rsidRDefault="00DA3C9E" w:rsidP="00B20A65">
            <w:pPr>
              <w:spacing w:after="0"/>
              <w:ind w:right="165"/>
              <w:jc w:val="center"/>
              <w:rPr>
                <w:sz w:val="18"/>
                <w:szCs w:val="18"/>
              </w:rPr>
            </w:pPr>
            <w:r w:rsidRPr="00D95705">
              <w:rPr>
                <w:sz w:val="18"/>
                <w:szCs w:val="18"/>
              </w:rPr>
              <w:t>1.9/1.10/</w:t>
            </w:r>
            <w:r>
              <w:rPr>
                <w:sz w:val="18"/>
                <w:szCs w:val="18"/>
              </w:rPr>
              <w:t>1.12</w:t>
            </w:r>
          </w:p>
          <w:p w14:paraId="5F5BEA1D" w14:textId="77777777" w:rsidR="00DA3C9E" w:rsidRPr="00D95705" w:rsidRDefault="00DA3C9E" w:rsidP="00B20A65">
            <w:pPr>
              <w:spacing w:after="0"/>
              <w:ind w:right="165"/>
              <w:rPr>
                <w:sz w:val="18"/>
                <w:szCs w:val="18"/>
              </w:rPr>
            </w:pPr>
            <w:r>
              <w:rPr>
                <w:sz w:val="18"/>
                <w:szCs w:val="18"/>
              </w:rPr>
              <w:t xml:space="preserve">Menn     </w:t>
            </w:r>
            <w:r w:rsidRPr="00D95705">
              <w:rPr>
                <w:sz w:val="18"/>
                <w:szCs w:val="18"/>
              </w:rPr>
              <w:t>Kvinner</w:t>
            </w:r>
          </w:p>
        </w:tc>
      </w:tr>
      <w:tr w:rsidR="00DA3C9E" w:rsidRPr="00D95705" w14:paraId="3F741635" w14:textId="77777777" w:rsidTr="00EF6F89">
        <w:trPr>
          <w:trHeight w:val="255"/>
        </w:trPr>
        <w:tc>
          <w:tcPr>
            <w:tcW w:w="976" w:type="pct"/>
            <w:tcBorders>
              <w:top w:val="single" w:sz="4" w:space="0" w:color="auto"/>
              <w:left w:val="nil"/>
              <w:bottom w:val="single" w:sz="4" w:space="0" w:color="auto"/>
              <w:right w:val="nil"/>
            </w:tcBorders>
            <w:tcMar>
              <w:top w:w="15" w:type="dxa"/>
              <w:left w:w="15" w:type="dxa"/>
              <w:bottom w:w="0" w:type="dxa"/>
              <w:right w:w="15" w:type="dxa"/>
            </w:tcMar>
            <w:vAlign w:val="bottom"/>
          </w:tcPr>
          <w:p w14:paraId="528FEC0F" w14:textId="77777777" w:rsidR="00DA3C9E" w:rsidRPr="00D95705" w:rsidRDefault="00DA3C9E" w:rsidP="00B20A65">
            <w:pPr>
              <w:rPr>
                <w:rFonts w:ascii="Arial" w:eastAsia="Arial Unicode MS" w:hAnsi="Arial" w:cs="Arial"/>
                <w:sz w:val="18"/>
                <w:szCs w:val="18"/>
              </w:rPr>
            </w:pPr>
          </w:p>
        </w:tc>
        <w:tc>
          <w:tcPr>
            <w:tcW w:w="294" w:type="pct"/>
            <w:tcBorders>
              <w:top w:val="single" w:sz="4" w:space="0" w:color="auto"/>
              <w:left w:val="nil"/>
              <w:bottom w:val="single" w:sz="4" w:space="0" w:color="auto"/>
              <w:right w:val="nil"/>
            </w:tcBorders>
            <w:vAlign w:val="bottom"/>
          </w:tcPr>
          <w:p w14:paraId="765FD6A2" w14:textId="77777777" w:rsidR="00DA3C9E" w:rsidRPr="00D95705" w:rsidRDefault="00DA3C9E" w:rsidP="00B20A65">
            <w:pPr>
              <w:tabs>
                <w:tab w:val="left" w:pos="210"/>
              </w:tabs>
              <w:jc w:val="center"/>
              <w:rPr>
                <w:sz w:val="18"/>
                <w:szCs w:val="18"/>
                <w:vertAlign w:val="superscript"/>
              </w:rPr>
            </w:pPr>
            <w:r w:rsidRPr="00D95705">
              <w:rPr>
                <w:sz w:val="18"/>
                <w:szCs w:val="18"/>
              </w:rPr>
              <w:t>2005</w:t>
            </w:r>
          </w:p>
        </w:tc>
        <w:tc>
          <w:tcPr>
            <w:tcW w:w="294" w:type="pct"/>
            <w:tcBorders>
              <w:top w:val="single" w:sz="4" w:space="0" w:color="auto"/>
              <w:left w:val="nil"/>
              <w:bottom w:val="single" w:sz="4" w:space="0" w:color="auto"/>
              <w:right w:val="nil"/>
            </w:tcBorders>
            <w:vAlign w:val="bottom"/>
          </w:tcPr>
          <w:p w14:paraId="55BA073A" w14:textId="77777777" w:rsidR="00DA3C9E" w:rsidRPr="00D95705" w:rsidRDefault="00DA3C9E" w:rsidP="00B20A65">
            <w:pPr>
              <w:tabs>
                <w:tab w:val="left" w:pos="210"/>
              </w:tabs>
              <w:jc w:val="center"/>
              <w:rPr>
                <w:sz w:val="18"/>
                <w:szCs w:val="18"/>
                <w:vertAlign w:val="superscript"/>
              </w:rPr>
            </w:pPr>
            <w:r w:rsidRPr="00D95705">
              <w:rPr>
                <w:sz w:val="18"/>
                <w:szCs w:val="18"/>
              </w:rPr>
              <w:t>2006</w:t>
            </w:r>
          </w:p>
        </w:tc>
        <w:tc>
          <w:tcPr>
            <w:tcW w:w="294" w:type="pct"/>
            <w:tcBorders>
              <w:top w:val="single" w:sz="4" w:space="0" w:color="auto"/>
              <w:left w:val="nil"/>
              <w:bottom w:val="single" w:sz="4" w:space="0" w:color="auto"/>
              <w:right w:val="nil"/>
            </w:tcBorders>
            <w:vAlign w:val="bottom"/>
          </w:tcPr>
          <w:p w14:paraId="5CB41802" w14:textId="77777777" w:rsidR="00DA3C9E" w:rsidRPr="00D95705" w:rsidRDefault="00DA3C9E" w:rsidP="00B20A65">
            <w:pPr>
              <w:tabs>
                <w:tab w:val="left" w:pos="210"/>
              </w:tabs>
              <w:jc w:val="center"/>
              <w:rPr>
                <w:sz w:val="18"/>
                <w:szCs w:val="18"/>
                <w:vertAlign w:val="superscript"/>
              </w:rPr>
            </w:pPr>
            <w:r w:rsidRPr="00D95705">
              <w:rPr>
                <w:sz w:val="18"/>
                <w:szCs w:val="18"/>
              </w:rPr>
              <w:t>2007</w:t>
            </w:r>
          </w:p>
        </w:tc>
        <w:tc>
          <w:tcPr>
            <w:tcW w:w="294" w:type="pct"/>
            <w:tcBorders>
              <w:top w:val="single" w:sz="4" w:space="0" w:color="auto"/>
              <w:left w:val="nil"/>
              <w:bottom w:val="single" w:sz="4" w:space="0" w:color="auto"/>
              <w:right w:val="single" w:sz="4" w:space="0" w:color="auto"/>
            </w:tcBorders>
            <w:vAlign w:val="bottom"/>
          </w:tcPr>
          <w:p w14:paraId="0409D9B3" w14:textId="77777777" w:rsidR="00DA3C9E" w:rsidRPr="00D95705" w:rsidRDefault="00DA3C9E" w:rsidP="00B20A65">
            <w:pPr>
              <w:tabs>
                <w:tab w:val="left" w:pos="210"/>
              </w:tabs>
              <w:jc w:val="center"/>
              <w:rPr>
                <w:sz w:val="18"/>
                <w:szCs w:val="18"/>
              </w:rPr>
            </w:pPr>
            <w:r w:rsidRPr="00D95705">
              <w:rPr>
                <w:sz w:val="18"/>
                <w:szCs w:val="18"/>
              </w:rPr>
              <w:t>2008</w:t>
            </w:r>
          </w:p>
        </w:tc>
        <w:tc>
          <w:tcPr>
            <w:tcW w:w="294" w:type="pct"/>
            <w:tcBorders>
              <w:top w:val="single" w:sz="4" w:space="0" w:color="auto"/>
              <w:left w:val="single" w:sz="4" w:space="0" w:color="auto"/>
              <w:bottom w:val="single" w:sz="4" w:space="0" w:color="auto"/>
            </w:tcBorders>
            <w:vAlign w:val="bottom"/>
          </w:tcPr>
          <w:p w14:paraId="08F15AC2" w14:textId="77777777" w:rsidR="00DA3C9E" w:rsidRPr="00D95705" w:rsidRDefault="00DA3C9E" w:rsidP="00B20A65">
            <w:pPr>
              <w:jc w:val="center"/>
              <w:rPr>
                <w:sz w:val="18"/>
                <w:szCs w:val="18"/>
                <w:vertAlign w:val="superscript"/>
              </w:rPr>
            </w:pPr>
            <w:r w:rsidRPr="00D95705">
              <w:rPr>
                <w:sz w:val="18"/>
                <w:szCs w:val="18"/>
              </w:rPr>
              <w:t>2008</w:t>
            </w:r>
            <w:r w:rsidRPr="00D95705">
              <w:rPr>
                <w:sz w:val="18"/>
                <w:szCs w:val="18"/>
                <w:vertAlign w:val="superscript"/>
              </w:rPr>
              <w:t>2</w:t>
            </w:r>
          </w:p>
        </w:tc>
        <w:tc>
          <w:tcPr>
            <w:tcW w:w="294" w:type="pct"/>
            <w:tcBorders>
              <w:top w:val="single" w:sz="4" w:space="0" w:color="auto"/>
              <w:bottom w:val="single" w:sz="4" w:space="0" w:color="auto"/>
            </w:tcBorders>
            <w:vAlign w:val="bottom"/>
          </w:tcPr>
          <w:p w14:paraId="2E3376D4" w14:textId="77777777" w:rsidR="00DA3C9E" w:rsidRPr="00D95705" w:rsidRDefault="00DA3C9E" w:rsidP="00B20A65">
            <w:pPr>
              <w:jc w:val="center"/>
              <w:rPr>
                <w:sz w:val="18"/>
                <w:szCs w:val="18"/>
                <w:vertAlign w:val="superscript"/>
              </w:rPr>
            </w:pPr>
            <w:r w:rsidRPr="00D95705">
              <w:rPr>
                <w:sz w:val="18"/>
                <w:szCs w:val="18"/>
              </w:rPr>
              <w:t>2009</w:t>
            </w:r>
          </w:p>
        </w:tc>
        <w:tc>
          <w:tcPr>
            <w:tcW w:w="294" w:type="pct"/>
            <w:tcBorders>
              <w:top w:val="single" w:sz="4" w:space="0" w:color="auto"/>
              <w:bottom w:val="single" w:sz="4" w:space="0" w:color="auto"/>
            </w:tcBorders>
            <w:vAlign w:val="bottom"/>
          </w:tcPr>
          <w:p w14:paraId="07627F42" w14:textId="77777777" w:rsidR="00DA3C9E" w:rsidRPr="00D95705" w:rsidRDefault="00DA3C9E" w:rsidP="00B20A65">
            <w:pPr>
              <w:jc w:val="center"/>
              <w:rPr>
                <w:rFonts w:ascii="Times New Roman" w:hAnsi="Times New Roman"/>
                <w:sz w:val="18"/>
                <w:szCs w:val="18"/>
              </w:rPr>
            </w:pPr>
            <w:r w:rsidRPr="00D95705">
              <w:rPr>
                <w:rFonts w:ascii="Times New Roman" w:hAnsi="Times New Roman"/>
                <w:sz w:val="18"/>
                <w:szCs w:val="18"/>
              </w:rPr>
              <w:t>2010</w:t>
            </w:r>
          </w:p>
        </w:tc>
        <w:tc>
          <w:tcPr>
            <w:tcW w:w="294" w:type="pct"/>
            <w:tcBorders>
              <w:top w:val="single" w:sz="4" w:space="0" w:color="auto"/>
              <w:bottom w:val="single" w:sz="4" w:space="0" w:color="auto"/>
            </w:tcBorders>
            <w:vAlign w:val="bottom"/>
          </w:tcPr>
          <w:p w14:paraId="68B8AB17" w14:textId="77777777" w:rsidR="00DA3C9E" w:rsidRDefault="00DA3C9E" w:rsidP="00B20A65">
            <w:pPr>
              <w:jc w:val="center"/>
              <w:rPr>
                <w:color w:val="000000"/>
                <w:sz w:val="18"/>
                <w:szCs w:val="18"/>
              </w:rPr>
            </w:pPr>
            <w:r>
              <w:rPr>
                <w:color w:val="000000"/>
                <w:sz w:val="18"/>
                <w:szCs w:val="18"/>
              </w:rPr>
              <w:t>2011</w:t>
            </w:r>
          </w:p>
        </w:tc>
        <w:tc>
          <w:tcPr>
            <w:tcW w:w="294" w:type="pct"/>
            <w:tcBorders>
              <w:top w:val="single" w:sz="4" w:space="0" w:color="auto"/>
              <w:bottom w:val="single" w:sz="4" w:space="0" w:color="auto"/>
            </w:tcBorders>
            <w:vAlign w:val="bottom"/>
          </w:tcPr>
          <w:p w14:paraId="0F888054" w14:textId="77777777" w:rsidR="00DA3C9E" w:rsidRDefault="00DA3C9E" w:rsidP="00B20A65">
            <w:pPr>
              <w:jc w:val="center"/>
              <w:rPr>
                <w:color w:val="000000"/>
                <w:sz w:val="18"/>
                <w:szCs w:val="18"/>
              </w:rPr>
            </w:pPr>
            <w:r>
              <w:rPr>
                <w:color w:val="000000"/>
                <w:sz w:val="18"/>
                <w:szCs w:val="18"/>
              </w:rPr>
              <w:t>2012</w:t>
            </w:r>
          </w:p>
        </w:tc>
        <w:tc>
          <w:tcPr>
            <w:tcW w:w="223" w:type="pct"/>
            <w:tcBorders>
              <w:top w:val="single" w:sz="4" w:space="0" w:color="auto"/>
              <w:bottom w:val="single" w:sz="4" w:space="0" w:color="auto"/>
            </w:tcBorders>
            <w:vAlign w:val="bottom"/>
          </w:tcPr>
          <w:p w14:paraId="02AFCA5F" w14:textId="77777777" w:rsidR="00DA3C9E" w:rsidRDefault="00DA3C9E" w:rsidP="00B20A65">
            <w:pPr>
              <w:jc w:val="center"/>
              <w:rPr>
                <w:color w:val="000000"/>
                <w:sz w:val="18"/>
                <w:szCs w:val="18"/>
              </w:rPr>
            </w:pPr>
            <w:r>
              <w:rPr>
                <w:color w:val="000000"/>
                <w:sz w:val="18"/>
                <w:szCs w:val="18"/>
              </w:rPr>
              <w:t>2013</w:t>
            </w:r>
          </w:p>
        </w:tc>
        <w:tc>
          <w:tcPr>
            <w:tcW w:w="298" w:type="pct"/>
            <w:tcBorders>
              <w:top w:val="single" w:sz="4" w:space="0" w:color="auto"/>
              <w:bottom w:val="single" w:sz="4" w:space="0" w:color="auto"/>
              <w:right w:val="nil"/>
            </w:tcBorders>
            <w:vAlign w:val="bottom"/>
          </w:tcPr>
          <w:p w14:paraId="2CF3464D" w14:textId="77777777" w:rsidR="00DA3C9E" w:rsidRDefault="00DA3C9E" w:rsidP="00B20A65">
            <w:pPr>
              <w:jc w:val="center"/>
              <w:rPr>
                <w:color w:val="000000"/>
                <w:sz w:val="18"/>
                <w:szCs w:val="18"/>
              </w:rPr>
            </w:pPr>
            <w:r>
              <w:rPr>
                <w:color w:val="000000"/>
                <w:sz w:val="18"/>
                <w:szCs w:val="18"/>
              </w:rPr>
              <w:t>2014</w:t>
            </w:r>
          </w:p>
        </w:tc>
        <w:tc>
          <w:tcPr>
            <w:tcW w:w="383" w:type="pct"/>
            <w:tcBorders>
              <w:top w:val="single" w:sz="4" w:space="0" w:color="auto"/>
              <w:left w:val="nil"/>
              <w:bottom w:val="single" w:sz="4" w:space="0" w:color="auto"/>
              <w:right w:val="nil"/>
            </w:tcBorders>
            <w:vAlign w:val="bottom"/>
          </w:tcPr>
          <w:p w14:paraId="0BDCBCC3" w14:textId="77777777" w:rsidR="00DA3C9E" w:rsidRDefault="00DA3C9E" w:rsidP="00B20A65">
            <w:pPr>
              <w:tabs>
                <w:tab w:val="left" w:pos="905"/>
              </w:tabs>
              <w:ind w:right="20"/>
              <w:jc w:val="center"/>
              <w:rPr>
                <w:color w:val="000000"/>
                <w:sz w:val="18"/>
                <w:szCs w:val="18"/>
              </w:rPr>
            </w:pPr>
            <w:r>
              <w:rPr>
                <w:color w:val="000000"/>
                <w:sz w:val="18"/>
                <w:szCs w:val="18"/>
              </w:rPr>
              <w:t>2014</w:t>
            </w:r>
          </w:p>
        </w:tc>
        <w:tc>
          <w:tcPr>
            <w:tcW w:w="474" w:type="pct"/>
            <w:tcBorders>
              <w:top w:val="single" w:sz="4" w:space="0" w:color="auto"/>
              <w:left w:val="nil"/>
              <w:bottom w:val="single" w:sz="4" w:space="0" w:color="auto"/>
              <w:right w:val="nil"/>
            </w:tcBorders>
            <w:vAlign w:val="bottom"/>
          </w:tcPr>
          <w:p w14:paraId="2E424594" w14:textId="77777777" w:rsidR="00DA3C9E" w:rsidRDefault="00DA3C9E" w:rsidP="00B20A65">
            <w:pPr>
              <w:ind w:right="165"/>
              <w:jc w:val="right"/>
              <w:rPr>
                <w:color w:val="000000"/>
                <w:sz w:val="18"/>
                <w:szCs w:val="18"/>
              </w:rPr>
            </w:pPr>
            <w:r>
              <w:rPr>
                <w:color w:val="000000"/>
                <w:sz w:val="18"/>
                <w:szCs w:val="18"/>
              </w:rPr>
              <w:t>2014</w:t>
            </w:r>
          </w:p>
        </w:tc>
      </w:tr>
      <w:tr w:rsidR="00DA3C9E" w:rsidRPr="00D95705" w14:paraId="6F111284" w14:textId="77777777" w:rsidTr="00EF6F89">
        <w:trPr>
          <w:trHeight w:val="510"/>
        </w:trPr>
        <w:tc>
          <w:tcPr>
            <w:tcW w:w="976" w:type="pct"/>
            <w:tcBorders>
              <w:top w:val="single" w:sz="4" w:space="0" w:color="auto"/>
              <w:left w:val="nil"/>
              <w:bottom w:val="nil"/>
              <w:right w:val="nil"/>
            </w:tcBorders>
            <w:tcMar>
              <w:top w:w="15" w:type="dxa"/>
              <w:left w:w="15" w:type="dxa"/>
              <w:bottom w:w="0" w:type="dxa"/>
              <w:right w:w="15" w:type="dxa"/>
            </w:tcMar>
            <w:vAlign w:val="bottom"/>
          </w:tcPr>
          <w:p w14:paraId="6384C81E" w14:textId="77777777" w:rsidR="00DA3C9E" w:rsidRPr="00D95705" w:rsidRDefault="00DA3C9E" w:rsidP="00B20A65">
            <w:pPr>
              <w:spacing w:after="0"/>
              <w:rPr>
                <w:rFonts w:eastAsia="Arial Unicode MS"/>
                <w:sz w:val="18"/>
                <w:szCs w:val="18"/>
              </w:rPr>
            </w:pPr>
            <w:r w:rsidRPr="00D95705">
              <w:rPr>
                <w:sz w:val="18"/>
                <w:szCs w:val="18"/>
              </w:rPr>
              <w:t>Olje- og gassutvinning og bergverksdrift</w:t>
            </w:r>
          </w:p>
        </w:tc>
        <w:tc>
          <w:tcPr>
            <w:tcW w:w="294" w:type="pct"/>
            <w:tcBorders>
              <w:top w:val="single" w:sz="4" w:space="0" w:color="auto"/>
              <w:left w:val="nil"/>
              <w:bottom w:val="nil"/>
              <w:right w:val="nil"/>
            </w:tcBorders>
            <w:vAlign w:val="bottom"/>
          </w:tcPr>
          <w:p w14:paraId="77FE1112"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86,7</w:t>
            </w:r>
          </w:p>
        </w:tc>
        <w:tc>
          <w:tcPr>
            <w:tcW w:w="294" w:type="pct"/>
            <w:tcBorders>
              <w:top w:val="single" w:sz="4" w:space="0" w:color="auto"/>
              <w:left w:val="nil"/>
              <w:bottom w:val="nil"/>
              <w:right w:val="nil"/>
            </w:tcBorders>
            <w:vAlign w:val="bottom"/>
          </w:tcPr>
          <w:p w14:paraId="68E1C823"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88,3</w:t>
            </w:r>
          </w:p>
        </w:tc>
        <w:tc>
          <w:tcPr>
            <w:tcW w:w="294" w:type="pct"/>
            <w:tcBorders>
              <w:top w:val="single" w:sz="4" w:space="0" w:color="auto"/>
              <w:left w:val="nil"/>
              <w:bottom w:val="nil"/>
              <w:right w:val="nil"/>
            </w:tcBorders>
            <w:vAlign w:val="bottom"/>
          </w:tcPr>
          <w:p w14:paraId="38C7D66F"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90,4</w:t>
            </w:r>
          </w:p>
        </w:tc>
        <w:tc>
          <w:tcPr>
            <w:tcW w:w="294" w:type="pct"/>
            <w:tcBorders>
              <w:top w:val="single" w:sz="4" w:space="0" w:color="auto"/>
              <w:left w:val="nil"/>
              <w:bottom w:val="nil"/>
              <w:right w:val="single" w:sz="4" w:space="0" w:color="auto"/>
            </w:tcBorders>
            <w:vAlign w:val="bottom"/>
          </w:tcPr>
          <w:p w14:paraId="657A337E"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88,8</w:t>
            </w:r>
          </w:p>
        </w:tc>
        <w:tc>
          <w:tcPr>
            <w:tcW w:w="294" w:type="pct"/>
            <w:tcBorders>
              <w:top w:val="single" w:sz="4" w:space="0" w:color="auto"/>
              <w:left w:val="single" w:sz="4" w:space="0" w:color="auto"/>
              <w:bottom w:val="nil"/>
            </w:tcBorders>
            <w:vAlign w:val="bottom"/>
          </w:tcPr>
          <w:p w14:paraId="1C165A71"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color w:val="000000"/>
                <w:sz w:val="18"/>
                <w:szCs w:val="18"/>
              </w:rPr>
              <w:t>89,7</w:t>
            </w:r>
          </w:p>
        </w:tc>
        <w:tc>
          <w:tcPr>
            <w:tcW w:w="294" w:type="pct"/>
            <w:tcBorders>
              <w:top w:val="single" w:sz="4" w:space="0" w:color="auto"/>
              <w:bottom w:val="nil"/>
            </w:tcBorders>
            <w:vAlign w:val="bottom"/>
          </w:tcPr>
          <w:p w14:paraId="20986995"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color w:val="000000"/>
                <w:sz w:val="18"/>
                <w:szCs w:val="18"/>
              </w:rPr>
              <w:t>91,0</w:t>
            </w:r>
          </w:p>
        </w:tc>
        <w:tc>
          <w:tcPr>
            <w:tcW w:w="294" w:type="pct"/>
            <w:tcBorders>
              <w:top w:val="single" w:sz="4" w:space="0" w:color="auto"/>
              <w:bottom w:val="nil"/>
            </w:tcBorders>
            <w:vAlign w:val="bottom"/>
          </w:tcPr>
          <w:p w14:paraId="12174C61"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90,1</w:t>
            </w:r>
          </w:p>
        </w:tc>
        <w:tc>
          <w:tcPr>
            <w:tcW w:w="294" w:type="pct"/>
            <w:tcBorders>
              <w:top w:val="single" w:sz="4" w:space="0" w:color="auto"/>
              <w:bottom w:val="nil"/>
            </w:tcBorders>
            <w:vAlign w:val="bottom"/>
          </w:tcPr>
          <w:p w14:paraId="22D9D126"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w:t>
            </w:r>
          </w:p>
        </w:tc>
        <w:tc>
          <w:tcPr>
            <w:tcW w:w="294" w:type="pct"/>
            <w:tcBorders>
              <w:top w:val="single" w:sz="4" w:space="0" w:color="auto"/>
              <w:bottom w:val="nil"/>
            </w:tcBorders>
            <w:vAlign w:val="bottom"/>
          </w:tcPr>
          <w:p w14:paraId="19396338"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w:t>
            </w:r>
          </w:p>
        </w:tc>
        <w:tc>
          <w:tcPr>
            <w:tcW w:w="223" w:type="pct"/>
            <w:tcBorders>
              <w:top w:val="single" w:sz="4" w:space="0" w:color="auto"/>
              <w:bottom w:val="nil"/>
            </w:tcBorders>
            <w:vAlign w:val="bottom"/>
          </w:tcPr>
          <w:p w14:paraId="49A0089A"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93,3</w:t>
            </w:r>
          </w:p>
        </w:tc>
        <w:tc>
          <w:tcPr>
            <w:tcW w:w="298" w:type="pct"/>
            <w:tcBorders>
              <w:top w:val="single" w:sz="4" w:space="0" w:color="auto"/>
              <w:bottom w:val="nil"/>
              <w:right w:val="nil"/>
            </w:tcBorders>
            <w:vAlign w:val="bottom"/>
          </w:tcPr>
          <w:p w14:paraId="1B76CAB3" w14:textId="77777777" w:rsidR="00DA3C9E" w:rsidRPr="008C5964" w:rsidRDefault="00DA3C9E" w:rsidP="00B20A65">
            <w:pPr>
              <w:spacing w:after="0"/>
              <w:jc w:val="center"/>
              <w:rPr>
                <w:rFonts w:ascii="Times New Roman" w:hAnsi="Times New Roman"/>
                <w:color w:val="000000"/>
                <w:sz w:val="18"/>
                <w:szCs w:val="18"/>
              </w:rPr>
            </w:pPr>
            <w:r>
              <w:rPr>
                <w:rFonts w:ascii="Times New Roman" w:hAnsi="Times New Roman"/>
                <w:color w:val="000000"/>
                <w:sz w:val="18"/>
                <w:szCs w:val="18"/>
              </w:rPr>
              <w:t>-</w:t>
            </w:r>
          </w:p>
        </w:tc>
        <w:tc>
          <w:tcPr>
            <w:tcW w:w="383" w:type="pct"/>
            <w:tcBorders>
              <w:top w:val="single" w:sz="4" w:space="0" w:color="auto"/>
              <w:left w:val="nil"/>
              <w:bottom w:val="nil"/>
              <w:right w:val="nil"/>
            </w:tcBorders>
            <w:vAlign w:val="bottom"/>
          </w:tcPr>
          <w:p w14:paraId="374AE4D5" w14:textId="77777777" w:rsidR="00DA3C9E" w:rsidRPr="008C5964" w:rsidRDefault="00DA3C9E" w:rsidP="00B20A65">
            <w:pPr>
              <w:spacing w:after="0"/>
              <w:jc w:val="center"/>
              <w:rPr>
                <w:rFonts w:ascii="Times New Roman" w:hAnsi="Times New Roman"/>
                <w:color w:val="000000"/>
                <w:sz w:val="18"/>
                <w:szCs w:val="18"/>
              </w:rPr>
            </w:pPr>
            <w:r>
              <w:rPr>
                <w:rFonts w:ascii="Times New Roman" w:hAnsi="Times New Roman"/>
                <w:color w:val="000000"/>
                <w:sz w:val="18"/>
                <w:szCs w:val="18"/>
              </w:rPr>
              <w:t>-</w:t>
            </w:r>
          </w:p>
        </w:tc>
        <w:tc>
          <w:tcPr>
            <w:tcW w:w="474" w:type="pct"/>
            <w:tcBorders>
              <w:top w:val="single" w:sz="4" w:space="0" w:color="auto"/>
              <w:left w:val="nil"/>
              <w:bottom w:val="nil"/>
              <w:right w:val="nil"/>
            </w:tcBorders>
            <w:vAlign w:val="bottom"/>
          </w:tcPr>
          <w:p w14:paraId="4F3994DF" w14:textId="77777777" w:rsidR="00DA3C9E" w:rsidRPr="008C5964" w:rsidRDefault="00DA3C9E" w:rsidP="00B20A65">
            <w:pPr>
              <w:spacing w:after="0"/>
              <w:ind w:right="165"/>
              <w:jc w:val="right"/>
              <w:rPr>
                <w:rFonts w:ascii="Times New Roman" w:hAnsi="Times New Roman"/>
                <w:color w:val="000000"/>
                <w:sz w:val="18"/>
                <w:szCs w:val="18"/>
              </w:rPr>
            </w:pPr>
            <w:r>
              <w:rPr>
                <w:rFonts w:ascii="Times New Roman" w:hAnsi="Times New Roman"/>
                <w:color w:val="000000"/>
                <w:sz w:val="18"/>
                <w:szCs w:val="18"/>
              </w:rPr>
              <w:t>-</w:t>
            </w:r>
          </w:p>
        </w:tc>
      </w:tr>
      <w:tr w:rsidR="00DA3C9E" w:rsidRPr="00FC11AF" w14:paraId="6F299098" w14:textId="77777777" w:rsidTr="00EF6F89">
        <w:trPr>
          <w:trHeight w:val="255"/>
        </w:trPr>
        <w:tc>
          <w:tcPr>
            <w:tcW w:w="976" w:type="pct"/>
            <w:tcBorders>
              <w:top w:val="nil"/>
              <w:left w:val="nil"/>
              <w:bottom w:val="nil"/>
              <w:right w:val="nil"/>
            </w:tcBorders>
            <w:tcMar>
              <w:top w:w="15" w:type="dxa"/>
              <w:left w:w="15" w:type="dxa"/>
              <w:bottom w:w="0" w:type="dxa"/>
              <w:right w:w="15" w:type="dxa"/>
            </w:tcMar>
            <w:vAlign w:val="bottom"/>
          </w:tcPr>
          <w:p w14:paraId="7D00342E" w14:textId="77777777" w:rsidR="00DA3C9E" w:rsidRPr="00D95705" w:rsidRDefault="00DA3C9E" w:rsidP="00B20A65">
            <w:pPr>
              <w:spacing w:after="0"/>
              <w:rPr>
                <w:rFonts w:eastAsia="Arial Unicode MS"/>
                <w:sz w:val="18"/>
                <w:szCs w:val="18"/>
              </w:rPr>
            </w:pPr>
            <w:r w:rsidRPr="00D95705">
              <w:rPr>
                <w:sz w:val="18"/>
                <w:szCs w:val="18"/>
              </w:rPr>
              <w:t>Industri</w:t>
            </w:r>
          </w:p>
        </w:tc>
        <w:tc>
          <w:tcPr>
            <w:tcW w:w="294" w:type="pct"/>
            <w:tcBorders>
              <w:top w:val="nil"/>
              <w:left w:val="nil"/>
              <w:bottom w:val="nil"/>
              <w:right w:val="nil"/>
            </w:tcBorders>
            <w:vAlign w:val="bottom"/>
          </w:tcPr>
          <w:p w14:paraId="0BDECE03"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88,5</w:t>
            </w:r>
          </w:p>
        </w:tc>
        <w:tc>
          <w:tcPr>
            <w:tcW w:w="294" w:type="pct"/>
            <w:tcBorders>
              <w:top w:val="nil"/>
              <w:left w:val="nil"/>
              <w:bottom w:val="nil"/>
              <w:right w:val="nil"/>
            </w:tcBorders>
            <w:vAlign w:val="bottom"/>
          </w:tcPr>
          <w:p w14:paraId="7D9201F5"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88,9</w:t>
            </w:r>
          </w:p>
        </w:tc>
        <w:tc>
          <w:tcPr>
            <w:tcW w:w="294" w:type="pct"/>
            <w:tcBorders>
              <w:top w:val="nil"/>
              <w:left w:val="nil"/>
              <w:bottom w:val="nil"/>
              <w:right w:val="nil"/>
            </w:tcBorders>
            <w:vAlign w:val="bottom"/>
          </w:tcPr>
          <w:p w14:paraId="65620F09"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87,9</w:t>
            </w:r>
          </w:p>
        </w:tc>
        <w:tc>
          <w:tcPr>
            <w:tcW w:w="294" w:type="pct"/>
            <w:tcBorders>
              <w:top w:val="nil"/>
              <w:left w:val="nil"/>
              <w:bottom w:val="nil"/>
              <w:right w:val="single" w:sz="4" w:space="0" w:color="auto"/>
            </w:tcBorders>
            <w:vAlign w:val="bottom"/>
          </w:tcPr>
          <w:p w14:paraId="7DE7AFFF"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88,9</w:t>
            </w:r>
          </w:p>
        </w:tc>
        <w:tc>
          <w:tcPr>
            <w:tcW w:w="294" w:type="pct"/>
            <w:tcBorders>
              <w:top w:val="nil"/>
              <w:left w:val="single" w:sz="4" w:space="0" w:color="auto"/>
              <w:bottom w:val="nil"/>
            </w:tcBorders>
            <w:vAlign w:val="bottom"/>
          </w:tcPr>
          <w:p w14:paraId="3C57C0C6"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87,1</w:t>
            </w:r>
          </w:p>
        </w:tc>
        <w:tc>
          <w:tcPr>
            <w:tcW w:w="294" w:type="pct"/>
            <w:tcBorders>
              <w:top w:val="nil"/>
              <w:bottom w:val="nil"/>
            </w:tcBorders>
            <w:vAlign w:val="bottom"/>
          </w:tcPr>
          <w:p w14:paraId="0D8B3E94"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87,6</w:t>
            </w:r>
          </w:p>
        </w:tc>
        <w:tc>
          <w:tcPr>
            <w:tcW w:w="294" w:type="pct"/>
            <w:tcBorders>
              <w:top w:val="nil"/>
              <w:bottom w:val="nil"/>
            </w:tcBorders>
            <w:vAlign w:val="bottom"/>
          </w:tcPr>
          <w:p w14:paraId="31EC74A8"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88,2</w:t>
            </w:r>
          </w:p>
        </w:tc>
        <w:tc>
          <w:tcPr>
            <w:tcW w:w="294" w:type="pct"/>
            <w:tcBorders>
              <w:top w:val="nil"/>
              <w:bottom w:val="nil"/>
            </w:tcBorders>
            <w:vAlign w:val="bottom"/>
          </w:tcPr>
          <w:p w14:paraId="5744100B"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88,7</w:t>
            </w:r>
          </w:p>
        </w:tc>
        <w:tc>
          <w:tcPr>
            <w:tcW w:w="294" w:type="pct"/>
            <w:tcBorders>
              <w:top w:val="nil"/>
              <w:bottom w:val="nil"/>
            </w:tcBorders>
            <w:vAlign w:val="bottom"/>
          </w:tcPr>
          <w:p w14:paraId="69286CFB"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89,4</w:t>
            </w:r>
          </w:p>
        </w:tc>
        <w:tc>
          <w:tcPr>
            <w:tcW w:w="223" w:type="pct"/>
            <w:tcBorders>
              <w:top w:val="nil"/>
              <w:bottom w:val="nil"/>
            </w:tcBorders>
            <w:vAlign w:val="bottom"/>
          </w:tcPr>
          <w:p w14:paraId="4EE9C41B"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90,2</w:t>
            </w:r>
          </w:p>
        </w:tc>
        <w:tc>
          <w:tcPr>
            <w:tcW w:w="298" w:type="pct"/>
            <w:tcBorders>
              <w:top w:val="nil"/>
              <w:bottom w:val="nil"/>
              <w:right w:val="nil"/>
            </w:tcBorders>
            <w:vAlign w:val="bottom"/>
          </w:tcPr>
          <w:p w14:paraId="7915215D"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90,0</w:t>
            </w:r>
          </w:p>
        </w:tc>
        <w:tc>
          <w:tcPr>
            <w:tcW w:w="383" w:type="pct"/>
            <w:tcBorders>
              <w:top w:val="nil"/>
              <w:left w:val="nil"/>
              <w:bottom w:val="nil"/>
              <w:right w:val="nil"/>
            </w:tcBorders>
            <w:vAlign w:val="bottom"/>
          </w:tcPr>
          <w:p w14:paraId="3AADD9A8"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517 200</w:t>
            </w:r>
          </w:p>
        </w:tc>
        <w:tc>
          <w:tcPr>
            <w:tcW w:w="474" w:type="pct"/>
            <w:tcBorders>
              <w:top w:val="nil"/>
              <w:left w:val="nil"/>
              <w:bottom w:val="nil"/>
              <w:right w:val="nil"/>
            </w:tcBorders>
            <w:vAlign w:val="bottom"/>
          </w:tcPr>
          <w:p w14:paraId="3A83D906"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465 600</w:t>
            </w:r>
          </w:p>
        </w:tc>
      </w:tr>
      <w:tr w:rsidR="00DA3C9E" w:rsidRPr="00FC11AF" w14:paraId="47C96EB2" w14:textId="77777777" w:rsidTr="00EF6F89">
        <w:trPr>
          <w:trHeight w:val="255"/>
        </w:trPr>
        <w:tc>
          <w:tcPr>
            <w:tcW w:w="976" w:type="pct"/>
            <w:tcBorders>
              <w:top w:val="nil"/>
              <w:left w:val="nil"/>
              <w:bottom w:val="nil"/>
              <w:right w:val="nil"/>
            </w:tcBorders>
            <w:tcMar>
              <w:top w:w="15" w:type="dxa"/>
              <w:left w:w="15" w:type="dxa"/>
              <w:bottom w:w="0" w:type="dxa"/>
              <w:right w:w="15" w:type="dxa"/>
            </w:tcMar>
            <w:vAlign w:val="bottom"/>
          </w:tcPr>
          <w:p w14:paraId="289D1A1F" w14:textId="77777777" w:rsidR="00DA3C9E" w:rsidRPr="00D95705" w:rsidRDefault="00DA3C9E" w:rsidP="00B20A65">
            <w:pPr>
              <w:spacing w:after="0"/>
              <w:rPr>
                <w:rFonts w:eastAsia="Arial Unicode MS"/>
                <w:sz w:val="18"/>
                <w:szCs w:val="18"/>
              </w:rPr>
            </w:pPr>
            <w:r w:rsidRPr="00D95705">
              <w:rPr>
                <w:sz w:val="18"/>
                <w:szCs w:val="18"/>
              </w:rPr>
              <w:t>Kraftforsyning</w:t>
            </w:r>
          </w:p>
        </w:tc>
        <w:tc>
          <w:tcPr>
            <w:tcW w:w="294" w:type="pct"/>
            <w:tcBorders>
              <w:top w:val="nil"/>
              <w:left w:val="nil"/>
              <w:bottom w:val="nil"/>
              <w:right w:val="nil"/>
            </w:tcBorders>
            <w:vAlign w:val="bottom"/>
          </w:tcPr>
          <w:p w14:paraId="2DFFD754"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89,8</w:t>
            </w:r>
          </w:p>
        </w:tc>
        <w:tc>
          <w:tcPr>
            <w:tcW w:w="294" w:type="pct"/>
            <w:tcBorders>
              <w:top w:val="nil"/>
              <w:left w:val="nil"/>
              <w:bottom w:val="nil"/>
              <w:right w:val="nil"/>
            </w:tcBorders>
            <w:vAlign w:val="bottom"/>
          </w:tcPr>
          <w:p w14:paraId="4AF4709B"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88,7</w:t>
            </w:r>
          </w:p>
        </w:tc>
        <w:tc>
          <w:tcPr>
            <w:tcW w:w="294" w:type="pct"/>
            <w:tcBorders>
              <w:top w:val="nil"/>
              <w:left w:val="nil"/>
              <w:bottom w:val="nil"/>
              <w:right w:val="nil"/>
            </w:tcBorders>
            <w:vAlign w:val="bottom"/>
          </w:tcPr>
          <w:p w14:paraId="1E90C1E7"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89,2</w:t>
            </w:r>
          </w:p>
        </w:tc>
        <w:tc>
          <w:tcPr>
            <w:tcW w:w="294" w:type="pct"/>
            <w:tcBorders>
              <w:top w:val="nil"/>
              <w:left w:val="nil"/>
              <w:bottom w:val="nil"/>
              <w:right w:val="single" w:sz="4" w:space="0" w:color="auto"/>
            </w:tcBorders>
            <w:vAlign w:val="bottom"/>
          </w:tcPr>
          <w:p w14:paraId="326B7B5C"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89,0</w:t>
            </w:r>
          </w:p>
        </w:tc>
        <w:tc>
          <w:tcPr>
            <w:tcW w:w="294" w:type="pct"/>
            <w:tcBorders>
              <w:top w:val="nil"/>
              <w:left w:val="single" w:sz="4" w:space="0" w:color="auto"/>
              <w:bottom w:val="nil"/>
            </w:tcBorders>
            <w:vAlign w:val="bottom"/>
          </w:tcPr>
          <w:p w14:paraId="606833FD"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90,3</w:t>
            </w:r>
          </w:p>
        </w:tc>
        <w:tc>
          <w:tcPr>
            <w:tcW w:w="294" w:type="pct"/>
            <w:tcBorders>
              <w:top w:val="nil"/>
              <w:bottom w:val="nil"/>
            </w:tcBorders>
            <w:vAlign w:val="bottom"/>
          </w:tcPr>
          <w:p w14:paraId="189F5A43"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89,4</w:t>
            </w:r>
          </w:p>
        </w:tc>
        <w:tc>
          <w:tcPr>
            <w:tcW w:w="294" w:type="pct"/>
            <w:tcBorders>
              <w:top w:val="nil"/>
              <w:bottom w:val="nil"/>
            </w:tcBorders>
            <w:vAlign w:val="bottom"/>
          </w:tcPr>
          <w:p w14:paraId="34567EA7"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90,6</w:t>
            </w:r>
          </w:p>
        </w:tc>
        <w:tc>
          <w:tcPr>
            <w:tcW w:w="294" w:type="pct"/>
            <w:tcBorders>
              <w:top w:val="nil"/>
              <w:bottom w:val="nil"/>
            </w:tcBorders>
            <w:vAlign w:val="bottom"/>
          </w:tcPr>
          <w:p w14:paraId="75459CFD"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92,2</w:t>
            </w:r>
          </w:p>
        </w:tc>
        <w:tc>
          <w:tcPr>
            <w:tcW w:w="294" w:type="pct"/>
            <w:tcBorders>
              <w:top w:val="nil"/>
              <w:bottom w:val="nil"/>
            </w:tcBorders>
            <w:vAlign w:val="bottom"/>
          </w:tcPr>
          <w:p w14:paraId="0AA48B54"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92,4</w:t>
            </w:r>
          </w:p>
        </w:tc>
        <w:tc>
          <w:tcPr>
            <w:tcW w:w="223" w:type="pct"/>
            <w:tcBorders>
              <w:top w:val="nil"/>
              <w:bottom w:val="nil"/>
            </w:tcBorders>
            <w:vAlign w:val="bottom"/>
          </w:tcPr>
          <w:p w14:paraId="6581BAE7"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93,4</w:t>
            </w:r>
          </w:p>
        </w:tc>
        <w:tc>
          <w:tcPr>
            <w:tcW w:w="298" w:type="pct"/>
            <w:tcBorders>
              <w:top w:val="nil"/>
              <w:bottom w:val="nil"/>
              <w:right w:val="nil"/>
            </w:tcBorders>
            <w:vAlign w:val="bottom"/>
          </w:tcPr>
          <w:p w14:paraId="3CEC2242"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93,3</w:t>
            </w:r>
          </w:p>
        </w:tc>
        <w:tc>
          <w:tcPr>
            <w:tcW w:w="383" w:type="pct"/>
            <w:tcBorders>
              <w:top w:val="nil"/>
              <w:left w:val="nil"/>
              <w:bottom w:val="nil"/>
              <w:right w:val="nil"/>
            </w:tcBorders>
            <w:vAlign w:val="bottom"/>
          </w:tcPr>
          <w:p w14:paraId="49EB1EDC"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622 800</w:t>
            </w:r>
          </w:p>
        </w:tc>
        <w:tc>
          <w:tcPr>
            <w:tcW w:w="474" w:type="pct"/>
            <w:tcBorders>
              <w:top w:val="nil"/>
              <w:left w:val="nil"/>
              <w:bottom w:val="nil"/>
              <w:right w:val="nil"/>
            </w:tcBorders>
            <w:vAlign w:val="bottom"/>
          </w:tcPr>
          <w:p w14:paraId="5C0BB271"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580 800</w:t>
            </w:r>
          </w:p>
        </w:tc>
      </w:tr>
      <w:tr w:rsidR="00DA3C9E" w:rsidRPr="00FC11AF" w14:paraId="7A337EEF" w14:textId="77777777" w:rsidTr="00EF6F89">
        <w:trPr>
          <w:trHeight w:val="255"/>
        </w:trPr>
        <w:tc>
          <w:tcPr>
            <w:tcW w:w="976" w:type="pct"/>
            <w:tcBorders>
              <w:top w:val="nil"/>
              <w:left w:val="nil"/>
              <w:bottom w:val="nil"/>
              <w:right w:val="nil"/>
            </w:tcBorders>
            <w:tcMar>
              <w:top w:w="15" w:type="dxa"/>
              <w:left w:w="15" w:type="dxa"/>
              <w:bottom w:w="0" w:type="dxa"/>
              <w:right w:w="15" w:type="dxa"/>
            </w:tcMar>
            <w:vAlign w:val="bottom"/>
          </w:tcPr>
          <w:p w14:paraId="15A86DBF" w14:textId="77777777" w:rsidR="00DA3C9E" w:rsidRPr="00D95705" w:rsidRDefault="00DA3C9E" w:rsidP="00B20A65">
            <w:pPr>
              <w:spacing w:after="0"/>
              <w:rPr>
                <w:rFonts w:eastAsia="Arial Unicode MS"/>
                <w:sz w:val="18"/>
                <w:szCs w:val="18"/>
              </w:rPr>
            </w:pPr>
            <w:r w:rsidRPr="00D95705">
              <w:rPr>
                <w:sz w:val="18"/>
                <w:szCs w:val="18"/>
              </w:rPr>
              <w:t>Bygge- og anleggsvirksomhet</w:t>
            </w:r>
          </w:p>
        </w:tc>
        <w:tc>
          <w:tcPr>
            <w:tcW w:w="294" w:type="pct"/>
            <w:tcBorders>
              <w:top w:val="nil"/>
              <w:left w:val="nil"/>
              <w:bottom w:val="nil"/>
              <w:right w:val="nil"/>
            </w:tcBorders>
            <w:vAlign w:val="bottom"/>
          </w:tcPr>
          <w:p w14:paraId="7986EC02"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96,5</w:t>
            </w:r>
          </w:p>
        </w:tc>
        <w:tc>
          <w:tcPr>
            <w:tcW w:w="294" w:type="pct"/>
            <w:tcBorders>
              <w:top w:val="nil"/>
              <w:left w:val="nil"/>
              <w:bottom w:val="nil"/>
              <w:right w:val="nil"/>
            </w:tcBorders>
            <w:vAlign w:val="bottom"/>
          </w:tcPr>
          <w:p w14:paraId="48190EB3"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97,6</w:t>
            </w:r>
          </w:p>
        </w:tc>
        <w:tc>
          <w:tcPr>
            <w:tcW w:w="294" w:type="pct"/>
            <w:tcBorders>
              <w:top w:val="nil"/>
              <w:left w:val="nil"/>
              <w:bottom w:val="nil"/>
              <w:right w:val="nil"/>
            </w:tcBorders>
            <w:vAlign w:val="bottom"/>
          </w:tcPr>
          <w:p w14:paraId="0455BA2E"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97,0</w:t>
            </w:r>
          </w:p>
        </w:tc>
        <w:tc>
          <w:tcPr>
            <w:tcW w:w="294" w:type="pct"/>
            <w:tcBorders>
              <w:top w:val="nil"/>
              <w:left w:val="nil"/>
              <w:bottom w:val="nil"/>
              <w:right w:val="single" w:sz="4" w:space="0" w:color="auto"/>
            </w:tcBorders>
            <w:vAlign w:val="bottom"/>
          </w:tcPr>
          <w:p w14:paraId="67D41F52"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98,0</w:t>
            </w:r>
          </w:p>
        </w:tc>
        <w:tc>
          <w:tcPr>
            <w:tcW w:w="294" w:type="pct"/>
            <w:tcBorders>
              <w:top w:val="nil"/>
              <w:left w:val="single" w:sz="4" w:space="0" w:color="auto"/>
              <w:bottom w:val="nil"/>
            </w:tcBorders>
            <w:vAlign w:val="bottom"/>
          </w:tcPr>
          <w:p w14:paraId="4FC277DC"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97,9</w:t>
            </w:r>
          </w:p>
        </w:tc>
        <w:tc>
          <w:tcPr>
            <w:tcW w:w="294" w:type="pct"/>
            <w:tcBorders>
              <w:top w:val="nil"/>
              <w:bottom w:val="nil"/>
            </w:tcBorders>
            <w:vAlign w:val="bottom"/>
          </w:tcPr>
          <w:p w14:paraId="727D226A"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96,8</w:t>
            </w:r>
          </w:p>
        </w:tc>
        <w:tc>
          <w:tcPr>
            <w:tcW w:w="294" w:type="pct"/>
            <w:tcBorders>
              <w:top w:val="nil"/>
              <w:bottom w:val="nil"/>
            </w:tcBorders>
            <w:vAlign w:val="bottom"/>
          </w:tcPr>
          <w:p w14:paraId="459E2123"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99,1</w:t>
            </w:r>
          </w:p>
        </w:tc>
        <w:tc>
          <w:tcPr>
            <w:tcW w:w="294" w:type="pct"/>
            <w:tcBorders>
              <w:top w:val="nil"/>
              <w:bottom w:val="nil"/>
            </w:tcBorders>
            <w:vAlign w:val="bottom"/>
          </w:tcPr>
          <w:p w14:paraId="5E6A1374"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100,8</w:t>
            </w:r>
          </w:p>
        </w:tc>
        <w:tc>
          <w:tcPr>
            <w:tcW w:w="294" w:type="pct"/>
            <w:tcBorders>
              <w:top w:val="nil"/>
              <w:bottom w:val="nil"/>
            </w:tcBorders>
            <w:vAlign w:val="bottom"/>
          </w:tcPr>
          <w:p w14:paraId="26793DE1"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100,5</w:t>
            </w:r>
          </w:p>
        </w:tc>
        <w:tc>
          <w:tcPr>
            <w:tcW w:w="223" w:type="pct"/>
            <w:tcBorders>
              <w:top w:val="nil"/>
              <w:bottom w:val="nil"/>
            </w:tcBorders>
            <w:vAlign w:val="bottom"/>
          </w:tcPr>
          <w:p w14:paraId="1447BA6E"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101,0</w:t>
            </w:r>
          </w:p>
        </w:tc>
        <w:tc>
          <w:tcPr>
            <w:tcW w:w="298" w:type="pct"/>
            <w:tcBorders>
              <w:top w:val="nil"/>
              <w:bottom w:val="nil"/>
              <w:right w:val="nil"/>
            </w:tcBorders>
            <w:vAlign w:val="bottom"/>
          </w:tcPr>
          <w:p w14:paraId="1EC7D1B3"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100,8</w:t>
            </w:r>
          </w:p>
        </w:tc>
        <w:tc>
          <w:tcPr>
            <w:tcW w:w="383" w:type="pct"/>
            <w:tcBorders>
              <w:top w:val="nil"/>
              <w:left w:val="nil"/>
              <w:bottom w:val="nil"/>
              <w:right w:val="nil"/>
            </w:tcBorders>
            <w:vAlign w:val="bottom"/>
          </w:tcPr>
          <w:p w14:paraId="72C47B4B"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472 800</w:t>
            </w:r>
          </w:p>
        </w:tc>
        <w:tc>
          <w:tcPr>
            <w:tcW w:w="474" w:type="pct"/>
            <w:tcBorders>
              <w:top w:val="nil"/>
              <w:left w:val="nil"/>
              <w:bottom w:val="nil"/>
              <w:right w:val="nil"/>
            </w:tcBorders>
            <w:vAlign w:val="bottom"/>
          </w:tcPr>
          <w:p w14:paraId="76BAE015"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476 400</w:t>
            </w:r>
          </w:p>
        </w:tc>
      </w:tr>
      <w:tr w:rsidR="00DA3C9E" w:rsidRPr="00FC11AF" w14:paraId="38EE84DE" w14:textId="77777777" w:rsidTr="00EF6F89">
        <w:trPr>
          <w:trHeight w:val="255"/>
        </w:trPr>
        <w:tc>
          <w:tcPr>
            <w:tcW w:w="976" w:type="pct"/>
            <w:tcBorders>
              <w:top w:val="nil"/>
              <w:left w:val="nil"/>
              <w:bottom w:val="nil"/>
              <w:right w:val="nil"/>
            </w:tcBorders>
            <w:tcMar>
              <w:top w:w="15" w:type="dxa"/>
              <w:left w:w="15" w:type="dxa"/>
              <w:bottom w:w="0" w:type="dxa"/>
              <w:right w:w="15" w:type="dxa"/>
            </w:tcMar>
            <w:vAlign w:val="bottom"/>
          </w:tcPr>
          <w:p w14:paraId="24999A07" w14:textId="77777777" w:rsidR="00DA3C9E" w:rsidRPr="00D95705" w:rsidRDefault="00DA3C9E" w:rsidP="00B20A65">
            <w:pPr>
              <w:spacing w:after="0"/>
              <w:rPr>
                <w:rFonts w:eastAsia="Arial Unicode MS"/>
                <w:sz w:val="18"/>
                <w:szCs w:val="18"/>
              </w:rPr>
            </w:pPr>
            <w:r w:rsidRPr="00D95705">
              <w:rPr>
                <w:sz w:val="18"/>
                <w:szCs w:val="18"/>
              </w:rPr>
              <w:t>Varehandel</w:t>
            </w:r>
          </w:p>
        </w:tc>
        <w:tc>
          <w:tcPr>
            <w:tcW w:w="294" w:type="pct"/>
            <w:tcBorders>
              <w:top w:val="nil"/>
              <w:left w:val="nil"/>
              <w:bottom w:val="nil"/>
              <w:right w:val="nil"/>
            </w:tcBorders>
            <w:vAlign w:val="bottom"/>
          </w:tcPr>
          <w:p w14:paraId="33B6B41E"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79,9</w:t>
            </w:r>
          </w:p>
        </w:tc>
        <w:tc>
          <w:tcPr>
            <w:tcW w:w="294" w:type="pct"/>
            <w:tcBorders>
              <w:top w:val="nil"/>
              <w:left w:val="nil"/>
              <w:bottom w:val="nil"/>
              <w:right w:val="nil"/>
            </w:tcBorders>
            <w:vAlign w:val="bottom"/>
          </w:tcPr>
          <w:p w14:paraId="0328B7DF"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79,8</w:t>
            </w:r>
          </w:p>
        </w:tc>
        <w:tc>
          <w:tcPr>
            <w:tcW w:w="294" w:type="pct"/>
            <w:tcBorders>
              <w:top w:val="nil"/>
              <w:left w:val="nil"/>
              <w:bottom w:val="nil"/>
              <w:right w:val="nil"/>
            </w:tcBorders>
            <w:vAlign w:val="bottom"/>
          </w:tcPr>
          <w:p w14:paraId="4C2298BD"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78,8</w:t>
            </w:r>
          </w:p>
        </w:tc>
        <w:tc>
          <w:tcPr>
            <w:tcW w:w="294" w:type="pct"/>
            <w:tcBorders>
              <w:top w:val="nil"/>
              <w:left w:val="nil"/>
              <w:bottom w:val="nil"/>
              <w:right w:val="single" w:sz="4" w:space="0" w:color="auto"/>
            </w:tcBorders>
            <w:vAlign w:val="bottom"/>
          </w:tcPr>
          <w:p w14:paraId="664A6360"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80,5</w:t>
            </w:r>
          </w:p>
        </w:tc>
        <w:tc>
          <w:tcPr>
            <w:tcW w:w="294" w:type="pct"/>
            <w:tcBorders>
              <w:top w:val="nil"/>
              <w:left w:val="single" w:sz="4" w:space="0" w:color="auto"/>
              <w:bottom w:val="nil"/>
            </w:tcBorders>
            <w:vAlign w:val="bottom"/>
          </w:tcPr>
          <w:p w14:paraId="4ED34D1D"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79,7</w:t>
            </w:r>
          </w:p>
        </w:tc>
        <w:tc>
          <w:tcPr>
            <w:tcW w:w="294" w:type="pct"/>
            <w:tcBorders>
              <w:top w:val="nil"/>
              <w:bottom w:val="nil"/>
            </w:tcBorders>
            <w:vAlign w:val="bottom"/>
          </w:tcPr>
          <w:p w14:paraId="1B423950"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80,3</w:t>
            </w:r>
          </w:p>
        </w:tc>
        <w:tc>
          <w:tcPr>
            <w:tcW w:w="294" w:type="pct"/>
            <w:tcBorders>
              <w:top w:val="nil"/>
              <w:bottom w:val="nil"/>
            </w:tcBorders>
            <w:vAlign w:val="bottom"/>
          </w:tcPr>
          <w:p w14:paraId="569D7B7E"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81,5</w:t>
            </w:r>
          </w:p>
        </w:tc>
        <w:tc>
          <w:tcPr>
            <w:tcW w:w="294" w:type="pct"/>
            <w:tcBorders>
              <w:top w:val="nil"/>
              <w:bottom w:val="nil"/>
            </w:tcBorders>
            <w:vAlign w:val="bottom"/>
          </w:tcPr>
          <w:p w14:paraId="72976AE9"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82,3</w:t>
            </w:r>
          </w:p>
        </w:tc>
        <w:tc>
          <w:tcPr>
            <w:tcW w:w="294" w:type="pct"/>
            <w:tcBorders>
              <w:top w:val="nil"/>
              <w:bottom w:val="nil"/>
            </w:tcBorders>
            <w:vAlign w:val="bottom"/>
          </w:tcPr>
          <w:p w14:paraId="35ED5A31"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82,1</w:t>
            </w:r>
          </w:p>
        </w:tc>
        <w:tc>
          <w:tcPr>
            <w:tcW w:w="223" w:type="pct"/>
            <w:tcBorders>
              <w:top w:val="nil"/>
              <w:bottom w:val="nil"/>
            </w:tcBorders>
            <w:vAlign w:val="bottom"/>
          </w:tcPr>
          <w:p w14:paraId="6DA9D2DA"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82,7</w:t>
            </w:r>
          </w:p>
        </w:tc>
        <w:tc>
          <w:tcPr>
            <w:tcW w:w="298" w:type="pct"/>
            <w:tcBorders>
              <w:top w:val="nil"/>
              <w:bottom w:val="nil"/>
              <w:right w:val="nil"/>
            </w:tcBorders>
            <w:vAlign w:val="bottom"/>
          </w:tcPr>
          <w:p w14:paraId="270AF939"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82,7</w:t>
            </w:r>
          </w:p>
        </w:tc>
        <w:tc>
          <w:tcPr>
            <w:tcW w:w="383" w:type="pct"/>
            <w:tcBorders>
              <w:top w:val="nil"/>
              <w:left w:val="nil"/>
              <w:bottom w:val="nil"/>
              <w:right w:val="nil"/>
            </w:tcBorders>
            <w:vAlign w:val="bottom"/>
          </w:tcPr>
          <w:p w14:paraId="6B07B547"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478 800</w:t>
            </w:r>
          </w:p>
        </w:tc>
        <w:tc>
          <w:tcPr>
            <w:tcW w:w="474" w:type="pct"/>
            <w:tcBorders>
              <w:top w:val="nil"/>
              <w:left w:val="nil"/>
              <w:bottom w:val="nil"/>
              <w:right w:val="nil"/>
            </w:tcBorders>
            <w:vAlign w:val="bottom"/>
          </w:tcPr>
          <w:p w14:paraId="21C26021"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396 000</w:t>
            </w:r>
          </w:p>
        </w:tc>
      </w:tr>
      <w:tr w:rsidR="00DA3C9E" w:rsidRPr="00FC11AF" w14:paraId="6893FE15" w14:textId="77777777" w:rsidTr="00EF6F89">
        <w:trPr>
          <w:trHeight w:val="179"/>
        </w:trPr>
        <w:tc>
          <w:tcPr>
            <w:tcW w:w="976" w:type="pct"/>
            <w:tcBorders>
              <w:top w:val="nil"/>
              <w:left w:val="nil"/>
              <w:bottom w:val="nil"/>
              <w:right w:val="nil"/>
            </w:tcBorders>
            <w:tcMar>
              <w:top w:w="15" w:type="dxa"/>
              <w:left w:w="15" w:type="dxa"/>
              <w:bottom w:w="0" w:type="dxa"/>
              <w:right w:w="15" w:type="dxa"/>
            </w:tcMar>
            <w:vAlign w:val="bottom"/>
          </w:tcPr>
          <w:p w14:paraId="316BF8F0" w14:textId="77777777" w:rsidR="00DA3C9E" w:rsidRPr="00D95705" w:rsidRDefault="00DA3C9E" w:rsidP="00B20A65">
            <w:pPr>
              <w:spacing w:after="0"/>
              <w:rPr>
                <w:rFonts w:eastAsia="Arial Unicode MS"/>
                <w:sz w:val="18"/>
                <w:szCs w:val="18"/>
              </w:rPr>
            </w:pPr>
            <w:r w:rsidRPr="00D95705">
              <w:rPr>
                <w:sz w:val="18"/>
                <w:szCs w:val="18"/>
              </w:rPr>
              <w:t>Samferdsel</w:t>
            </w:r>
          </w:p>
        </w:tc>
        <w:tc>
          <w:tcPr>
            <w:tcW w:w="294" w:type="pct"/>
            <w:tcBorders>
              <w:top w:val="nil"/>
              <w:left w:val="nil"/>
              <w:bottom w:val="nil"/>
              <w:right w:val="nil"/>
            </w:tcBorders>
            <w:vAlign w:val="bottom"/>
          </w:tcPr>
          <w:p w14:paraId="1639E32F"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89,5</w:t>
            </w:r>
          </w:p>
        </w:tc>
        <w:tc>
          <w:tcPr>
            <w:tcW w:w="294" w:type="pct"/>
            <w:tcBorders>
              <w:top w:val="nil"/>
              <w:left w:val="nil"/>
              <w:bottom w:val="nil"/>
              <w:right w:val="nil"/>
            </w:tcBorders>
            <w:vAlign w:val="bottom"/>
          </w:tcPr>
          <w:p w14:paraId="45CD4D4D"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89,2</w:t>
            </w:r>
          </w:p>
        </w:tc>
        <w:tc>
          <w:tcPr>
            <w:tcW w:w="294" w:type="pct"/>
            <w:tcBorders>
              <w:top w:val="nil"/>
              <w:left w:val="nil"/>
              <w:bottom w:val="nil"/>
              <w:right w:val="nil"/>
            </w:tcBorders>
            <w:vAlign w:val="bottom"/>
          </w:tcPr>
          <w:p w14:paraId="701B6AE5"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89,2</w:t>
            </w:r>
          </w:p>
        </w:tc>
        <w:tc>
          <w:tcPr>
            <w:tcW w:w="294" w:type="pct"/>
            <w:tcBorders>
              <w:top w:val="nil"/>
              <w:left w:val="nil"/>
              <w:bottom w:val="nil"/>
              <w:right w:val="single" w:sz="4" w:space="0" w:color="auto"/>
            </w:tcBorders>
            <w:vAlign w:val="bottom"/>
          </w:tcPr>
          <w:p w14:paraId="66E0D0EB"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88,3</w:t>
            </w:r>
          </w:p>
        </w:tc>
        <w:tc>
          <w:tcPr>
            <w:tcW w:w="294" w:type="pct"/>
            <w:tcBorders>
              <w:top w:val="nil"/>
              <w:left w:val="single" w:sz="4" w:space="0" w:color="auto"/>
              <w:bottom w:val="nil"/>
            </w:tcBorders>
            <w:vAlign w:val="bottom"/>
          </w:tcPr>
          <w:p w14:paraId="59BBBFC8"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88,8</w:t>
            </w:r>
          </w:p>
        </w:tc>
        <w:tc>
          <w:tcPr>
            <w:tcW w:w="294" w:type="pct"/>
            <w:tcBorders>
              <w:top w:val="nil"/>
              <w:bottom w:val="nil"/>
            </w:tcBorders>
            <w:vAlign w:val="bottom"/>
          </w:tcPr>
          <w:p w14:paraId="12B93187"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89,1</w:t>
            </w:r>
          </w:p>
        </w:tc>
        <w:tc>
          <w:tcPr>
            <w:tcW w:w="294" w:type="pct"/>
            <w:tcBorders>
              <w:top w:val="nil"/>
              <w:bottom w:val="nil"/>
            </w:tcBorders>
            <w:vAlign w:val="bottom"/>
          </w:tcPr>
          <w:p w14:paraId="65ADC1A9"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88,7</w:t>
            </w:r>
          </w:p>
        </w:tc>
        <w:tc>
          <w:tcPr>
            <w:tcW w:w="294" w:type="pct"/>
            <w:tcBorders>
              <w:top w:val="nil"/>
              <w:bottom w:val="nil"/>
            </w:tcBorders>
            <w:vAlign w:val="bottom"/>
          </w:tcPr>
          <w:p w14:paraId="55EB6462"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89,3</w:t>
            </w:r>
          </w:p>
        </w:tc>
        <w:tc>
          <w:tcPr>
            <w:tcW w:w="294" w:type="pct"/>
            <w:tcBorders>
              <w:top w:val="nil"/>
              <w:bottom w:val="nil"/>
            </w:tcBorders>
          </w:tcPr>
          <w:p w14:paraId="4276E456" w14:textId="77777777" w:rsidR="00DA3C9E" w:rsidRPr="008C5964" w:rsidRDefault="00DA3C9E" w:rsidP="00B20A65">
            <w:pPr>
              <w:autoSpaceDE w:val="0"/>
              <w:autoSpaceDN w:val="0"/>
              <w:adjustRightInd w:val="0"/>
              <w:spacing w:after="0"/>
              <w:jc w:val="center"/>
              <w:rPr>
                <w:rFonts w:ascii="Times New Roman" w:eastAsiaTheme="minorHAnsi" w:hAnsi="Times New Roman"/>
                <w:color w:val="000000"/>
                <w:sz w:val="18"/>
                <w:szCs w:val="18"/>
                <w:lang w:eastAsia="en-US"/>
              </w:rPr>
            </w:pPr>
            <w:r w:rsidRPr="008C5964">
              <w:rPr>
                <w:rFonts w:ascii="Times New Roman" w:eastAsiaTheme="minorHAnsi" w:hAnsi="Times New Roman"/>
                <w:color w:val="000000"/>
                <w:sz w:val="18"/>
                <w:szCs w:val="18"/>
                <w:lang w:eastAsia="en-US"/>
              </w:rPr>
              <w:t>90,4</w:t>
            </w:r>
          </w:p>
        </w:tc>
        <w:tc>
          <w:tcPr>
            <w:tcW w:w="223" w:type="pct"/>
            <w:tcBorders>
              <w:top w:val="nil"/>
              <w:bottom w:val="nil"/>
            </w:tcBorders>
            <w:vAlign w:val="bottom"/>
          </w:tcPr>
          <w:p w14:paraId="66227DD3"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89,2</w:t>
            </w:r>
          </w:p>
        </w:tc>
        <w:tc>
          <w:tcPr>
            <w:tcW w:w="298" w:type="pct"/>
            <w:tcBorders>
              <w:top w:val="nil"/>
              <w:bottom w:val="nil"/>
              <w:right w:val="nil"/>
            </w:tcBorders>
            <w:vAlign w:val="bottom"/>
          </w:tcPr>
          <w:p w14:paraId="5441E589"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90,7</w:t>
            </w:r>
          </w:p>
        </w:tc>
        <w:tc>
          <w:tcPr>
            <w:tcW w:w="383" w:type="pct"/>
            <w:tcBorders>
              <w:top w:val="nil"/>
              <w:left w:val="nil"/>
              <w:bottom w:val="nil"/>
              <w:right w:val="nil"/>
            </w:tcBorders>
            <w:vAlign w:val="bottom"/>
          </w:tcPr>
          <w:p w14:paraId="7F0FA975"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504 000</w:t>
            </w:r>
          </w:p>
        </w:tc>
        <w:tc>
          <w:tcPr>
            <w:tcW w:w="474" w:type="pct"/>
            <w:tcBorders>
              <w:top w:val="nil"/>
              <w:left w:val="nil"/>
              <w:bottom w:val="nil"/>
              <w:right w:val="nil"/>
            </w:tcBorders>
            <w:vAlign w:val="bottom"/>
          </w:tcPr>
          <w:p w14:paraId="16E4F4E7"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457 200</w:t>
            </w:r>
          </w:p>
        </w:tc>
      </w:tr>
      <w:tr w:rsidR="00DA3C9E" w:rsidRPr="00FC11AF" w14:paraId="00FF723B" w14:textId="77777777" w:rsidTr="00EF6F89">
        <w:trPr>
          <w:trHeight w:val="179"/>
        </w:trPr>
        <w:tc>
          <w:tcPr>
            <w:tcW w:w="976" w:type="pct"/>
            <w:tcBorders>
              <w:top w:val="nil"/>
              <w:left w:val="nil"/>
              <w:bottom w:val="nil"/>
              <w:right w:val="nil"/>
            </w:tcBorders>
            <w:tcMar>
              <w:top w:w="15" w:type="dxa"/>
              <w:left w:w="15" w:type="dxa"/>
              <w:bottom w:w="0" w:type="dxa"/>
              <w:right w:w="15" w:type="dxa"/>
            </w:tcMar>
            <w:vAlign w:val="bottom"/>
          </w:tcPr>
          <w:p w14:paraId="1087665D" w14:textId="77777777" w:rsidR="00DA3C9E" w:rsidRPr="00D95705" w:rsidRDefault="00DA3C9E" w:rsidP="00B20A65">
            <w:pPr>
              <w:spacing w:after="0"/>
              <w:rPr>
                <w:rFonts w:eastAsia="Arial Unicode MS"/>
                <w:sz w:val="18"/>
                <w:szCs w:val="18"/>
              </w:rPr>
            </w:pPr>
            <w:r w:rsidRPr="00D95705">
              <w:rPr>
                <w:sz w:val="18"/>
                <w:szCs w:val="18"/>
              </w:rPr>
              <w:t>Hotell- og restaurantvirksomhet</w:t>
            </w:r>
          </w:p>
        </w:tc>
        <w:tc>
          <w:tcPr>
            <w:tcW w:w="294" w:type="pct"/>
            <w:tcBorders>
              <w:top w:val="nil"/>
              <w:left w:val="nil"/>
              <w:bottom w:val="nil"/>
              <w:right w:val="nil"/>
            </w:tcBorders>
            <w:vAlign w:val="bottom"/>
          </w:tcPr>
          <w:p w14:paraId="356EC57E"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89,0</w:t>
            </w:r>
          </w:p>
        </w:tc>
        <w:tc>
          <w:tcPr>
            <w:tcW w:w="294" w:type="pct"/>
            <w:tcBorders>
              <w:top w:val="nil"/>
              <w:left w:val="nil"/>
              <w:bottom w:val="nil"/>
              <w:right w:val="nil"/>
            </w:tcBorders>
            <w:vAlign w:val="bottom"/>
          </w:tcPr>
          <w:p w14:paraId="759B4617"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89,4</w:t>
            </w:r>
          </w:p>
        </w:tc>
        <w:tc>
          <w:tcPr>
            <w:tcW w:w="294" w:type="pct"/>
            <w:tcBorders>
              <w:top w:val="nil"/>
              <w:left w:val="nil"/>
              <w:bottom w:val="nil"/>
              <w:right w:val="nil"/>
            </w:tcBorders>
            <w:vAlign w:val="bottom"/>
          </w:tcPr>
          <w:p w14:paraId="60DCDFF5"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88,9</w:t>
            </w:r>
          </w:p>
        </w:tc>
        <w:tc>
          <w:tcPr>
            <w:tcW w:w="294" w:type="pct"/>
            <w:tcBorders>
              <w:top w:val="nil"/>
              <w:left w:val="nil"/>
              <w:bottom w:val="nil"/>
              <w:right w:val="single" w:sz="4" w:space="0" w:color="auto"/>
            </w:tcBorders>
            <w:vAlign w:val="bottom"/>
          </w:tcPr>
          <w:p w14:paraId="1488A0BC"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90,2</w:t>
            </w:r>
          </w:p>
        </w:tc>
        <w:tc>
          <w:tcPr>
            <w:tcW w:w="294" w:type="pct"/>
            <w:tcBorders>
              <w:top w:val="nil"/>
              <w:left w:val="single" w:sz="4" w:space="0" w:color="auto"/>
              <w:bottom w:val="nil"/>
            </w:tcBorders>
            <w:vAlign w:val="bottom"/>
          </w:tcPr>
          <w:p w14:paraId="588B00E5"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90,1</w:t>
            </w:r>
          </w:p>
        </w:tc>
        <w:tc>
          <w:tcPr>
            <w:tcW w:w="294" w:type="pct"/>
            <w:tcBorders>
              <w:top w:val="nil"/>
              <w:bottom w:val="nil"/>
            </w:tcBorders>
            <w:vAlign w:val="bottom"/>
          </w:tcPr>
          <w:p w14:paraId="67AE3EA9"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90,0</w:t>
            </w:r>
          </w:p>
        </w:tc>
        <w:tc>
          <w:tcPr>
            <w:tcW w:w="294" w:type="pct"/>
            <w:tcBorders>
              <w:top w:val="nil"/>
              <w:bottom w:val="nil"/>
            </w:tcBorders>
            <w:vAlign w:val="bottom"/>
          </w:tcPr>
          <w:p w14:paraId="22A6C1B2"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89,6</w:t>
            </w:r>
          </w:p>
        </w:tc>
        <w:tc>
          <w:tcPr>
            <w:tcW w:w="294" w:type="pct"/>
            <w:tcBorders>
              <w:top w:val="nil"/>
              <w:bottom w:val="nil"/>
            </w:tcBorders>
            <w:vAlign w:val="bottom"/>
          </w:tcPr>
          <w:p w14:paraId="72619D82"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90,2</w:t>
            </w:r>
          </w:p>
        </w:tc>
        <w:tc>
          <w:tcPr>
            <w:tcW w:w="294" w:type="pct"/>
            <w:tcBorders>
              <w:top w:val="nil"/>
              <w:bottom w:val="nil"/>
            </w:tcBorders>
            <w:vAlign w:val="bottom"/>
          </w:tcPr>
          <w:p w14:paraId="25E467E2"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91,1</w:t>
            </w:r>
          </w:p>
        </w:tc>
        <w:tc>
          <w:tcPr>
            <w:tcW w:w="223" w:type="pct"/>
            <w:tcBorders>
              <w:top w:val="nil"/>
              <w:bottom w:val="nil"/>
            </w:tcBorders>
            <w:vAlign w:val="bottom"/>
          </w:tcPr>
          <w:p w14:paraId="4672130E"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91,0</w:t>
            </w:r>
          </w:p>
        </w:tc>
        <w:tc>
          <w:tcPr>
            <w:tcW w:w="298" w:type="pct"/>
            <w:tcBorders>
              <w:top w:val="nil"/>
              <w:bottom w:val="nil"/>
              <w:right w:val="nil"/>
            </w:tcBorders>
            <w:vAlign w:val="bottom"/>
          </w:tcPr>
          <w:p w14:paraId="2151E4A4"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91,8</w:t>
            </w:r>
          </w:p>
        </w:tc>
        <w:tc>
          <w:tcPr>
            <w:tcW w:w="383" w:type="pct"/>
            <w:tcBorders>
              <w:top w:val="nil"/>
              <w:left w:val="nil"/>
              <w:bottom w:val="nil"/>
              <w:right w:val="nil"/>
            </w:tcBorders>
            <w:vAlign w:val="bottom"/>
          </w:tcPr>
          <w:p w14:paraId="5DBD3846"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367 200</w:t>
            </w:r>
          </w:p>
        </w:tc>
        <w:tc>
          <w:tcPr>
            <w:tcW w:w="474" w:type="pct"/>
            <w:tcBorders>
              <w:top w:val="nil"/>
              <w:left w:val="nil"/>
              <w:bottom w:val="nil"/>
              <w:right w:val="nil"/>
            </w:tcBorders>
            <w:vAlign w:val="bottom"/>
          </w:tcPr>
          <w:p w14:paraId="3F24C752"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337 200</w:t>
            </w:r>
          </w:p>
        </w:tc>
      </w:tr>
      <w:tr w:rsidR="00DA3C9E" w:rsidRPr="00FC11AF" w14:paraId="75B95940" w14:textId="77777777" w:rsidTr="00EF6F89">
        <w:trPr>
          <w:trHeight w:val="179"/>
        </w:trPr>
        <w:tc>
          <w:tcPr>
            <w:tcW w:w="976" w:type="pct"/>
            <w:tcBorders>
              <w:top w:val="nil"/>
              <w:left w:val="nil"/>
              <w:bottom w:val="nil"/>
              <w:right w:val="nil"/>
            </w:tcBorders>
            <w:tcMar>
              <w:top w:w="15" w:type="dxa"/>
              <w:left w:w="15" w:type="dxa"/>
              <w:bottom w:w="0" w:type="dxa"/>
              <w:right w:w="15" w:type="dxa"/>
            </w:tcMar>
            <w:vAlign w:val="bottom"/>
          </w:tcPr>
          <w:p w14:paraId="62CDE1F3" w14:textId="77777777" w:rsidR="00DA3C9E" w:rsidRPr="00D95705" w:rsidRDefault="00DA3C9E" w:rsidP="00B20A65">
            <w:pPr>
              <w:spacing w:after="0"/>
              <w:rPr>
                <w:sz w:val="18"/>
                <w:szCs w:val="18"/>
              </w:rPr>
            </w:pPr>
            <w:r>
              <w:rPr>
                <w:sz w:val="18"/>
                <w:szCs w:val="18"/>
              </w:rPr>
              <w:t>Informasjon og kommunikasjon</w:t>
            </w:r>
          </w:p>
        </w:tc>
        <w:tc>
          <w:tcPr>
            <w:tcW w:w="294" w:type="pct"/>
            <w:tcBorders>
              <w:top w:val="nil"/>
              <w:left w:val="nil"/>
              <w:bottom w:val="nil"/>
              <w:right w:val="nil"/>
            </w:tcBorders>
            <w:vAlign w:val="bottom"/>
          </w:tcPr>
          <w:p w14:paraId="0F62210A" w14:textId="77777777" w:rsidR="00DA3C9E" w:rsidRPr="00363254" w:rsidRDefault="00E76716" w:rsidP="00B20A65">
            <w:pPr>
              <w:spacing w:after="0"/>
              <w:jc w:val="center"/>
              <w:rPr>
                <w:rFonts w:ascii="Times New Roman" w:hAnsi="Times New Roman"/>
                <w:sz w:val="18"/>
                <w:szCs w:val="18"/>
              </w:rPr>
            </w:pPr>
            <w:r>
              <w:rPr>
                <w:rFonts w:ascii="Times New Roman" w:hAnsi="Times New Roman"/>
                <w:sz w:val="18"/>
                <w:szCs w:val="18"/>
              </w:rPr>
              <w:t>-</w:t>
            </w:r>
          </w:p>
        </w:tc>
        <w:tc>
          <w:tcPr>
            <w:tcW w:w="294" w:type="pct"/>
            <w:tcBorders>
              <w:top w:val="nil"/>
              <w:left w:val="nil"/>
              <w:bottom w:val="nil"/>
              <w:right w:val="nil"/>
            </w:tcBorders>
            <w:vAlign w:val="bottom"/>
          </w:tcPr>
          <w:p w14:paraId="429A41F1" w14:textId="77777777" w:rsidR="00DA3C9E" w:rsidRPr="00363254" w:rsidRDefault="00E76716" w:rsidP="00B20A65">
            <w:pPr>
              <w:spacing w:after="0"/>
              <w:jc w:val="center"/>
              <w:rPr>
                <w:rFonts w:ascii="Times New Roman" w:hAnsi="Times New Roman"/>
                <w:sz w:val="18"/>
                <w:szCs w:val="18"/>
              </w:rPr>
            </w:pPr>
            <w:r>
              <w:rPr>
                <w:rFonts w:ascii="Times New Roman" w:hAnsi="Times New Roman"/>
                <w:sz w:val="18"/>
                <w:szCs w:val="18"/>
              </w:rPr>
              <w:t>-</w:t>
            </w:r>
          </w:p>
        </w:tc>
        <w:tc>
          <w:tcPr>
            <w:tcW w:w="294" w:type="pct"/>
            <w:tcBorders>
              <w:top w:val="nil"/>
              <w:left w:val="nil"/>
              <w:bottom w:val="nil"/>
              <w:right w:val="nil"/>
            </w:tcBorders>
            <w:vAlign w:val="bottom"/>
          </w:tcPr>
          <w:p w14:paraId="32E09511" w14:textId="77777777" w:rsidR="00DA3C9E" w:rsidRPr="00363254" w:rsidRDefault="00E76716" w:rsidP="00B20A65">
            <w:pPr>
              <w:spacing w:after="0"/>
              <w:jc w:val="center"/>
              <w:rPr>
                <w:rFonts w:ascii="Times New Roman" w:hAnsi="Times New Roman"/>
                <w:sz w:val="18"/>
                <w:szCs w:val="18"/>
              </w:rPr>
            </w:pPr>
            <w:r>
              <w:rPr>
                <w:rFonts w:ascii="Times New Roman" w:hAnsi="Times New Roman"/>
                <w:sz w:val="18"/>
                <w:szCs w:val="18"/>
              </w:rPr>
              <w:t>-</w:t>
            </w:r>
          </w:p>
        </w:tc>
        <w:tc>
          <w:tcPr>
            <w:tcW w:w="294" w:type="pct"/>
            <w:tcBorders>
              <w:top w:val="nil"/>
              <w:left w:val="nil"/>
              <w:bottom w:val="nil"/>
              <w:right w:val="single" w:sz="4" w:space="0" w:color="auto"/>
            </w:tcBorders>
            <w:vAlign w:val="bottom"/>
          </w:tcPr>
          <w:p w14:paraId="6CC370D5" w14:textId="77777777" w:rsidR="00DA3C9E" w:rsidRPr="00363254" w:rsidRDefault="00E76716" w:rsidP="00B20A65">
            <w:pPr>
              <w:spacing w:after="0"/>
              <w:jc w:val="center"/>
              <w:rPr>
                <w:rFonts w:ascii="Times New Roman" w:hAnsi="Times New Roman"/>
                <w:sz w:val="18"/>
                <w:szCs w:val="18"/>
              </w:rPr>
            </w:pPr>
            <w:r>
              <w:rPr>
                <w:rFonts w:ascii="Times New Roman" w:hAnsi="Times New Roman"/>
                <w:sz w:val="18"/>
                <w:szCs w:val="18"/>
              </w:rPr>
              <w:t>-</w:t>
            </w:r>
          </w:p>
        </w:tc>
        <w:tc>
          <w:tcPr>
            <w:tcW w:w="294" w:type="pct"/>
            <w:tcBorders>
              <w:top w:val="nil"/>
              <w:left w:val="single" w:sz="4" w:space="0" w:color="auto"/>
              <w:bottom w:val="nil"/>
            </w:tcBorders>
            <w:vAlign w:val="bottom"/>
          </w:tcPr>
          <w:p w14:paraId="20CC9C68"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82,6</w:t>
            </w:r>
          </w:p>
        </w:tc>
        <w:tc>
          <w:tcPr>
            <w:tcW w:w="294" w:type="pct"/>
            <w:tcBorders>
              <w:top w:val="nil"/>
              <w:bottom w:val="nil"/>
            </w:tcBorders>
            <w:vAlign w:val="bottom"/>
          </w:tcPr>
          <w:p w14:paraId="64991387"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83,1</w:t>
            </w:r>
          </w:p>
        </w:tc>
        <w:tc>
          <w:tcPr>
            <w:tcW w:w="294" w:type="pct"/>
            <w:tcBorders>
              <w:top w:val="nil"/>
              <w:bottom w:val="nil"/>
            </w:tcBorders>
            <w:vAlign w:val="bottom"/>
          </w:tcPr>
          <w:p w14:paraId="5F8F0266"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83,4</w:t>
            </w:r>
          </w:p>
        </w:tc>
        <w:tc>
          <w:tcPr>
            <w:tcW w:w="294" w:type="pct"/>
            <w:tcBorders>
              <w:top w:val="nil"/>
              <w:bottom w:val="nil"/>
            </w:tcBorders>
            <w:vAlign w:val="bottom"/>
          </w:tcPr>
          <w:p w14:paraId="0C5BF387"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82,9</w:t>
            </w:r>
          </w:p>
        </w:tc>
        <w:tc>
          <w:tcPr>
            <w:tcW w:w="294" w:type="pct"/>
            <w:tcBorders>
              <w:top w:val="nil"/>
              <w:bottom w:val="nil"/>
            </w:tcBorders>
            <w:vAlign w:val="bottom"/>
          </w:tcPr>
          <w:p w14:paraId="3E9A27CF"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84,5</w:t>
            </w:r>
          </w:p>
        </w:tc>
        <w:tc>
          <w:tcPr>
            <w:tcW w:w="223" w:type="pct"/>
            <w:tcBorders>
              <w:top w:val="nil"/>
              <w:bottom w:val="nil"/>
            </w:tcBorders>
            <w:vAlign w:val="bottom"/>
          </w:tcPr>
          <w:p w14:paraId="3AF5F8A8"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85,1</w:t>
            </w:r>
          </w:p>
        </w:tc>
        <w:tc>
          <w:tcPr>
            <w:tcW w:w="298" w:type="pct"/>
            <w:tcBorders>
              <w:top w:val="nil"/>
              <w:bottom w:val="nil"/>
              <w:right w:val="nil"/>
            </w:tcBorders>
            <w:vAlign w:val="bottom"/>
          </w:tcPr>
          <w:p w14:paraId="09511150"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85,3</w:t>
            </w:r>
          </w:p>
        </w:tc>
        <w:tc>
          <w:tcPr>
            <w:tcW w:w="383" w:type="pct"/>
            <w:tcBorders>
              <w:top w:val="nil"/>
              <w:left w:val="nil"/>
              <w:bottom w:val="nil"/>
              <w:right w:val="nil"/>
            </w:tcBorders>
            <w:vAlign w:val="bottom"/>
          </w:tcPr>
          <w:p w14:paraId="0611DA18"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675 600</w:t>
            </w:r>
          </w:p>
        </w:tc>
        <w:tc>
          <w:tcPr>
            <w:tcW w:w="474" w:type="pct"/>
            <w:tcBorders>
              <w:top w:val="nil"/>
              <w:left w:val="nil"/>
              <w:bottom w:val="nil"/>
              <w:right w:val="nil"/>
            </w:tcBorders>
            <w:vAlign w:val="bottom"/>
          </w:tcPr>
          <w:p w14:paraId="75E88EC0"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576 000</w:t>
            </w:r>
          </w:p>
        </w:tc>
      </w:tr>
      <w:tr w:rsidR="00DA3C9E" w:rsidRPr="00FC11AF" w14:paraId="19B049EE" w14:textId="77777777" w:rsidTr="00EF6F89">
        <w:trPr>
          <w:trHeight w:val="255"/>
        </w:trPr>
        <w:tc>
          <w:tcPr>
            <w:tcW w:w="976" w:type="pct"/>
            <w:tcBorders>
              <w:top w:val="nil"/>
              <w:left w:val="nil"/>
              <w:bottom w:val="nil"/>
              <w:right w:val="nil"/>
            </w:tcBorders>
            <w:tcMar>
              <w:top w:w="15" w:type="dxa"/>
              <w:left w:w="15" w:type="dxa"/>
              <w:bottom w:w="0" w:type="dxa"/>
              <w:right w:w="15" w:type="dxa"/>
            </w:tcMar>
            <w:vAlign w:val="bottom"/>
          </w:tcPr>
          <w:p w14:paraId="62A1F60B" w14:textId="77777777" w:rsidR="00DA3C9E" w:rsidRPr="00D95705" w:rsidRDefault="00DA3C9E" w:rsidP="00B20A65">
            <w:pPr>
              <w:spacing w:after="0"/>
              <w:rPr>
                <w:rFonts w:eastAsia="Arial Unicode MS"/>
                <w:sz w:val="18"/>
                <w:szCs w:val="18"/>
              </w:rPr>
            </w:pPr>
            <w:r>
              <w:rPr>
                <w:rFonts w:eastAsia="Arial Unicode MS"/>
                <w:sz w:val="18"/>
                <w:szCs w:val="18"/>
              </w:rPr>
              <w:t>Finanstjenester</w:t>
            </w:r>
          </w:p>
        </w:tc>
        <w:tc>
          <w:tcPr>
            <w:tcW w:w="294" w:type="pct"/>
            <w:tcBorders>
              <w:top w:val="nil"/>
              <w:left w:val="nil"/>
              <w:bottom w:val="nil"/>
              <w:right w:val="nil"/>
            </w:tcBorders>
            <w:vAlign w:val="bottom"/>
          </w:tcPr>
          <w:p w14:paraId="7A68DF55" w14:textId="77777777" w:rsidR="00DA3C9E" w:rsidRPr="00363254" w:rsidRDefault="00E76716" w:rsidP="00B20A65">
            <w:pPr>
              <w:spacing w:after="0"/>
              <w:jc w:val="center"/>
              <w:rPr>
                <w:rFonts w:ascii="Times New Roman" w:hAnsi="Times New Roman"/>
                <w:sz w:val="18"/>
                <w:szCs w:val="18"/>
              </w:rPr>
            </w:pPr>
            <w:r>
              <w:rPr>
                <w:rFonts w:ascii="Times New Roman" w:hAnsi="Times New Roman"/>
                <w:sz w:val="18"/>
                <w:szCs w:val="18"/>
              </w:rPr>
              <w:t>-</w:t>
            </w:r>
          </w:p>
        </w:tc>
        <w:tc>
          <w:tcPr>
            <w:tcW w:w="294" w:type="pct"/>
            <w:tcBorders>
              <w:top w:val="nil"/>
              <w:left w:val="nil"/>
              <w:bottom w:val="nil"/>
              <w:right w:val="nil"/>
            </w:tcBorders>
            <w:vAlign w:val="bottom"/>
          </w:tcPr>
          <w:p w14:paraId="244CA9D4" w14:textId="77777777" w:rsidR="00DA3C9E" w:rsidRPr="00363254" w:rsidRDefault="00E76716" w:rsidP="00B20A65">
            <w:pPr>
              <w:spacing w:after="0"/>
              <w:jc w:val="center"/>
              <w:rPr>
                <w:rFonts w:ascii="Times New Roman" w:hAnsi="Times New Roman"/>
                <w:sz w:val="18"/>
                <w:szCs w:val="18"/>
              </w:rPr>
            </w:pPr>
            <w:r>
              <w:rPr>
                <w:rFonts w:ascii="Times New Roman" w:hAnsi="Times New Roman"/>
                <w:sz w:val="18"/>
                <w:szCs w:val="18"/>
              </w:rPr>
              <w:t>-</w:t>
            </w:r>
          </w:p>
        </w:tc>
        <w:tc>
          <w:tcPr>
            <w:tcW w:w="294" w:type="pct"/>
            <w:tcBorders>
              <w:top w:val="nil"/>
              <w:left w:val="nil"/>
              <w:bottom w:val="nil"/>
              <w:right w:val="nil"/>
            </w:tcBorders>
            <w:vAlign w:val="bottom"/>
          </w:tcPr>
          <w:p w14:paraId="2C1BFDDD" w14:textId="77777777" w:rsidR="00DA3C9E" w:rsidRPr="00363254" w:rsidRDefault="00E76716" w:rsidP="00B20A65">
            <w:pPr>
              <w:spacing w:after="0"/>
              <w:jc w:val="center"/>
              <w:rPr>
                <w:rFonts w:ascii="Times New Roman" w:hAnsi="Times New Roman"/>
                <w:sz w:val="18"/>
                <w:szCs w:val="18"/>
              </w:rPr>
            </w:pPr>
            <w:r>
              <w:rPr>
                <w:rFonts w:ascii="Times New Roman" w:hAnsi="Times New Roman"/>
                <w:sz w:val="18"/>
                <w:szCs w:val="18"/>
              </w:rPr>
              <w:t>-</w:t>
            </w:r>
          </w:p>
        </w:tc>
        <w:tc>
          <w:tcPr>
            <w:tcW w:w="294" w:type="pct"/>
            <w:tcBorders>
              <w:top w:val="nil"/>
              <w:left w:val="nil"/>
              <w:bottom w:val="nil"/>
              <w:right w:val="single" w:sz="4" w:space="0" w:color="auto"/>
            </w:tcBorders>
            <w:vAlign w:val="bottom"/>
          </w:tcPr>
          <w:p w14:paraId="48E6C494" w14:textId="77777777" w:rsidR="00DA3C9E" w:rsidRPr="00363254" w:rsidRDefault="00E76716" w:rsidP="00B20A65">
            <w:pPr>
              <w:spacing w:after="0"/>
              <w:jc w:val="center"/>
              <w:rPr>
                <w:rFonts w:ascii="Times New Roman" w:hAnsi="Times New Roman"/>
                <w:sz w:val="18"/>
                <w:szCs w:val="18"/>
              </w:rPr>
            </w:pPr>
            <w:r>
              <w:rPr>
                <w:rFonts w:ascii="Times New Roman" w:hAnsi="Times New Roman"/>
                <w:sz w:val="18"/>
                <w:szCs w:val="18"/>
              </w:rPr>
              <w:t>-</w:t>
            </w:r>
          </w:p>
        </w:tc>
        <w:tc>
          <w:tcPr>
            <w:tcW w:w="294" w:type="pct"/>
            <w:tcBorders>
              <w:top w:val="nil"/>
              <w:left w:val="single" w:sz="4" w:space="0" w:color="auto"/>
              <w:bottom w:val="nil"/>
            </w:tcBorders>
            <w:vAlign w:val="bottom"/>
          </w:tcPr>
          <w:p w14:paraId="58102B92" w14:textId="77777777" w:rsidR="00DA3C9E" w:rsidRDefault="00DA3C9E" w:rsidP="00B20A65">
            <w:pPr>
              <w:spacing w:after="0"/>
              <w:jc w:val="center"/>
              <w:rPr>
                <w:color w:val="000000"/>
                <w:sz w:val="18"/>
                <w:szCs w:val="18"/>
              </w:rPr>
            </w:pPr>
            <w:r>
              <w:rPr>
                <w:color w:val="000000"/>
                <w:sz w:val="18"/>
                <w:szCs w:val="18"/>
              </w:rPr>
              <w:t>64,2</w:t>
            </w:r>
          </w:p>
        </w:tc>
        <w:tc>
          <w:tcPr>
            <w:tcW w:w="294" w:type="pct"/>
            <w:tcBorders>
              <w:top w:val="nil"/>
              <w:bottom w:val="nil"/>
            </w:tcBorders>
            <w:vAlign w:val="bottom"/>
          </w:tcPr>
          <w:p w14:paraId="7F6456A7" w14:textId="77777777" w:rsidR="00DA3C9E" w:rsidRDefault="00DA3C9E" w:rsidP="00B20A65">
            <w:pPr>
              <w:spacing w:after="0"/>
              <w:jc w:val="center"/>
              <w:rPr>
                <w:color w:val="000000"/>
                <w:sz w:val="18"/>
                <w:szCs w:val="18"/>
              </w:rPr>
            </w:pPr>
            <w:r>
              <w:rPr>
                <w:color w:val="000000"/>
                <w:sz w:val="18"/>
                <w:szCs w:val="18"/>
              </w:rPr>
              <w:t>68,0</w:t>
            </w:r>
          </w:p>
        </w:tc>
        <w:tc>
          <w:tcPr>
            <w:tcW w:w="294" w:type="pct"/>
            <w:tcBorders>
              <w:top w:val="nil"/>
              <w:bottom w:val="nil"/>
            </w:tcBorders>
            <w:vAlign w:val="bottom"/>
          </w:tcPr>
          <w:p w14:paraId="475D43F9" w14:textId="77777777" w:rsidR="00DA3C9E" w:rsidRDefault="00DA3C9E" w:rsidP="00B20A65">
            <w:pPr>
              <w:spacing w:after="0"/>
              <w:jc w:val="center"/>
              <w:rPr>
                <w:color w:val="000000"/>
                <w:sz w:val="18"/>
                <w:szCs w:val="18"/>
              </w:rPr>
            </w:pPr>
            <w:r>
              <w:rPr>
                <w:color w:val="000000"/>
                <w:sz w:val="18"/>
                <w:szCs w:val="18"/>
              </w:rPr>
              <w:t>68,1</w:t>
            </w:r>
          </w:p>
        </w:tc>
        <w:tc>
          <w:tcPr>
            <w:tcW w:w="294" w:type="pct"/>
            <w:tcBorders>
              <w:top w:val="nil"/>
              <w:bottom w:val="nil"/>
            </w:tcBorders>
            <w:vAlign w:val="bottom"/>
          </w:tcPr>
          <w:p w14:paraId="6005724F" w14:textId="77777777" w:rsidR="00DA3C9E" w:rsidRDefault="00DA3C9E" w:rsidP="00B20A65">
            <w:pPr>
              <w:spacing w:after="0"/>
              <w:jc w:val="center"/>
              <w:rPr>
                <w:color w:val="000000"/>
                <w:sz w:val="18"/>
                <w:szCs w:val="18"/>
              </w:rPr>
            </w:pPr>
            <w:r>
              <w:rPr>
                <w:color w:val="000000"/>
                <w:sz w:val="18"/>
                <w:szCs w:val="18"/>
              </w:rPr>
              <w:t>67,4</w:t>
            </w:r>
          </w:p>
        </w:tc>
        <w:tc>
          <w:tcPr>
            <w:tcW w:w="294" w:type="pct"/>
            <w:tcBorders>
              <w:top w:val="nil"/>
              <w:bottom w:val="nil"/>
            </w:tcBorders>
            <w:vAlign w:val="bottom"/>
          </w:tcPr>
          <w:p w14:paraId="4BFF2C25"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69,6</w:t>
            </w:r>
          </w:p>
        </w:tc>
        <w:tc>
          <w:tcPr>
            <w:tcW w:w="223" w:type="pct"/>
            <w:tcBorders>
              <w:top w:val="nil"/>
              <w:bottom w:val="nil"/>
            </w:tcBorders>
            <w:vAlign w:val="bottom"/>
          </w:tcPr>
          <w:p w14:paraId="174D736A"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70,5</w:t>
            </w:r>
          </w:p>
        </w:tc>
        <w:tc>
          <w:tcPr>
            <w:tcW w:w="298" w:type="pct"/>
            <w:tcBorders>
              <w:top w:val="nil"/>
              <w:bottom w:val="nil"/>
              <w:right w:val="nil"/>
            </w:tcBorders>
            <w:vAlign w:val="bottom"/>
          </w:tcPr>
          <w:p w14:paraId="11517989"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70,2</w:t>
            </w:r>
          </w:p>
        </w:tc>
        <w:tc>
          <w:tcPr>
            <w:tcW w:w="383" w:type="pct"/>
            <w:tcBorders>
              <w:top w:val="nil"/>
              <w:left w:val="nil"/>
              <w:bottom w:val="nil"/>
              <w:right w:val="nil"/>
            </w:tcBorders>
            <w:vAlign w:val="bottom"/>
          </w:tcPr>
          <w:p w14:paraId="7DB02FF1"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818 400</w:t>
            </w:r>
          </w:p>
        </w:tc>
        <w:tc>
          <w:tcPr>
            <w:tcW w:w="474" w:type="pct"/>
            <w:tcBorders>
              <w:top w:val="nil"/>
              <w:left w:val="nil"/>
              <w:bottom w:val="nil"/>
              <w:right w:val="nil"/>
            </w:tcBorders>
            <w:vAlign w:val="bottom"/>
          </w:tcPr>
          <w:p w14:paraId="6B2C3313"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574 800</w:t>
            </w:r>
          </w:p>
        </w:tc>
      </w:tr>
      <w:tr w:rsidR="00DA3C9E" w:rsidRPr="00FC11AF" w14:paraId="3A401ED0" w14:textId="77777777" w:rsidTr="00EF6F89">
        <w:trPr>
          <w:trHeight w:val="255"/>
        </w:trPr>
        <w:tc>
          <w:tcPr>
            <w:tcW w:w="976" w:type="pct"/>
            <w:tcBorders>
              <w:top w:val="nil"/>
              <w:left w:val="nil"/>
              <w:bottom w:val="nil"/>
              <w:right w:val="nil"/>
            </w:tcBorders>
            <w:tcMar>
              <w:top w:w="15" w:type="dxa"/>
              <w:left w:w="15" w:type="dxa"/>
              <w:bottom w:w="0" w:type="dxa"/>
              <w:right w:w="15" w:type="dxa"/>
            </w:tcMar>
            <w:vAlign w:val="bottom"/>
          </w:tcPr>
          <w:p w14:paraId="1B10E3D7" w14:textId="77777777" w:rsidR="00DA3C9E" w:rsidRPr="00D95705" w:rsidRDefault="00DA3C9E" w:rsidP="00B20A65">
            <w:pPr>
              <w:spacing w:after="0"/>
              <w:rPr>
                <w:sz w:val="18"/>
                <w:szCs w:val="18"/>
              </w:rPr>
            </w:pPr>
            <w:r w:rsidRPr="00D95705">
              <w:rPr>
                <w:sz w:val="18"/>
                <w:szCs w:val="18"/>
              </w:rPr>
              <w:t>Omsetning og drift av fast eiendom</w:t>
            </w:r>
          </w:p>
        </w:tc>
        <w:tc>
          <w:tcPr>
            <w:tcW w:w="294" w:type="pct"/>
            <w:tcBorders>
              <w:top w:val="nil"/>
              <w:left w:val="nil"/>
              <w:bottom w:val="nil"/>
              <w:right w:val="nil"/>
            </w:tcBorders>
            <w:vAlign w:val="bottom"/>
          </w:tcPr>
          <w:p w14:paraId="7201614E"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bottom w:val="nil"/>
              <w:right w:val="nil"/>
            </w:tcBorders>
            <w:vAlign w:val="bottom"/>
          </w:tcPr>
          <w:p w14:paraId="39FEE200"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bottom w:val="nil"/>
              <w:right w:val="nil"/>
            </w:tcBorders>
            <w:vAlign w:val="bottom"/>
          </w:tcPr>
          <w:p w14:paraId="0230ECCD"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bottom w:val="nil"/>
              <w:right w:val="single" w:sz="4" w:space="0" w:color="auto"/>
            </w:tcBorders>
            <w:vAlign w:val="bottom"/>
          </w:tcPr>
          <w:p w14:paraId="29F91CF0"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single" w:sz="4" w:space="0" w:color="auto"/>
              <w:bottom w:val="nil"/>
            </w:tcBorders>
            <w:vAlign w:val="bottom"/>
          </w:tcPr>
          <w:p w14:paraId="54D7D9F6"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80,2</w:t>
            </w:r>
          </w:p>
        </w:tc>
        <w:tc>
          <w:tcPr>
            <w:tcW w:w="294" w:type="pct"/>
            <w:tcBorders>
              <w:top w:val="nil"/>
              <w:bottom w:val="nil"/>
            </w:tcBorders>
            <w:vAlign w:val="bottom"/>
          </w:tcPr>
          <w:p w14:paraId="77D19ABD"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81,1</w:t>
            </w:r>
          </w:p>
        </w:tc>
        <w:tc>
          <w:tcPr>
            <w:tcW w:w="294" w:type="pct"/>
            <w:tcBorders>
              <w:top w:val="nil"/>
              <w:bottom w:val="nil"/>
            </w:tcBorders>
            <w:vAlign w:val="bottom"/>
          </w:tcPr>
          <w:p w14:paraId="3F2A45D6"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80,3</w:t>
            </w:r>
          </w:p>
        </w:tc>
        <w:tc>
          <w:tcPr>
            <w:tcW w:w="294" w:type="pct"/>
            <w:tcBorders>
              <w:top w:val="nil"/>
              <w:bottom w:val="nil"/>
            </w:tcBorders>
            <w:vAlign w:val="bottom"/>
          </w:tcPr>
          <w:p w14:paraId="53C60246"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84,6</w:t>
            </w:r>
          </w:p>
        </w:tc>
        <w:tc>
          <w:tcPr>
            <w:tcW w:w="294" w:type="pct"/>
            <w:tcBorders>
              <w:top w:val="nil"/>
              <w:bottom w:val="nil"/>
            </w:tcBorders>
            <w:vAlign w:val="bottom"/>
          </w:tcPr>
          <w:p w14:paraId="6E5227F8"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83,4</w:t>
            </w:r>
          </w:p>
        </w:tc>
        <w:tc>
          <w:tcPr>
            <w:tcW w:w="223" w:type="pct"/>
            <w:tcBorders>
              <w:top w:val="nil"/>
              <w:bottom w:val="nil"/>
            </w:tcBorders>
            <w:vAlign w:val="bottom"/>
          </w:tcPr>
          <w:p w14:paraId="60D44E8D"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86,2</w:t>
            </w:r>
          </w:p>
        </w:tc>
        <w:tc>
          <w:tcPr>
            <w:tcW w:w="298" w:type="pct"/>
            <w:tcBorders>
              <w:top w:val="nil"/>
              <w:bottom w:val="nil"/>
              <w:right w:val="nil"/>
            </w:tcBorders>
            <w:vAlign w:val="bottom"/>
          </w:tcPr>
          <w:p w14:paraId="4BD661FF"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82,8</w:t>
            </w:r>
          </w:p>
        </w:tc>
        <w:tc>
          <w:tcPr>
            <w:tcW w:w="383" w:type="pct"/>
            <w:tcBorders>
              <w:top w:val="nil"/>
              <w:left w:val="nil"/>
              <w:bottom w:val="nil"/>
              <w:right w:val="nil"/>
            </w:tcBorders>
            <w:vAlign w:val="bottom"/>
          </w:tcPr>
          <w:p w14:paraId="7A7A4741"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650 400</w:t>
            </w:r>
          </w:p>
        </w:tc>
        <w:tc>
          <w:tcPr>
            <w:tcW w:w="474" w:type="pct"/>
            <w:tcBorders>
              <w:top w:val="nil"/>
              <w:left w:val="nil"/>
              <w:bottom w:val="nil"/>
              <w:right w:val="nil"/>
            </w:tcBorders>
            <w:vAlign w:val="bottom"/>
          </w:tcPr>
          <w:p w14:paraId="400C7DBA"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538 800</w:t>
            </w:r>
          </w:p>
        </w:tc>
      </w:tr>
      <w:tr w:rsidR="00DA3C9E" w:rsidRPr="00FC11AF" w14:paraId="47266180" w14:textId="77777777" w:rsidTr="00EF6F89">
        <w:trPr>
          <w:trHeight w:val="255"/>
        </w:trPr>
        <w:tc>
          <w:tcPr>
            <w:tcW w:w="976" w:type="pct"/>
            <w:tcBorders>
              <w:top w:val="nil"/>
              <w:left w:val="nil"/>
              <w:right w:val="nil"/>
            </w:tcBorders>
            <w:tcMar>
              <w:top w:w="15" w:type="dxa"/>
              <w:left w:w="15" w:type="dxa"/>
              <w:bottom w:w="0" w:type="dxa"/>
              <w:right w:w="15" w:type="dxa"/>
            </w:tcMar>
            <w:vAlign w:val="bottom"/>
          </w:tcPr>
          <w:p w14:paraId="48EAEE06" w14:textId="77777777" w:rsidR="00DA3C9E" w:rsidRPr="00D95705" w:rsidRDefault="00DA3C9E" w:rsidP="00B20A65">
            <w:pPr>
              <w:spacing w:after="0"/>
              <w:rPr>
                <w:rFonts w:eastAsia="Arial Unicode MS"/>
                <w:sz w:val="18"/>
                <w:szCs w:val="18"/>
              </w:rPr>
            </w:pPr>
            <w:r>
              <w:rPr>
                <w:rFonts w:eastAsia="Arial Unicode MS"/>
                <w:sz w:val="18"/>
                <w:szCs w:val="18"/>
              </w:rPr>
              <w:t>Faglig vitenskapelig og teknisk tjenesteyting</w:t>
            </w:r>
          </w:p>
        </w:tc>
        <w:tc>
          <w:tcPr>
            <w:tcW w:w="294" w:type="pct"/>
            <w:tcBorders>
              <w:top w:val="nil"/>
              <w:left w:val="nil"/>
              <w:right w:val="nil"/>
            </w:tcBorders>
            <w:vAlign w:val="bottom"/>
          </w:tcPr>
          <w:p w14:paraId="77BA3B8F"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right w:val="nil"/>
            </w:tcBorders>
            <w:vAlign w:val="bottom"/>
          </w:tcPr>
          <w:p w14:paraId="3E8BE5EB"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right w:val="nil"/>
            </w:tcBorders>
            <w:vAlign w:val="bottom"/>
          </w:tcPr>
          <w:p w14:paraId="180043B6"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right w:val="single" w:sz="4" w:space="0" w:color="auto"/>
            </w:tcBorders>
            <w:vAlign w:val="bottom"/>
          </w:tcPr>
          <w:p w14:paraId="5D3260B3"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single" w:sz="4" w:space="0" w:color="auto"/>
            </w:tcBorders>
            <w:vAlign w:val="bottom"/>
          </w:tcPr>
          <w:p w14:paraId="70B4AD15" w14:textId="77777777" w:rsidR="00DA3C9E" w:rsidRPr="00363254" w:rsidRDefault="00DA3C9E" w:rsidP="00B20A65">
            <w:pPr>
              <w:spacing w:after="0"/>
              <w:jc w:val="center"/>
              <w:rPr>
                <w:rFonts w:ascii="Times New Roman" w:hAnsi="Times New Roman"/>
                <w:color w:val="000000"/>
                <w:sz w:val="18"/>
                <w:szCs w:val="18"/>
              </w:rPr>
            </w:pPr>
            <w:r>
              <w:rPr>
                <w:color w:val="000000"/>
                <w:sz w:val="18"/>
                <w:szCs w:val="18"/>
              </w:rPr>
              <w:t>75,9</w:t>
            </w:r>
          </w:p>
        </w:tc>
        <w:tc>
          <w:tcPr>
            <w:tcW w:w="294" w:type="pct"/>
            <w:tcBorders>
              <w:top w:val="nil"/>
            </w:tcBorders>
            <w:vAlign w:val="bottom"/>
          </w:tcPr>
          <w:p w14:paraId="5E60FAB5" w14:textId="77777777" w:rsidR="00DA3C9E" w:rsidRPr="00363254" w:rsidRDefault="00DA3C9E" w:rsidP="00B20A65">
            <w:pPr>
              <w:spacing w:after="0"/>
              <w:jc w:val="center"/>
              <w:rPr>
                <w:rFonts w:ascii="Times New Roman" w:hAnsi="Times New Roman"/>
                <w:color w:val="000000"/>
                <w:sz w:val="18"/>
                <w:szCs w:val="18"/>
              </w:rPr>
            </w:pPr>
            <w:r>
              <w:rPr>
                <w:color w:val="000000"/>
                <w:sz w:val="18"/>
                <w:szCs w:val="18"/>
              </w:rPr>
              <w:t>77,3</w:t>
            </w:r>
          </w:p>
        </w:tc>
        <w:tc>
          <w:tcPr>
            <w:tcW w:w="294" w:type="pct"/>
            <w:tcBorders>
              <w:top w:val="nil"/>
            </w:tcBorders>
            <w:vAlign w:val="bottom"/>
          </w:tcPr>
          <w:p w14:paraId="497EEA2A" w14:textId="77777777" w:rsidR="00DA3C9E" w:rsidRPr="00363254" w:rsidRDefault="00DA3C9E" w:rsidP="00B20A65">
            <w:pPr>
              <w:spacing w:after="0"/>
              <w:jc w:val="center"/>
              <w:rPr>
                <w:rFonts w:ascii="Times New Roman" w:hAnsi="Times New Roman"/>
                <w:color w:val="000000"/>
                <w:sz w:val="18"/>
                <w:szCs w:val="18"/>
              </w:rPr>
            </w:pPr>
            <w:r>
              <w:rPr>
                <w:color w:val="000000"/>
                <w:sz w:val="18"/>
                <w:szCs w:val="18"/>
              </w:rPr>
              <w:t>77,4</w:t>
            </w:r>
          </w:p>
        </w:tc>
        <w:tc>
          <w:tcPr>
            <w:tcW w:w="294" w:type="pct"/>
            <w:tcBorders>
              <w:top w:val="nil"/>
            </w:tcBorders>
            <w:vAlign w:val="bottom"/>
          </w:tcPr>
          <w:p w14:paraId="24EA2321" w14:textId="77777777" w:rsidR="00DA3C9E" w:rsidRPr="00363254" w:rsidRDefault="00DA3C9E" w:rsidP="00B20A65">
            <w:pPr>
              <w:spacing w:after="0"/>
              <w:jc w:val="center"/>
              <w:rPr>
                <w:rFonts w:ascii="Times New Roman" w:hAnsi="Times New Roman"/>
                <w:color w:val="000000"/>
                <w:sz w:val="18"/>
                <w:szCs w:val="18"/>
              </w:rPr>
            </w:pPr>
            <w:r>
              <w:rPr>
                <w:color w:val="000000"/>
                <w:sz w:val="18"/>
                <w:szCs w:val="18"/>
              </w:rPr>
              <w:t>77,1</w:t>
            </w:r>
          </w:p>
        </w:tc>
        <w:tc>
          <w:tcPr>
            <w:tcW w:w="294" w:type="pct"/>
            <w:tcBorders>
              <w:top w:val="nil"/>
            </w:tcBorders>
            <w:vAlign w:val="bottom"/>
          </w:tcPr>
          <w:p w14:paraId="4552629C"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77,3</w:t>
            </w:r>
          </w:p>
        </w:tc>
        <w:tc>
          <w:tcPr>
            <w:tcW w:w="223" w:type="pct"/>
            <w:tcBorders>
              <w:top w:val="nil"/>
            </w:tcBorders>
            <w:vAlign w:val="bottom"/>
          </w:tcPr>
          <w:p w14:paraId="049DC84D"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77,4</w:t>
            </w:r>
          </w:p>
        </w:tc>
        <w:tc>
          <w:tcPr>
            <w:tcW w:w="298" w:type="pct"/>
            <w:tcBorders>
              <w:top w:val="nil"/>
              <w:right w:val="nil"/>
            </w:tcBorders>
            <w:vAlign w:val="bottom"/>
          </w:tcPr>
          <w:p w14:paraId="3419EC58"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78,7</w:t>
            </w:r>
          </w:p>
        </w:tc>
        <w:tc>
          <w:tcPr>
            <w:tcW w:w="383" w:type="pct"/>
            <w:tcBorders>
              <w:top w:val="nil"/>
              <w:left w:val="nil"/>
              <w:right w:val="nil"/>
            </w:tcBorders>
            <w:vAlign w:val="bottom"/>
          </w:tcPr>
          <w:p w14:paraId="618CB28D"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705 600</w:t>
            </w:r>
          </w:p>
        </w:tc>
        <w:tc>
          <w:tcPr>
            <w:tcW w:w="474" w:type="pct"/>
            <w:tcBorders>
              <w:top w:val="nil"/>
              <w:left w:val="nil"/>
              <w:right w:val="nil"/>
            </w:tcBorders>
            <w:vAlign w:val="bottom"/>
          </w:tcPr>
          <w:p w14:paraId="6DAAA91B"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555 600</w:t>
            </w:r>
          </w:p>
        </w:tc>
      </w:tr>
      <w:tr w:rsidR="00DA3C9E" w:rsidRPr="00FC11AF" w14:paraId="44384C31" w14:textId="77777777" w:rsidTr="00EF6F89">
        <w:trPr>
          <w:trHeight w:val="487"/>
        </w:trPr>
        <w:tc>
          <w:tcPr>
            <w:tcW w:w="976" w:type="pct"/>
            <w:tcBorders>
              <w:top w:val="nil"/>
              <w:left w:val="nil"/>
              <w:right w:val="nil"/>
            </w:tcBorders>
            <w:tcMar>
              <w:top w:w="15" w:type="dxa"/>
              <w:left w:w="15" w:type="dxa"/>
              <w:bottom w:w="0" w:type="dxa"/>
              <w:right w:w="15" w:type="dxa"/>
            </w:tcMar>
            <w:vAlign w:val="bottom"/>
          </w:tcPr>
          <w:p w14:paraId="26774C89" w14:textId="77777777" w:rsidR="00DA3C9E" w:rsidRPr="00D95705" w:rsidRDefault="00DA3C9E" w:rsidP="00B20A65">
            <w:pPr>
              <w:spacing w:after="0"/>
              <w:rPr>
                <w:sz w:val="18"/>
                <w:szCs w:val="18"/>
              </w:rPr>
            </w:pPr>
            <w:r w:rsidRPr="00D95705">
              <w:rPr>
                <w:sz w:val="18"/>
                <w:szCs w:val="18"/>
              </w:rPr>
              <w:t>Forretningsmessig tjenesteyting</w:t>
            </w:r>
          </w:p>
        </w:tc>
        <w:tc>
          <w:tcPr>
            <w:tcW w:w="294" w:type="pct"/>
            <w:tcBorders>
              <w:top w:val="nil"/>
              <w:left w:val="nil"/>
              <w:right w:val="nil"/>
            </w:tcBorders>
            <w:vAlign w:val="bottom"/>
          </w:tcPr>
          <w:p w14:paraId="49BFDFDD"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right w:val="nil"/>
            </w:tcBorders>
            <w:vAlign w:val="bottom"/>
          </w:tcPr>
          <w:p w14:paraId="60FBEEAF"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right w:val="nil"/>
            </w:tcBorders>
            <w:vAlign w:val="bottom"/>
          </w:tcPr>
          <w:p w14:paraId="3C00A1C4"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right w:val="single" w:sz="4" w:space="0" w:color="auto"/>
            </w:tcBorders>
            <w:vAlign w:val="bottom"/>
          </w:tcPr>
          <w:p w14:paraId="7F4AAF25"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single" w:sz="4" w:space="0" w:color="auto"/>
            </w:tcBorders>
            <w:vAlign w:val="bottom"/>
          </w:tcPr>
          <w:p w14:paraId="6F2E2190"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90,2</w:t>
            </w:r>
          </w:p>
        </w:tc>
        <w:tc>
          <w:tcPr>
            <w:tcW w:w="294" w:type="pct"/>
            <w:tcBorders>
              <w:top w:val="nil"/>
            </w:tcBorders>
            <w:vAlign w:val="bottom"/>
          </w:tcPr>
          <w:p w14:paraId="57CA8CB8"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89,8</w:t>
            </w:r>
          </w:p>
        </w:tc>
        <w:tc>
          <w:tcPr>
            <w:tcW w:w="294" w:type="pct"/>
            <w:tcBorders>
              <w:top w:val="nil"/>
            </w:tcBorders>
            <w:vAlign w:val="bottom"/>
          </w:tcPr>
          <w:p w14:paraId="10854EFB"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91,0</w:t>
            </w:r>
          </w:p>
        </w:tc>
        <w:tc>
          <w:tcPr>
            <w:tcW w:w="294" w:type="pct"/>
            <w:tcBorders>
              <w:top w:val="nil"/>
            </w:tcBorders>
            <w:vAlign w:val="bottom"/>
          </w:tcPr>
          <w:p w14:paraId="6533A861"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91,0</w:t>
            </w:r>
          </w:p>
        </w:tc>
        <w:tc>
          <w:tcPr>
            <w:tcW w:w="294" w:type="pct"/>
            <w:tcBorders>
              <w:top w:val="nil"/>
            </w:tcBorders>
            <w:vAlign w:val="bottom"/>
          </w:tcPr>
          <w:p w14:paraId="09CF9018"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92,6</w:t>
            </w:r>
          </w:p>
        </w:tc>
        <w:tc>
          <w:tcPr>
            <w:tcW w:w="223" w:type="pct"/>
            <w:tcBorders>
              <w:top w:val="nil"/>
            </w:tcBorders>
            <w:vAlign w:val="bottom"/>
          </w:tcPr>
          <w:p w14:paraId="7AD7B00C"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91,0</w:t>
            </w:r>
          </w:p>
        </w:tc>
        <w:tc>
          <w:tcPr>
            <w:tcW w:w="298" w:type="pct"/>
            <w:tcBorders>
              <w:top w:val="nil"/>
              <w:right w:val="nil"/>
            </w:tcBorders>
            <w:vAlign w:val="bottom"/>
          </w:tcPr>
          <w:p w14:paraId="3F89B991"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92,1</w:t>
            </w:r>
          </w:p>
        </w:tc>
        <w:tc>
          <w:tcPr>
            <w:tcW w:w="383" w:type="pct"/>
            <w:tcBorders>
              <w:top w:val="nil"/>
              <w:left w:val="nil"/>
              <w:right w:val="nil"/>
            </w:tcBorders>
            <w:vAlign w:val="bottom"/>
          </w:tcPr>
          <w:p w14:paraId="21A0B73C"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439 200</w:t>
            </w:r>
          </w:p>
        </w:tc>
        <w:tc>
          <w:tcPr>
            <w:tcW w:w="474" w:type="pct"/>
            <w:tcBorders>
              <w:top w:val="nil"/>
              <w:left w:val="nil"/>
              <w:right w:val="nil"/>
            </w:tcBorders>
            <w:vAlign w:val="bottom"/>
          </w:tcPr>
          <w:p w14:paraId="2DA23E2F"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404 400</w:t>
            </w:r>
          </w:p>
        </w:tc>
      </w:tr>
      <w:tr w:rsidR="00DA3C9E" w:rsidRPr="00FC11AF" w14:paraId="3D78F68D" w14:textId="77777777" w:rsidTr="00EF6F89">
        <w:trPr>
          <w:trHeight w:val="254"/>
        </w:trPr>
        <w:tc>
          <w:tcPr>
            <w:tcW w:w="976" w:type="pct"/>
            <w:tcBorders>
              <w:top w:val="nil"/>
              <w:left w:val="nil"/>
              <w:right w:val="nil"/>
            </w:tcBorders>
            <w:tcMar>
              <w:top w:w="15" w:type="dxa"/>
              <w:left w:w="170" w:type="dxa"/>
              <w:bottom w:w="0" w:type="dxa"/>
              <w:right w:w="15" w:type="dxa"/>
            </w:tcMar>
            <w:vAlign w:val="bottom"/>
          </w:tcPr>
          <w:p w14:paraId="3ECFD9B4" w14:textId="77777777" w:rsidR="00DA3C9E" w:rsidRPr="00D95705" w:rsidRDefault="00DA3C9E" w:rsidP="00B20A65">
            <w:pPr>
              <w:spacing w:after="0"/>
              <w:ind w:left="-155"/>
              <w:jc w:val="both"/>
              <w:rPr>
                <w:rFonts w:eastAsia="Arial Unicode MS"/>
                <w:sz w:val="18"/>
                <w:szCs w:val="18"/>
              </w:rPr>
            </w:pPr>
            <w:r w:rsidRPr="00D95705">
              <w:rPr>
                <w:sz w:val="18"/>
                <w:szCs w:val="18"/>
              </w:rPr>
              <w:t>Privat undervisning</w:t>
            </w:r>
          </w:p>
        </w:tc>
        <w:tc>
          <w:tcPr>
            <w:tcW w:w="294" w:type="pct"/>
            <w:tcBorders>
              <w:top w:val="nil"/>
              <w:left w:val="nil"/>
              <w:right w:val="nil"/>
            </w:tcBorders>
            <w:vAlign w:val="bottom"/>
          </w:tcPr>
          <w:p w14:paraId="46DFA96E" w14:textId="77777777" w:rsidR="00DA3C9E" w:rsidRPr="00363254" w:rsidRDefault="00DA3C9E" w:rsidP="00B20A65">
            <w:pPr>
              <w:spacing w:after="0"/>
              <w:ind w:hanging="5"/>
              <w:jc w:val="center"/>
              <w:rPr>
                <w:rFonts w:ascii="Times New Roman" w:hAnsi="Times New Roman"/>
                <w:sz w:val="18"/>
                <w:szCs w:val="18"/>
              </w:rPr>
            </w:pPr>
            <w:r w:rsidRPr="00363254">
              <w:rPr>
                <w:rFonts w:ascii="Times New Roman" w:hAnsi="Times New Roman"/>
                <w:sz w:val="18"/>
                <w:szCs w:val="18"/>
              </w:rPr>
              <w:t>87,0</w:t>
            </w:r>
          </w:p>
        </w:tc>
        <w:tc>
          <w:tcPr>
            <w:tcW w:w="294" w:type="pct"/>
            <w:tcBorders>
              <w:top w:val="nil"/>
              <w:left w:val="nil"/>
              <w:right w:val="nil"/>
            </w:tcBorders>
            <w:vAlign w:val="bottom"/>
          </w:tcPr>
          <w:p w14:paraId="0D73AF0A" w14:textId="77777777" w:rsidR="00DA3C9E" w:rsidRPr="00363254" w:rsidRDefault="00DA3C9E" w:rsidP="00B20A65">
            <w:pPr>
              <w:spacing w:after="0"/>
              <w:ind w:hanging="5"/>
              <w:jc w:val="center"/>
              <w:rPr>
                <w:rFonts w:ascii="Times New Roman" w:hAnsi="Times New Roman"/>
                <w:sz w:val="18"/>
                <w:szCs w:val="18"/>
              </w:rPr>
            </w:pPr>
            <w:r w:rsidRPr="00363254">
              <w:rPr>
                <w:rFonts w:ascii="Times New Roman" w:hAnsi="Times New Roman"/>
                <w:sz w:val="18"/>
                <w:szCs w:val="18"/>
              </w:rPr>
              <w:t>87,3</w:t>
            </w:r>
          </w:p>
        </w:tc>
        <w:tc>
          <w:tcPr>
            <w:tcW w:w="294" w:type="pct"/>
            <w:tcBorders>
              <w:top w:val="nil"/>
              <w:left w:val="nil"/>
              <w:right w:val="nil"/>
            </w:tcBorders>
            <w:vAlign w:val="bottom"/>
          </w:tcPr>
          <w:p w14:paraId="2A0ED073" w14:textId="77777777" w:rsidR="00DA3C9E" w:rsidRPr="00363254" w:rsidRDefault="00DA3C9E" w:rsidP="00B20A65">
            <w:pPr>
              <w:spacing w:after="0"/>
              <w:ind w:hanging="5"/>
              <w:jc w:val="center"/>
              <w:rPr>
                <w:rFonts w:ascii="Times New Roman" w:hAnsi="Times New Roman"/>
                <w:sz w:val="18"/>
                <w:szCs w:val="18"/>
              </w:rPr>
            </w:pPr>
            <w:r w:rsidRPr="00363254">
              <w:rPr>
                <w:rFonts w:ascii="Times New Roman" w:hAnsi="Times New Roman"/>
                <w:sz w:val="18"/>
                <w:szCs w:val="18"/>
              </w:rPr>
              <w:t>86,9</w:t>
            </w:r>
          </w:p>
        </w:tc>
        <w:tc>
          <w:tcPr>
            <w:tcW w:w="294" w:type="pct"/>
            <w:tcBorders>
              <w:top w:val="nil"/>
              <w:left w:val="nil"/>
              <w:right w:val="single" w:sz="4" w:space="0" w:color="auto"/>
            </w:tcBorders>
            <w:vAlign w:val="bottom"/>
          </w:tcPr>
          <w:p w14:paraId="155FA000" w14:textId="77777777" w:rsidR="00DA3C9E" w:rsidRPr="00363254" w:rsidRDefault="00DA3C9E" w:rsidP="00B20A65">
            <w:pPr>
              <w:spacing w:after="0"/>
              <w:ind w:hanging="5"/>
              <w:jc w:val="center"/>
              <w:rPr>
                <w:rFonts w:ascii="Times New Roman" w:hAnsi="Times New Roman"/>
                <w:sz w:val="18"/>
                <w:szCs w:val="18"/>
              </w:rPr>
            </w:pPr>
            <w:r w:rsidRPr="00363254">
              <w:rPr>
                <w:rFonts w:ascii="Times New Roman" w:hAnsi="Times New Roman"/>
                <w:sz w:val="18"/>
                <w:szCs w:val="18"/>
              </w:rPr>
              <w:t>86,6</w:t>
            </w:r>
          </w:p>
        </w:tc>
        <w:tc>
          <w:tcPr>
            <w:tcW w:w="294" w:type="pct"/>
            <w:tcBorders>
              <w:top w:val="nil"/>
              <w:left w:val="single" w:sz="4" w:space="0" w:color="auto"/>
            </w:tcBorders>
            <w:vAlign w:val="bottom"/>
          </w:tcPr>
          <w:p w14:paraId="1089D9C6" w14:textId="77777777" w:rsidR="00DA3C9E" w:rsidRPr="00363254" w:rsidRDefault="00DA3C9E" w:rsidP="00B20A65">
            <w:pPr>
              <w:spacing w:after="0"/>
              <w:ind w:hanging="5"/>
              <w:jc w:val="center"/>
              <w:rPr>
                <w:rFonts w:ascii="Times New Roman" w:hAnsi="Times New Roman"/>
                <w:color w:val="000000"/>
                <w:sz w:val="18"/>
                <w:szCs w:val="18"/>
              </w:rPr>
            </w:pPr>
            <w:r w:rsidRPr="00363254">
              <w:rPr>
                <w:rFonts w:ascii="Times New Roman" w:hAnsi="Times New Roman"/>
                <w:color w:val="000000"/>
                <w:sz w:val="18"/>
                <w:szCs w:val="18"/>
              </w:rPr>
              <w:t>86,4</w:t>
            </w:r>
          </w:p>
        </w:tc>
        <w:tc>
          <w:tcPr>
            <w:tcW w:w="294" w:type="pct"/>
            <w:tcBorders>
              <w:top w:val="nil"/>
            </w:tcBorders>
            <w:vAlign w:val="bottom"/>
          </w:tcPr>
          <w:p w14:paraId="13743622" w14:textId="77777777" w:rsidR="00DA3C9E" w:rsidRPr="00363254" w:rsidRDefault="00DA3C9E" w:rsidP="00B20A65">
            <w:pPr>
              <w:spacing w:after="0"/>
              <w:ind w:hanging="5"/>
              <w:jc w:val="center"/>
              <w:rPr>
                <w:rFonts w:ascii="Times New Roman" w:hAnsi="Times New Roman"/>
                <w:color w:val="000000"/>
                <w:sz w:val="18"/>
                <w:szCs w:val="18"/>
              </w:rPr>
            </w:pPr>
            <w:r w:rsidRPr="00363254">
              <w:rPr>
                <w:rFonts w:ascii="Times New Roman" w:hAnsi="Times New Roman"/>
                <w:color w:val="000000"/>
                <w:sz w:val="18"/>
                <w:szCs w:val="18"/>
              </w:rPr>
              <w:t>87,4</w:t>
            </w:r>
          </w:p>
        </w:tc>
        <w:tc>
          <w:tcPr>
            <w:tcW w:w="294" w:type="pct"/>
            <w:tcBorders>
              <w:top w:val="nil"/>
            </w:tcBorders>
            <w:vAlign w:val="bottom"/>
          </w:tcPr>
          <w:p w14:paraId="6C4D687A" w14:textId="77777777" w:rsidR="00DA3C9E" w:rsidRPr="00363254" w:rsidRDefault="00DA3C9E" w:rsidP="00B20A65">
            <w:pPr>
              <w:spacing w:after="0"/>
              <w:ind w:hanging="5"/>
              <w:jc w:val="center"/>
              <w:rPr>
                <w:rFonts w:ascii="Times New Roman" w:hAnsi="Times New Roman"/>
                <w:color w:val="000000"/>
                <w:sz w:val="18"/>
                <w:szCs w:val="18"/>
              </w:rPr>
            </w:pPr>
            <w:r w:rsidRPr="00363254">
              <w:rPr>
                <w:rFonts w:ascii="Times New Roman" w:hAnsi="Times New Roman"/>
                <w:color w:val="000000"/>
                <w:sz w:val="18"/>
                <w:szCs w:val="18"/>
              </w:rPr>
              <w:t>88,3</w:t>
            </w:r>
          </w:p>
        </w:tc>
        <w:tc>
          <w:tcPr>
            <w:tcW w:w="294" w:type="pct"/>
            <w:tcBorders>
              <w:top w:val="nil"/>
            </w:tcBorders>
            <w:vAlign w:val="bottom"/>
          </w:tcPr>
          <w:p w14:paraId="70ADFE03"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88,9</w:t>
            </w:r>
          </w:p>
        </w:tc>
        <w:tc>
          <w:tcPr>
            <w:tcW w:w="294" w:type="pct"/>
            <w:tcBorders>
              <w:top w:val="nil"/>
            </w:tcBorders>
            <w:vAlign w:val="bottom"/>
          </w:tcPr>
          <w:p w14:paraId="5DF6B64B"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89,2</w:t>
            </w:r>
          </w:p>
        </w:tc>
        <w:tc>
          <w:tcPr>
            <w:tcW w:w="223" w:type="pct"/>
            <w:tcBorders>
              <w:top w:val="nil"/>
            </w:tcBorders>
            <w:vAlign w:val="bottom"/>
          </w:tcPr>
          <w:p w14:paraId="5CBC492A"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90,4</w:t>
            </w:r>
          </w:p>
        </w:tc>
        <w:tc>
          <w:tcPr>
            <w:tcW w:w="298" w:type="pct"/>
            <w:tcBorders>
              <w:top w:val="nil"/>
              <w:right w:val="nil"/>
            </w:tcBorders>
            <w:vAlign w:val="bottom"/>
          </w:tcPr>
          <w:p w14:paraId="3E4FBC01"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90,0</w:t>
            </w:r>
          </w:p>
        </w:tc>
        <w:tc>
          <w:tcPr>
            <w:tcW w:w="383" w:type="pct"/>
            <w:tcBorders>
              <w:top w:val="nil"/>
              <w:left w:val="nil"/>
              <w:right w:val="nil"/>
            </w:tcBorders>
            <w:vAlign w:val="bottom"/>
          </w:tcPr>
          <w:p w14:paraId="13EC53D9"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513 600</w:t>
            </w:r>
          </w:p>
        </w:tc>
        <w:tc>
          <w:tcPr>
            <w:tcW w:w="474" w:type="pct"/>
            <w:tcBorders>
              <w:top w:val="nil"/>
              <w:left w:val="nil"/>
              <w:right w:val="nil"/>
            </w:tcBorders>
            <w:vAlign w:val="bottom"/>
          </w:tcPr>
          <w:p w14:paraId="6C596B5E"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462 000</w:t>
            </w:r>
          </w:p>
        </w:tc>
      </w:tr>
      <w:tr w:rsidR="00DA3C9E" w:rsidRPr="00FC11AF" w14:paraId="07A05F39" w14:textId="77777777" w:rsidTr="00EF6F89">
        <w:trPr>
          <w:trHeight w:val="487"/>
        </w:trPr>
        <w:tc>
          <w:tcPr>
            <w:tcW w:w="976" w:type="pct"/>
            <w:tcBorders>
              <w:top w:val="nil"/>
              <w:left w:val="nil"/>
              <w:right w:val="nil"/>
            </w:tcBorders>
            <w:tcMar>
              <w:top w:w="15" w:type="dxa"/>
              <w:left w:w="170" w:type="dxa"/>
              <w:bottom w:w="0" w:type="dxa"/>
              <w:right w:w="15" w:type="dxa"/>
            </w:tcMar>
            <w:vAlign w:val="bottom"/>
          </w:tcPr>
          <w:p w14:paraId="64974D5F" w14:textId="77777777" w:rsidR="00DA3C9E" w:rsidRPr="00C662D3" w:rsidRDefault="00DA3C9E" w:rsidP="00B20A65">
            <w:pPr>
              <w:spacing w:after="0"/>
              <w:ind w:left="-155"/>
              <w:rPr>
                <w:rFonts w:eastAsia="Arial Unicode MS"/>
                <w:sz w:val="18"/>
                <w:szCs w:val="18"/>
              </w:rPr>
            </w:pPr>
            <w:r w:rsidRPr="00C662D3">
              <w:rPr>
                <w:sz w:val="18"/>
                <w:szCs w:val="18"/>
              </w:rPr>
              <w:t xml:space="preserve">Private helse- og sosialtjenester </w:t>
            </w:r>
          </w:p>
        </w:tc>
        <w:tc>
          <w:tcPr>
            <w:tcW w:w="294" w:type="pct"/>
            <w:tcBorders>
              <w:top w:val="nil"/>
              <w:left w:val="nil"/>
              <w:right w:val="nil"/>
            </w:tcBorders>
            <w:vAlign w:val="bottom"/>
          </w:tcPr>
          <w:p w14:paraId="1B8020A9"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85,2</w:t>
            </w:r>
          </w:p>
        </w:tc>
        <w:tc>
          <w:tcPr>
            <w:tcW w:w="294" w:type="pct"/>
            <w:tcBorders>
              <w:top w:val="nil"/>
              <w:left w:val="nil"/>
              <w:right w:val="nil"/>
            </w:tcBorders>
            <w:vAlign w:val="bottom"/>
          </w:tcPr>
          <w:p w14:paraId="1D71C37F"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84,6</w:t>
            </w:r>
          </w:p>
        </w:tc>
        <w:tc>
          <w:tcPr>
            <w:tcW w:w="294" w:type="pct"/>
            <w:tcBorders>
              <w:top w:val="nil"/>
              <w:left w:val="nil"/>
              <w:right w:val="nil"/>
            </w:tcBorders>
            <w:vAlign w:val="bottom"/>
          </w:tcPr>
          <w:p w14:paraId="30659948"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85,2</w:t>
            </w:r>
          </w:p>
        </w:tc>
        <w:tc>
          <w:tcPr>
            <w:tcW w:w="294" w:type="pct"/>
            <w:tcBorders>
              <w:top w:val="nil"/>
              <w:left w:val="nil"/>
              <w:right w:val="single" w:sz="4" w:space="0" w:color="auto"/>
            </w:tcBorders>
            <w:vAlign w:val="bottom"/>
          </w:tcPr>
          <w:p w14:paraId="44B63732"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85,5</w:t>
            </w:r>
          </w:p>
        </w:tc>
        <w:tc>
          <w:tcPr>
            <w:tcW w:w="294" w:type="pct"/>
            <w:tcBorders>
              <w:top w:val="nil"/>
              <w:left w:val="single" w:sz="4" w:space="0" w:color="auto"/>
            </w:tcBorders>
            <w:vAlign w:val="bottom"/>
          </w:tcPr>
          <w:p w14:paraId="1D70636A"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84,4</w:t>
            </w:r>
          </w:p>
        </w:tc>
        <w:tc>
          <w:tcPr>
            <w:tcW w:w="294" w:type="pct"/>
            <w:tcBorders>
              <w:top w:val="nil"/>
            </w:tcBorders>
            <w:vAlign w:val="bottom"/>
          </w:tcPr>
          <w:p w14:paraId="7BA2A2B6"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84,7</w:t>
            </w:r>
          </w:p>
        </w:tc>
        <w:tc>
          <w:tcPr>
            <w:tcW w:w="294" w:type="pct"/>
            <w:tcBorders>
              <w:top w:val="nil"/>
            </w:tcBorders>
            <w:vAlign w:val="bottom"/>
          </w:tcPr>
          <w:p w14:paraId="29490BB7"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85,5</w:t>
            </w:r>
          </w:p>
        </w:tc>
        <w:tc>
          <w:tcPr>
            <w:tcW w:w="294" w:type="pct"/>
            <w:tcBorders>
              <w:top w:val="nil"/>
            </w:tcBorders>
            <w:vAlign w:val="bottom"/>
          </w:tcPr>
          <w:p w14:paraId="72533F06"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85,9</w:t>
            </w:r>
          </w:p>
        </w:tc>
        <w:tc>
          <w:tcPr>
            <w:tcW w:w="294" w:type="pct"/>
            <w:tcBorders>
              <w:top w:val="nil"/>
            </w:tcBorders>
            <w:vAlign w:val="bottom"/>
          </w:tcPr>
          <w:p w14:paraId="7EA5B752"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86,3</w:t>
            </w:r>
          </w:p>
        </w:tc>
        <w:tc>
          <w:tcPr>
            <w:tcW w:w="223" w:type="pct"/>
            <w:tcBorders>
              <w:top w:val="nil"/>
            </w:tcBorders>
            <w:vAlign w:val="bottom"/>
          </w:tcPr>
          <w:p w14:paraId="3676C597"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85,8</w:t>
            </w:r>
          </w:p>
        </w:tc>
        <w:tc>
          <w:tcPr>
            <w:tcW w:w="298" w:type="pct"/>
            <w:tcBorders>
              <w:top w:val="nil"/>
              <w:right w:val="nil"/>
            </w:tcBorders>
            <w:vAlign w:val="bottom"/>
          </w:tcPr>
          <w:p w14:paraId="058714FD"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86,9</w:t>
            </w:r>
          </w:p>
        </w:tc>
        <w:tc>
          <w:tcPr>
            <w:tcW w:w="383" w:type="pct"/>
            <w:tcBorders>
              <w:top w:val="nil"/>
              <w:left w:val="nil"/>
              <w:right w:val="nil"/>
            </w:tcBorders>
            <w:vAlign w:val="bottom"/>
          </w:tcPr>
          <w:p w14:paraId="2A3CED4D"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486 000</w:t>
            </w:r>
          </w:p>
        </w:tc>
        <w:tc>
          <w:tcPr>
            <w:tcW w:w="474" w:type="pct"/>
            <w:tcBorders>
              <w:top w:val="nil"/>
              <w:left w:val="nil"/>
              <w:right w:val="nil"/>
            </w:tcBorders>
            <w:vAlign w:val="bottom"/>
          </w:tcPr>
          <w:p w14:paraId="7E687012"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422 400</w:t>
            </w:r>
          </w:p>
        </w:tc>
      </w:tr>
      <w:tr w:rsidR="00DA3C9E" w:rsidRPr="00FC11AF" w14:paraId="08492859" w14:textId="77777777" w:rsidTr="00EF6F89">
        <w:trPr>
          <w:trHeight w:val="134"/>
        </w:trPr>
        <w:tc>
          <w:tcPr>
            <w:tcW w:w="976" w:type="pct"/>
            <w:tcBorders>
              <w:top w:val="nil"/>
              <w:left w:val="nil"/>
              <w:right w:val="nil"/>
            </w:tcBorders>
            <w:tcMar>
              <w:top w:w="15" w:type="dxa"/>
              <w:left w:w="170" w:type="dxa"/>
              <w:bottom w:w="0" w:type="dxa"/>
              <w:right w:w="15" w:type="dxa"/>
            </w:tcMar>
            <w:vAlign w:val="bottom"/>
          </w:tcPr>
          <w:p w14:paraId="2E71CAC6" w14:textId="77777777" w:rsidR="00DA3C9E" w:rsidRPr="00C662D3" w:rsidRDefault="00DA3C9E" w:rsidP="00B20A65">
            <w:pPr>
              <w:spacing w:after="0"/>
              <w:ind w:left="-155"/>
              <w:rPr>
                <w:sz w:val="18"/>
                <w:szCs w:val="18"/>
              </w:rPr>
            </w:pPr>
            <w:r w:rsidRPr="00C662D3">
              <w:rPr>
                <w:sz w:val="18"/>
                <w:szCs w:val="18"/>
              </w:rPr>
              <w:t>Personlige tjenester</w:t>
            </w:r>
          </w:p>
        </w:tc>
        <w:tc>
          <w:tcPr>
            <w:tcW w:w="294" w:type="pct"/>
            <w:tcBorders>
              <w:top w:val="nil"/>
              <w:left w:val="nil"/>
              <w:right w:val="nil"/>
            </w:tcBorders>
            <w:vAlign w:val="bottom"/>
          </w:tcPr>
          <w:p w14:paraId="5E7CE931"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right w:val="nil"/>
            </w:tcBorders>
            <w:vAlign w:val="bottom"/>
          </w:tcPr>
          <w:p w14:paraId="790ADFC7"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right w:val="nil"/>
            </w:tcBorders>
            <w:vAlign w:val="bottom"/>
          </w:tcPr>
          <w:p w14:paraId="3137D379"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nil"/>
              <w:right w:val="single" w:sz="4" w:space="0" w:color="auto"/>
            </w:tcBorders>
            <w:vAlign w:val="bottom"/>
          </w:tcPr>
          <w:p w14:paraId="45B89E4D"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w:t>
            </w:r>
          </w:p>
        </w:tc>
        <w:tc>
          <w:tcPr>
            <w:tcW w:w="294" w:type="pct"/>
            <w:tcBorders>
              <w:top w:val="nil"/>
              <w:left w:val="single" w:sz="4" w:space="0" w:color="auto"/>
            </w:tcBorders>
            <w:vAlign w:val="bottom"/>
          </w:tcPr>
          <w:p w14:paraId="569DC58A"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77,9</w:t>
            </w:r>
          </w:p>
        </w:tc>
        <w:tc>
          <w:tcPr>
            <w:tcW w:w="294" w:type="pct"/>
            <w:tcBorders>
              <w:top w:val="nil"/>
            </w:tcBorders>
            <w:vAlign w:val="bottom"/>
          </w:tcPr>
          <w:p w14:paraId="7DB0299A"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77,0</w:t>
            </w:r>
          </w:p>
        </w:tc>
        <w:tc>
          <w:tcPr>
            <w:tcW w:w="294" w:type="pct"/>
            <w:tcBorders>
              <w:top w:val="nil"/>
            </w:tcBorders>
            <w:vAlign w:val="bottom"/>
          </w:tcPr>
          <w:p w14:paraId="6A38FD6B"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76,3</w:t>
            </w:r>
          </w:p>
        </w:tc>
        <w:tc>
          <w:tcPr>
            <w:tcW w:w="294" w:type="pct"/>
            <w:tcBorders>
              <w:top w:val="nil"/>
            </w:tcBorders>
            <w:vAlign w:val="bottom"/>
          </w:tcPr>
          <w:p w14:paraId="275ED11B"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75,4</w:t>
            </w:r>
          </w:p>
        </w:tc>
        <w:tc>
          <w:tcPr>
            <w:tcW w:w="294" w:type="pct"/>
            <w:tcBorders>
              <w:top w:val="nil"/>
            </w:tcBorders>
            <w:vAlign w:val="bottom"/>
          </w:tcPr>
          <w:p w14:paraId="7B88CD79" w14:textId="77777777" w:rsidR="00DA3C9E" w:rsidRPr="008C5964" w:rsidRDefault="00DA3C9E" w:rsidP="00B20A65">
            <w:pPr>
              <w:autoSpaceDE w:val="0"/>
              <w:autoSpaceDN w:val="0"/>
              <w:adjustRightInd w:val="0"/>
              <w:spacing w:after="0"/>
              <w:jc w:val="center"/>
              <w:rPr>
                <w:rFonts w:ascii="Times New Roman" w:eastAsiaTheme="minorHAnsi" w:hAnsi="Times New Roman"/>
                <w:color w:val="000000"/>
                <w:sz w:val="18"/>
                <w:szCs w:val="18"/>
                <w:lang w:eastAsia="en-US"/>
              </w:rPr>
            </w:pPr>
            <w:r w:rsidRPr="008C5964">
              <w:rPr>
                <w:rFonts w:ascii="Times New Roman" w:eastAsiaTheme="minorHAnsi" w:hAnsi="Times New Roman"/>
                <w:color w:val="000000"/>
                <w:sz w:val="18"/>
                <w:szCs w:val="18"/>
                <w:lang w:eastAsia="en-US"/>
              </w:rPr>
              <w:t>76,4</w:t>
            </w:r>
          </w:p>
        </w:tc>
        <w:tc>
          <w:tcPr>
            <w:tcW w:w="223" w:type="pct"/>
            <w:tcBorders>
              <w:top w:val="nil"/>
            </w:tcBorders>
            <w:vAlign w:val="bottom"/>
          </w:tcPr>
          <w:p w14:paraId="4A3FA4E6"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74,9</w:t>
            </w:r>
          </w:p>
        </w:tc>
        <w:tc>
          <w:tcPr>
            <w:tcW w:w="298" w:type="pct"/>
            <w:tcBorders>
              <w:top w:val="nil"/>
              <w:right w:val="nil"/>
            </w:tcBorders>
            <w:vAlign w:val="bottom"/>
          </w:tcPr>
          <w:p w14:paraId="06A5F4D5"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75,6</w:t>
            </w:r>
          </w:p>
        </w:tc>
        <w:tc>
          <w:tcPr>
            <w:tcW w:w="383" w:type="pct"/>
            <w:tcBorders>
              <w:top w:val="nil"/>
              <w:left w:val="nil"/>
              <w:right w:val="nil"/>
            </w:tcBorders>
            <w:vAlign w:val="bottom"/>
          </w:tcPr>
          <w:p w14:paraId="27AE4AB9"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536 400</w:t>
            </w:r>
          </w:p>
        </w:tc>
        <w:tc>
          <w:tcPr>
            <w:tcW w:w="474" w:type="pct"/>
            <w:tcBorders>
              <w:top w:val="nil"/>
              <w:left w:val="nil"/>
              <w:right w:val="nil"/>
            </w:tcBorders>
            <w:vAlign w:val="bottom"/>
          </w:tcPr>
          <w:p w14:paraId="64756FA6"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405 600</w:t>
            </w:r>
          </w:p>
        </w:tc>
      </w:tr>
      <w:tr w:rsidR="00DA3C9E" w:rsidRPr="00FC11AF" w14:paraId="3EA7932B" w14:textId="77777777" w:rsidTr="00EF6F89">
        <w:trPr>
          <w:trHeight w:val="255"/>
        </w:trPr>
        <w:tc>
          <w:tcPr>
            <w:tcW w:w="976" w:type="pct"/>
            <w:tcBorders>
              <w:left w:val="nil"/>
              <w:right w:val="nil"/>
            </w:tcBorders>
            <w:tcMar>
              <w:top w:w="15" w:type="dxa"/>
              <w:left w:w="15" w:type="dxa"/>
              <w:bottom w:w="0" w:type="dxa"/>
              <w:right w:w="15" w:type="dxa"/>
            </w:tcMar>
            <w:vAlign w:val="bottom"/>
          </w:tcPr>
          <w:p w14:paraId="799D872A" w14:textId="77777777" w:rsidR="00DA3C9E" w:rsidRPr="00C662D3" w:rsidRDefault="00DA3C9E" w:rsidP="00B20A65">
            <w:pPr>
              <w:spacing w:after="0"/>
              <w:rPr>
                <w:rFonts w:eastAsia="Arial Unicode MS"/>
                <w:sz w:val="18"/>
                <w:szCs w:val="18"/>
              </w:rPr>
            </w:pPr>
            <w:r w:rsidRPr="00C662D3">
              <w:rPr>
                <w:sz w:val="18"/>
                <w:szCs w:val="18"/>
              </w:rPr>
              <w:t>Staten</w:t>
            </w:r>
          </w:p>
        </w:tc>
        <w:tc>
          <w:tcPr>
            <w:tcW w:w="294" w:type="pct"/>
            <w:tcBorders>
              <w:left w:val="nil"/>
              <w:right w:val="nil"/>
            </w:tcBorders>
            <w:vAlign w:val="bottom"/>
          </w:tcPr>
          <w:p w14:paraId="2B57563D" w14:textId="77777777" w:rsidR="00DA3C9E" w:rsidRPr="00363254" w:rsidRDefault="00DA3C9E" w:rsidP="00B20A65">
            <w:pPr>
              <w:spacing w:after="0"/>
              <w:jc w:val="center"/>
              <w:rPr>
                <w:rFonts w:ascii="Times New Roman" w:hAnsi="Times New Roman"/>
                <w:sz w:val="18"/>
                <w:szCs w:val="18"/>
                <w:vertAlign w:val="superscript"/>
              </w:rPr>
            </w:pPr>
            <w:r w:rsidRPr="00363254">
              <w:rPr>
                <w:rFonts w:ascii="Times New Roman" w:hAnsi="Times New Roman"/>
                <w:sz w:val="18"/>
                <w:szCs w:val="18"/>
              </w:rPr>
              <w:t>89,7</w:t>
            </w:r>
          </w:p>
        </w:tc>
        <w:tc>
          <w:tcPr>
            <w:tcW w:w="294" w:type="pct"/>
            <w:tcBorders>
              <w:left w:val="nil"/>
              <w:right w:val="nil"/>
            </w:tcBorders>
            <w:vAlign w:val="bottom"/>
          </w:tcPr>
          <w:p w14:paraId="50941EED" w14:textId="77777777" w:rsidR="00DA3C9E" w:rsidRPr="00363254" w:rsidRDefault="00DA3C9E" w:rsidP="00B20A65">
            <w:pPr>
              <w:spacing w:after="0"/>
              <w:jc w:val="center"/>
              <w:rPr>
                <w:rFonts w:ascii="Times New Roman" w:hAnsi="Times New Roman"/>
                <w:sz w:val="18"/>
                <w:szCs w:val="18"/>
                <w:vertAlign w:val="superscript"/>
              </w:rPr>
            </w:pPr>
            <w:r w:rsidRPr="00363254">
              <w:rPr>
                <w:rFonts w:ascii="Times New Roman" w:hAnsi="Times New Roman"/>
                <w:sz w:val="18"/>
                <w:szCs w:val="18"/>
              </w:rPr>
              <w:t>89,7</w:t>
            </w:r>
          </w:p>
        </w:tc>
        <w:tc>
          <w:tcPr>
            <w:tcW w:w="294" w:type="pct"/>
            <w:tcBorders>
              <w:left w:val="nil"/>
              <w:right w:val="nil"/>
            </w:tcBorders>
            <w:vAlign w:val="bottom"/>
          </w:tcPr>
          <w:p w14:paraId="5D734FD9"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90,2</w:t>
            </w:r>
          </w:p>
        </w:tc>
        <w:tc>
          <w:tcPr>
            <w:tcW w:w="294" w:type="pct"/>
            <w:tcBorders>
              <w:left w:val="nil"/>
              <w:right w:val="single" w:sz="4" w:space="0" w:color="auto"/>
            </w:tcBorders>
            <w:vAlign w:val="bottom"/>
          </w:tcPr>
          <w:p w14:paraId="2BCB2B4C"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90,4</w:t>
            </w:r>
          </w:p>
        </w:tc>
        <w:tc>
          <w:tcPr>
            <w:tcW w:w="294" w:type="pct"/>
            <w:tcBorders>
              <w:left w:val="single" w:sz="4" w:space="0" w:color="auto"/>
            </w:tcBorders>
            <w:vAlign w:val="bottom"/>
          </w:tcPr>
          <w:p w14:paraId="2C48D8EE"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90,2</w:t>
            </w:r>
          </w:p>
        </w:tc>
        <w:tc>
          <w:tcPr>
            <w:tcW w:w="294" w:type="pct"/>
            <w:vAlign w:val="bottom"/>
          </w:tcPr>
          <w:p w14:paraId="01B6DF88"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90,1</w:t>
            </w:r>
          </w:p>
        </w:tc>
        <w:tc>
          <w:tcPr>
            <w:tcW w:w="294" w:type="pct"/>
            <w:vAlign w:val="bottom"/>
          </w:tcPr>
          <w:p w14:paraId="5FAA194E"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90,5</w:t>
            </w:r>
          </w:p>
        </w:tc>
        <w:tc>
          <w:tcPr>
            <w:tcW w:w="294" w:type="pct"/>
            <w:vAlign w:val="bottom"/>
          </w:tcPr>
          <w:p w14:paraId="1B99A852"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90,8</w:t>
            </w:r>
          </w:p>
        </w:tc>
        <w:tc>
          <w:tcPr>
            <w:tcW w:w="294" w:type="pct"/>
            <w:vAlign w:val="bottom"/>
          </w:tcPr>
          <w:p w14:paraId="70DB1A3E"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91,5</w:t>
            </w:r>
          </w:p>
        </w:tc>
        <w:tc>
          <w:tcPr>
            <w:tcW w:w="223" w:type="pct"/>
            <w:vAlign w:val="bottom"/>
          </w:tcPr>
          <w:p w14:paraId="208AAF2A"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90,9</w:t>
            </w:r>
          </w:p>
        </w:tc>
        <w:tc>
          <w:tcPr>
            <w:tcW w:w="298" w:type="pct"/>
            <w:tcBorders>
              <w:right w:val="nil"/>
            </w:tcBorders>
            <w:vAlign w:val="bottom"/>
          </w:tcPr>
          <w:p w14:paraId="036EB4CE"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90,9</w:t>
            </w:r>
          </w:p>
        </w:tc>
        <w:tc>
          <w:tcPr>
            <w:tcW w:w="383" w:type="pct"/>
            <w:tcBorders>
              <w:left w:val="nil"/>
              <w:right w:val="nil"/>
            </w:tcBorders>
            <w:vAlign w:val="bottom"/>
          </w:tcPr>
          <w:p w14:paraId="491AEE72"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556 800</w:t>
            </w:r>
          </w:p>
        </w:tc>
        <w:tc>
          <w:tcPr>
            <w:tcW w:w="474" w:type="pct"/>
            <w:tcBorders>
              <w:left w:val="nil"/>
              <w:right w:val="nil"/>
            </w:tcBorders>
            <w:vAlign w:val="bottom"/>
          </w:tcPr>
          <w:p w14:paraId="293A5A51"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506 400</w:t>
            </w:r>
          </w:p>
        </w:tc>
      </w:tr>
      <w:tr w:rsidR="00DA3C9E" w:rsidRPr="00FC11AF" w14:paraId="147CEFD5" w14:textId="77777777" w:rsidTr="00EF6F89">
        <w:trPr>
          <w:trHeight w:val="255"/>
        </w:trPr>
        <w:tc>
          <w:tcPr>
            <w:tcW w:w="976" w:type="pct"/>
            <w:tcBorders>
              <w:top w:val="nil"/>
              <w:left w:val="nil"/>
              <w:bottom w:val="nil"/>
              <w:right w:val="nil"/>
            </w:tcBorders>
            <w:tcMar>
              <w:top w:w="15" w:type="dxa"/>
              <w:left w:w="15" w:type="dxa"/>
              <w:bottom w:w="0" w:type="dxa"/>
              <w:right w:w="15" w:type="dxa"/>
            </w:tcMar>
            <w:vAlign w:val="bottom"/>
          </w:tcPr>
          <w:p w14:paraId="3DC5A5DF" w14:textId="77777777" w:rsidR="00DA3C9E" w:rsidRPr="00C662D3" w:rsidRDefault="00DA3C9E" w:rsidP="00B20A65">
            <w:pPr>
              <w:spacing w:after="0"/>
              <w:rPr>
                <w:rFonts w:eastAsia="Arial Unicode MS"/>
                <w:sz w:val="18"/>
                <w:szCs w:val="18"/>
                <w:vertAlign w:val="superscript"/>
              </w:rPr>
            </w:pPr>
            <w:r w:rsidRPr="00C662D3">
              <w:rPr>
                <w:sz w:val="18"/>
                <w:szCs w:val="18"/>
              </w:rPr>
              <w:t>Kommune og fylkeskommune</w:t>
            </w:r>
            <w:r w:rsidRPr="00C662D3">
              <w:rPr>
                <w:sz w:val="18"/>
                <w:szCs w:val="18"/>
                <w:vertAlign w:val="superscript"/>
              </w:rPr>
              <w:t>1</w:t>
            </w:r>
          </w:p>
        </w:tc>
        <w:tc>
          <w:tcPr>
            <w:tcW w:w="294" w:type="pct"/>
            <w:tcBorders>
              <w:top w:val="nil"/>
              <w:left w:val="nil"/>
              <w:bottom w:val="nil"/>
              <w:right w:val="nil"/>
            </w:tcBorders>
            <w:vAlign w:val="bottom"/>
          </w:tcPr>
          <w:p w14:paraId="62794044"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91,2</w:t>
            </w:r>
          </w:p>
        </w:tc>
        <w:tc>
          <w:tcPr>
            <w:tcW w:w="294" w:type="pct"/>
            <w:tcBorders>
              <w:top w:val="nil"/>
              <w:left w:val="nil"/>
              <w:bottom w:val="nil"/>
              <w:right w:val="nil"/>
            </w:tcBorders>
            <w:vAlign w:val="bottom"/>
          </w:tcPr>
          <w:p w14:paraId="60A34BE4"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91,9</w:t>
            </w:r>
          </w:p>
        </w:tc>
        <w:tc>
          <w:tcPr>
            <w:tcW w:w="294" w:type="pct"/>
            <w:tcBorders>
              <w:top w:val="nil"/>
              <w:left w:val="nil"/>
              <w:bottom w:val="nil"/>
              <w:right w:val="nil"/>
            </w:tcBorders>
            <w:vAlign w:val="bottom"/>
          </w:tcPr>
          <w:p w14:paraId="73A345D6"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91,4</w:t>
            </w:r>
          </w:p>
        </w:tc>
        <w:tc>
          <w:tcPr>
            <w:tcW w:w="294" w:type="pct"/>
            <w:tcBorders>
              <w:top w:val="nil"/>
              <w:left w:val="nil"/>
              <w:bottom w:val="nil"/>
              <w:right w:val="single" w:sz="4" w:space="0" w:color="auto"/>
            </w:tcBorders>
            <w:vAlign w:val="bottom"/>
          </w:tcPr>
          <w:p w14:paraId="59BB250B"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91,7</w:t>
            </w:r>
          </w:p>
        </w:tc>
        <w:tc>
          <w:tcPr>
            <w:tcW w:w="294" w:type="pct"/>
            <w:tcBorders>
              <w:top w:val="nil"/>
              <w:left w:val="single" w:sz="4" w:space="0" w:color="auto"/>
              <w:bottom w:val="nil"/>
            </w:tcBorders>
            <w:vAlign w:val="bottom"/>
          </w:tcPr>
          <w:p w14:paraId="7B88EC09"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91,4</w:t>
            </w:r>
          </w:p>
        </w:tc>
        <w:tc>
          <w:tcPr>
            <w:tcW w:w="294" w:type="pct"/>
            <w:tcBorders>
              <w:top w:val="nil"/>
              <w:bottom w:val="nil"/>
            </w:tcBorders>
            <w:vAlign w:val="bottom"/>
          </w:tcPr>
          <w:p w14:paraId="4ED41BB1"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91,7</w:t>
            </w:r>
          </w:p>
        </w:tc>
        <w:tc>
          <w:tcPr>
            <w:tcW w:w="294" w:type="pct"/>
            <w:tcBorders>
              <w:top w:val="nil"/>
              <w:bottom w:val="nil"/>
            </w:tcBorders>
            <w:vAlign w:val="bottom"/>
          </w:tcPr>
          <w:p w14:paraId="3A372A0C"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91,8</w:t>
            </w:r>
          </w:p>
        </w:tc>
        <w:tc>
          <w:tcPr>
            <w:tcW w:w="294" w:type="pct"/>
            <w:tcBorders>
              <w:top w:val="nil"/>
              <w:bottom w:val="nil"/>
            </w:tcBorders>
            <w:vAlign w:val="bottom"/>
          </w:tcPr>
          <w:p w14:paraId="7154D28B"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91,5</w:t>
            </w:r>
          </w:p>
        </w:tc>
        <w:tc>
          <w:tcPr>
            <w:tcW w:w="294" w:type="pct"/>
            <w:tcBorders>
              <w:top w:val="nil"/>
              <w:bottom w:val="nil"/>
            </w:tcBorders>
            <w:vAlign w:val="bottom"/>
          </w:tcPr>
          <w:p w14:paraId="5E1E0393"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92,2</w:t>
            </w:r>
          </w:p>
        </w:tc>
        <w:tc>
          <w:tcPr>
            <w:tcW w:w="223" w:type="pct"/>
            <w:tcBorders>
              <w:top w:val="nil"/>
              <w:bottom w:val="nil"/>
            </w:tcBorders>
            <w:vAlign w:val="bottom"/>
          </w:tcPr>
          <w:p w14:paraId="407BF997"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92,1</w:t>
            </w:r>
          </w:p>
        </w:tc>
        <w:tc>
          <w:tcPr>
            <w:tcW w:w="298" w:type="pct"/>
            <w:tcBorders>
              <w:top w:val="nil"/>
              <w:bottom w:val="nil"/>
              <w:right w:val="nil"/>
            </w:tcBorders>
            <w:vAlign w:val="bottom"/>
          </w:tcPr>
          <w:p w14:paraId="6F22F1DD"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92,4</w:t>
            </w:r>
          </w:p>
        </w:tc>
        <w:tc>
          <w:tcPr>
            <w:tcW w:w="383" w:type="pct"/>
            <w:tcBorders>
              <w:top w:val="nil"/>
              <w:left w:val="nil"/>
              <w:bottom w:val="nil"/>
              <w:right w:val="nil"/>
            </w:tcBorders>
            <w:vAlign w:val="bottom"/>
          </w:tcPr>
          <w:p w14:paraId="2AA5AD96"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505 200</w:t>
            </w:r>
          </w:p>
        </w:tc>
        <w:tc>
          <w:tcPr>
            <w:tcW w:w="474" w:type="pct"/>
            <w:tcBorders>
              <w:top w:val="nil"/>
              <w:left w:val="nil"/>
              <w:bottom w:val="nil"/>
              <w:right w:val="nil"/>
            </w:tcBorders>
            <w:vAlign w:val="bottom"/>
          </w:tcPr>
          <w:p w14:paraId="31012889"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466 800</w:t>
            </w:r>
          </w:p>
        </w:tc>
      </w:tr>
      <w:tr w:rsidR="00DA3C9E" w:rsidRPr="00FC11AF" w14:paraId="21F72380" w14:textId="77777777" w:rsidTr="00EF6F89">
        <w:trPr>
          <w:trHeight w:val="255"/>
        </w:trPr>
        <w:tc>
          <w:tcPr>
            <w:tcW w:w="976" w:type="pct"/>
            <w:tcBorders>
              <w:top w:val="nil"/>
              <w:left w:val="nil"/>
              <w:bottom w:val="nil"/>
              <w:right w:val="nil"/>
            </w:tcBorders>
            <w:tcMar>
              <w:top w:w="15" w:type="dxa"/>
              <w:left w:w="15" w:type="dxa"/>
              <w:bottom w:w="0" w:type="dxa"/>
              <w:right w:w="15" w:type="dxa"/>
            </w:tcMar>
            <w:vAlign w:val="bottom"/>
          </w:tcPr>
          <w:p w14:paraId="18096C9D" w14:textId="77777777" w:rsidR="00DA3C9E" w:rsidRPr="00EE5CBA" w:rsidRDefault="00DA3C9E" w:rsidP="00B20A65">
            <w:pPr>
              <w:spacing w:after="0"/>
              <w:rPr>
                <w:sz w:val="18"/>
                <w:szCs w:val="18"/>
                <w:vertAlign w:val="superscript"/>
              </w:rPr>
            </w:pPr>
            <w:r>
              <w:rPr>
                <w:sz w:val="18"/>
                <w:szCs w:val="18"/>
              </w:rPr>
              <w:t>U</w:t>
            </w:r>
            <w:r w:rsidRPr="00D95705">
              <w:rPr>
                <w:sz w:val="18"/>
                <w:szCs w:val="18"/>
              </w:rPr>
              <w:t>ndervisningspersonale i skoleverket</w:t>
            </w:r>
            <w:r>
              <w:rPr>
                <w:sz w:val="18"/>
                <w:szCs w:val="18"/>
                <w:vertAlign w:val="superscript"/>
              </w:rPr>
              <w:t>3</w:t>
            </w:r>
          </w:p>
        </w:tc>
        <w:tc>
          <w:tcPr>
            <w:tcW w:w="294" w:type="pct"/>
            <w:tcBorders>
              <w:top w:val="nil"/>
              <w:left w:val="nil"/>
              <w:bottom w:val="nil"/>
              <w:right w:val="nil"/>
            </w:tcBorders>
            <w:vAlign w:val="bottom"/>
          </w:tcPr>
          <w:p w14:paraId="3C987949"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96,7</w:t>
            </w:r>
          </w:p>
        </w:tc>
        <w:tc>
          <w:tcPr>
            <w:tcW w:w="294" w:type="pct"/>
            <w:tcBorders>
              <w:top w:val="nil"/>
              <w:left w:val="nil"/>
              <w:bottom w:val="nil"/>
              <w:right w:val="nil"/>
            </w:tcBorders>
            <w:vAlign w:val="bottom"/>
          </w:tcPr>
          <w:p w14:paraId="4071AC7A"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96,4</w:t>
            </w:r>
          </w:p>
        </w:tc>
        <w:tc>
          <w:tcPr>
            <w:tcW w:w="294" w:type="pct"/>
            <w:tcBorders>
              <w:top w:val="nil"/>
              <w:left w:val="nil"/>
              <w:bottom w:val="nil"/>
              <w:right w:val="nil"/>
            </w:tcBorders>
            <w:vAlign w:val="bottom"/>
          </w:tcPr>
          <w:p w14:paraId="63F29EAF"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96,7</w:t>
            </w:r>
          </w:p>
        </w:tc>
        <w:tc>
          <w:tcPr>
            <w:tcW w:w="294" w:type="pct"/>
            <w:tcBorders>
              <w:top w:val="nil"/>
              <w:left w:val="nil"/>
              <w:bottom w:val="nil"/>
              <w:right w:val="single" w:sz="4" w:space="0" w:color="auto"/>
            </w:tcBorders>
            <w:vAlign w:val="bottom"/>
          </w:tcPr>
          <w:p w14:paraId="6DBE7BA9"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96,7</w:t>
            </w:r>
          </w:p>
        </w:tc>
        <w:tc>
          <w:tcPr>
            <w:tcW w:w="294" w:type="pct"/>
            <w:tcBorders>
              <w:top w:val="nil"/>
              <w:left w:val="single" w:sz="4" w:space="0" w:color="auto"/>
              <w:bottom w:val="nil"/>
            </w:tcBorders>
            <w:vAlign w:val="bottom"/>
          </w:tcPr>
          <w:p w14:paraId="3F9AE54D"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color w:val="000000"/>
                <w:sz w:val="18"/>
                <w:szCs w:val="18"/>
              </w:rPr>
              <w:t>94,3</w:t>
            </w:r>
          </w:p>
        </w:tc>
        <w:tc>
          <w:tcPr>
            <w:tcW w:w="294" w:type="pct"/>
            <w:tcBorders>
              <w:top w:val="nil"/>
              <w:bottom w:val="nil"/>
            </w:tcBorders>
            <w:vAlign w:val="bottom"/>
          </w:tcPr>
          <w:p w14:paraId="345B8BD2"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color w:val="000000"/>
                <w:sz w:val="18"/>
                <w:szCs w:val="18"/>
              </w:rPr>
              <w:t>94,4</w:t>
            </w:r>
          </w:p>
        </w:tc>
        <w:tc>
          <w:tcPr>
            <w:tcW w:w="294" w:type="pct"/>
            <w:tcBorders>
              <w:top w:val="nil"/>
              <w:bottom w:val="nil"/>
            </w:tcBorders>
            <w:vAlign w:val="bottom"/>
          </w:tcPr>
          <w:p w14:paraId="370FD0C1"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color w:val="000000"/>
                <w:sz w:val="18"/>
                <w:szCs w:val="18"/>
              </w:rPr>
              <w:t>94,7</w:t>
            </w:r>
          </w:p>
        </w:tc>
        <w:tc>
          <w:tcPr>
            <w:tcW w:w="294" w:type="pct"/>
            <w:tcBorders>
              <w:top w:val="nil"/>
              <w:bottom w:val="nil"/>
            </w:tcBorders>
            <w:vAlign w:val="bottom"/>
          </w:tcPr>
          <w:p w14:paraId="74C8514E"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95,1</w:t>
            </w:r>
          </w:p>
        </w:tc>
        <w:tc>
          <w:tcPr>
            <w:tcW w:w="294" w:type="pct"/>
            <w:tcBorders>
              <w:top w:val="nil"/>
              <w:bottom w:val="nil"/>
            </w:tcBorders>
            <w:vAlign w:val="bottom"/>
          </w:tcPr>
          <w:p w14:paraId="43E40B55"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95,1</w:t>
            </w:r>
          </w:p>
        </w:tc>
        <w:tc>
          <w:tcPr>
            <w:tcW w:w="223" w:type="pct"/>
            <w:tcBorders>
              <w:top w:val="nil"/>
              <w:bottom w:val="nil"/>
            </w:tcBorders>
            <w:vAlign w:val="bottom"/>
          </w:tcPr>
          <w:p w14:paraId="1E93883C" w14:textId="77777777" w:rsidR="00DA3C9E" w:rsidRPr="008C5964" w:rsidRDefault="00DA3C9E" w:rsidP="00B20A65">
            <w:pPr>
              <w:spacing w:after="0"/>
              <w:jc w:val="center"/>
              <w:rPr>
                <w:rFonts w:ascii="Times New Roman" w:hAnsi="Times New Roman"/>
                <w:color w:val="000000"/>
                <w:sz w:val="18"/>
                <w:szCs w:val="18"/>
              </w:rPr>
            </w:pPr>
            <w:r>
              <w:rPr>
                <w:rFonts w:ascii="Times New Roman" w:hAnsi="Times New Roman"/>
                <w:color w:val="000000"/>
                <w:sz w:val="18"/>
                <w:szCs w:val="18"/>
              </w:rPr>
              <w:t>95,6</w:t>
            </w:r>
          </w:p>
        </w:tc>
        <w:tc>
          <w:tcPr>
            <w:tcW w:w="298" w:type="pct"/>
            <w:tcBorders>
              <w:top w:val="nil"/>
              <w:bottom w:val="nil"/>
              <w:right w:val="nil"/>
            </w:tcBorders>
            <w:vAlign w:val="bottom"/>
          </w:tcPr>
          <w:p w14:paraId="1CDE1CCC"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95,6</w:t>
            </w:r>
          </w:p>
        </w:tc>
        <w:tc>
          <w:tcPr>
            <w:tcW w:w="383" w:type="pct"/>
            <w:tcBorders>
              <w:top w:val="nil"/>
              <w:left w:val="nil"/>
              <w:bottom w:val="nil"/>
              <w:right w:val="nil"/>
            </w:tcBorders>
            <w:vAlign w:val="bottom"/>
          </w:tcPr>
          <w:p w14:paraId="10037E07"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516 000</w:t>
            </w:r>
          </w:p>
        </w:tc>
        <w:tc>
          <w:tcPr>
            <w:tcW w:w="474" w:type="pct"/>
            <w:tcBorders>
              <w:top w:val="nil"/>
              <w:left w:val="nil"/>
              <w:bottom w:val="nil"/>
              <w:right w:val="nil"/>
            </w:tcBorders>
            <w:vAlign w:val="bottom"/>
          </w:tcPr>
          <w:p w14:paraId="710683B1"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493 200</w:t>
            </w:r>
          </w:p>
        </w:tc>
      </w:tr>
      <w:tr w:rsidR="00DA3C9E" w:rsidRPr="00FC11AF" w14:paraId="7C88D0BB" w14:textId="77777777" w:rsidTr="00EF6F89">
        <w:trPr>
          <w:trHeight w:val="255"/>
        </w:trPr>
        <w:tc>
          <w:tcPr>
            <w:tcW w:w="976" w:type="pct"/>
            <w:tcBorders>
              <w:top w:val="nil"/>
              <w:left w:val="nil"/>
              <w:right w:val="nil"/>
            </w:tcBorders>
            <w:tcMar>
              <w:top w:w="15" w:type="dxa"/>
              <w:left w:w="15" w:type="dxa"/>
              <w:bottom w:w="0" w:type="dxa"/>
              <w:right w:w="15" w:type="dxa"/>
            </w:tcMar>
            <w:vAlign w:val="bottom"/>
          </w:tcPr>
          <w:p w14:paraId="2119A544" w14:textId="77777777" w:rsidR="00DA3C9E" w:rsidRPr="00D95705" w:rsidRDefault="00DA3C9E" w:rsidP="00B20A65">
            <w:pPr>
              <w:spacing w:after="0"/>
              <w:rPr>
                <w:sz w:val="18"/>
                <w:szCs w:val="18"/>
              </w:rPr>
            </w:pPr>
            <w:r w:rsidRPr="00D95705">
              <w:rPr>
                <w:sz w:val="18"/>
                <w:szCs w:val="18"/>
              </w:rPr>
              <w:t>Helseforetak</w:t>
            </w:r>
          </w:p>
        </w:tc>
        <w:tc>
          <w:tcPr>
            <w:tcW w:w="294" w:type="pct"/>
            <w:tcBorders>
              <w:top w:val="nil"/>
              <w:left w:val="nil"/>
              <w:right w:val="nil"/>
            </w:tcBorders>
            <w:vAlign w:val="bottom"/>
          </w:tcPr>
          <w:p w14:paraId="6FE5EB48"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78,2</w:t>
            </w:r>
          </w:p>
        </w:tc>
        <w:tc>
          <w:tcPr>
            <w:tcW w:w="294" w:type="pct"/>
            <w:tcBorders>
              <w:top w:val="nil"/>
              <w:left w:val="nil"/>
              <w:right w:val="nil"/>
            </w:tcBorders>
            <w:vAlign w:val="bottom"/>
          </w:tcPr>
          <w:p w14:paraId="6280113B"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78,2</w:t>
            </w:r>
          </w:p>
        </w:tc>
        <w:tc>
          <w:tcPr>
            <w:tcW w:w="294" w:type="pct"/>
            <w:tcBorders>
              <w:top w:val="nil"/>
              <w:left w:val="nil"/>
              <w:right w:val="nil"/>
            </w:tcBorders>
            <w:vAlign w:val="bottom"/>
          </w:tcPr>
          <w:p w14:paraId="6621E9CF"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79,5</w:t>
            </w:r>
          </w:p>
        </w:tc>
        <w:tc>
          <w:tcPr>
            <w:tcW w:w="294" w:type="pct"/>
            <w:tcBorders>
              <w:top w:val="nil"/>
              <w:left w:val="nil"/>
              <w:right w:val="single" w:sz="4" w:space="0" w:color="auto"/>
            </w:tcBorders>
            <w:vAlign w:val="bottom"/>
          </w:tcPr>
          <w:p w14:paraId="3E13A130"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81,0</w:t>
            </w:r>
          </w:p>
        </w:tc>
        <w:tc>
          <w:tcPr>
            <w:tcW w:w="294" w:type="pct"/>
            <w:tcBorders>
              <w:top w:val="nil"/>
              <w:left w:val="single" w:sz="4" w:space="0" w:color="auto"/>
            </w:tcBorders>
            <w:vAlign w:val="bottom"/>
          </w:tcPr>
          <w:p w14:paraId="121B7300"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80,8</w:t>
            </w:r>
          </w:p>
        </w:tc>
        <w:tc>
          <w:tcPr>
            <w:tcW w:w="294" w:type="pct"/>
            <w:tcBorders>
              <w:top w:val="nil"/>
            </w:tcBorders>
            <w:vAlign w:val="bottom"/>
          </w:tcPr>
          <w:p w14:paraId="42178232"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81,7</w:t>
            </w:r>
          </w:p>
        </w:tc>
        <w:tc>
          <w:tcPr>
            <w:tcW w:w="294" w:type="pct"/>
            <w:tcBorders>
              <w:top w:val="nil"/>
            </w:tcBorders>
            <w:vAlign w:val="bottom"/>
          </w:tcPr>
          <w:p w14:paraId="1AEA7EAD"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81,5</w:t>
            </w:r>
          </w:p>
        </w:tc>
        <w:tc>
          <w:tcPr>
            <w:tcW w:w="294" w:type="pct"/>
            <w:tcBorders>
              <w:top w:val="nil"/>
            </w:tcBorders>
            <w:vAlign w:val="bottom"/>
          </w:tcPr>
          <w:p w14:paraId="310A6367"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82,2</w:t>
            </w:r>
          </w:p>
        </w:tc>
        <w:tc>
          <w:tcPr>
            <w:tcW w:w="294" w:type="pct"/>
            <w:tcBorders>
              <w:top w:val="nil"/>
            </w:tcBorders>
            <w:vAlign w:val="bottom"/>
          </w:tcPr>
          <w:p w14:paraId="769434DD"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82,2</w:t>
            </w:r>
          </w:p>
        </w:tc>
        <w:tc>
          <w:tcPr>
            <w:tcW w:w="223" w:type="pct"/>
            <w:tcBorders>
              <w:top w:val="nil"/>
            </w:tcBorders>
            <w:vAlign w:val="bottom"/>
          </w:tcPr>
          <w:p w14:paraId="2EBD094F"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83,0</w:t>
            </w:r>
          </w:p>
        </w:tc>
        <w:tc>
          <w:tcPr>
            <w:tcW w:w="298" w:type="pct"/>
            <w:tcBorders>
              <w:top w:val="nil"/>
              <w:right w:val="nil"/>
            </w:tcBorders>
            <w:vAlign w:val="bottom"/>
          </w:tcPr>
          <w:p w14:paraId="251ADB77"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83,6</w:t>
            </w:r>
          </w:p>
        </w:tc>
        <w:tc>
          <w:tcPr>
            <w:tcW w:w="383" w:type="pct"/>
            <w:tcBorders>
              <w:top w:val="nil"/>
              <w:left w:val="nil"/>
              <w:right w:val="nil"/>
            </w:tcBorders>
            <w:vAlign w:val="bottom"/>
          </w:tcPr>
          <w:p w14:paraId="12622DD0"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598 800</w:t>
            </w:r>
          </w:p>
        </w:tc>
        <w:tc>
          <w:tcPr>
            <w:tcW w:w="474" w:type="pct"/>
            <w:tcBorders>
              <w:top w:val="nil"/>
              <w:left w:val="nil"/>
              <w:right w:val="nil"/>
            </w:tcBorders>
            <w:vAlign w:val="bottom"/>
          </w:tcPr>
          <w:p w14:paraId="5B844646" w14:textId="77777777" w:rsidR="00DA3C9E" w:rsidRPr="00FC11AF" w:rsidRDefault="00DA3C9E" w:rsidP="00B20A65">
            <w:pPr>
              <w:spacing w:after="0"/>
              <w:jc w:val="center"/>
              <w:rPr>
                <w:rFonts w:ascii="Times Roman" w:hAnsi="Times Roman"/>
                <w:sz w:val="18"/>
                <w:szCs w:val="18"/>
              </w:rPr>
            </w:pPr>
            <w:r w:rsidRPr="00FC11AF">
              <w:rPr>
                <w:rFonts w:ascii="Times Roman" w:hAnsi="Times Roman"/>
                <w:sz w:val="18"/>
                <w:szCs w:val="18"/>
              </w:rPr>
              <w:t>500 400</w:t>
            </w:r>
          </w:p>
        </w:tc>
      </w:tr>
      <w:tr w:rsidR="00DA3C9E" w:rsidRPr="00FC11AF" w14:paraId="6A73FCA7" w14:textId="77777777" w:rsidTr="00EF6F89">
        <w:trPr>
          <w:trHeight w:val="360"/>
        </w:trPr>
        <w:tc>
          <w:tcPr>
            <w:tcW w:w="976" w:type="pct"/>
            <w:tcBorders>
              <w:top w:val="single" w:sz="4" w:space="0" w:color="auto"/>
              <w:left w:val="nil"/>
              <w:bottom w:val="single" w:sz="4" w:space="0" w:color="auto"/>
              <w:right w:val="nil"/>
            </w:tcBorders>
            <w:tcMar>
              <w:top w:w="15" w:type="dxa"/>
              <w:left w:w="15" w:type="dxa"/>
              <w:bottom w:w="0" w:type="dxa"/>
              <w:right w:w="15" w:type="dxa"/>
            </w:tcMar>
            <w:vAlign w:val="bottom"/>
          </w:tcPr>
          <w:p w14:paraId="27BC85F4" w14:textId="77777777" w:rsidR="00DA3C9E" w:rsidRPr="00D95705" w:rsidRDefault="00DA3C9E" w:rsidP="00B20A65">
            <w:pPr>
              <w:spacing w:after="0"/>
              <w:rPr>
                <w:sz w:val="18"/>
                <w:szCs w:val="18"/>
              </w:rPr>
            </w:pPr>
            <w:r w:rsidRPr="00D95705">
              <w:rPr>
                <w:sz w:val="18"/>
                <w:szCs w:val="18"/>
              </w:rPr>
              <w:t>Gjennomsnitt (heltids- og deltidsansatte)</w:t>
            </w:r>
          </w:p>
        </w:tc>
        <w:tc>
          <w:tcPr>
            <w:tcW w:w="294" w:type="pct"/>
            <w:tcBorders>
              <w:top w:val="single" w:sz="4" w:space="0" w:color="auto"/>
              <w:left w:val="nil"/>
              <w:bottom w:val="single" w:sz="4" w:space="0" w:color="auto"/>
              <w:right w:val="nil"/>
            </w:tcBorders>
            <w:vAlign w:val="bottom"/>
          </w:tcPr>
          <w:p w14:paraId="066BAA66"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84,7</w:t>
            </w:r>
          </w:p>
        </w:tc>
        <w:tc>
          <w:tcPr>
            <w:tcW w:w="294" w:type="pct"/>
            <w:tcBorders>
              <w:top w:val="single" w:sz="4" w:space="0" w:color="auto"/>
              <w:left w:val="nil"/>
              <w:bottom w:val="single" w:sz="4" w:space="0" w:color="auto"/>
              <w:right w:val="nil"/>
            </w:tcBorders>
            <w:vAlign w:val="bottom"/>
          </w:tcPr>
          <w:p w14:paraId="6B74CCD7"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84,6</w:t>
            </w:r>
          </w:p>
        </w:tc>
        <w:tc>
          <w:tcPr>
            <w:tcW w:w="294" w:type="pct"/>
            <w:tcBorders>
              <w:top w:val="single" w:sz="4" w:space="0" w:color="auto"/>
              <w:left w:val="nil"/>
              <w:bottom w:val="single" w:sz="4" w:space="0" w:color="auto"/>
              <w:right w:val="nil"/>
            </w:tcBorders>
            <w:vAlign w:val="bottom"/>
          </w:tcPr>
          <w:p w14:paraId="7AE34060"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84,3</w:t>
            </w:r>
          </w:p>
        </w:tc>
        <w:tc>
          <w:tcPr>
            <w:tcW w:w="294" w:type="pct"/>
            <w:tcBorders>
              <w:top w:val="single" w:sz="4" w:space="0" w:color="auto"/>
              <w:left w:val="nil"/>
              <w:bottom w:val="single" w:sz="4" w:space="0" w:color="auto"/>
              <w:right w:val="single" w:sz="4" w:space="0" w:color="auto"/>
            </w:tcBorders>
            <w:vAlign w:val="bottom"/>
          </w:tcPr>
          <w:p w14:paraId="7B298ED8"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85,0</w:t>
            </w:r>
          </w:p>
        </w:tc>
        <w:tc>
          <w:tcPr>
            <w:tcW w:w="294" w:type="pct"/>
            <w:tcBorders>
              <w:top w:val="single" w:sz="4" w:space="0" w:color="auto"/>
              <w:left w:val="single" w:sz="4" w:space="0" w:color="auto"/>
              <w:bottom w:val="single" w:sz="4" w:space="0" w:color="auto"/>
            </w:tcBorders>
            <w:vAlign w:val="bottom"/>
          </w:tcPr>
          <w:p w14:paraId="0459EAEF"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83,9</w:t>
            </w:r>
          </w:p>
        </w:tc>
        <w:tc>
          <w:tcPr>
            <w:tcW w:w="294" w:type="pct"/>
            <w:tcBorders>
              <w:top w:val="single" w:sz="4" w:space="0" w:color="auto"/>
              <w:bottom w:val="single" w:sz="4" w:space="0" w:color="auto"/>
            </w:tcBorders>
            <w:vAlign w:val="bottom"/>
          </w:tcPr>
          <w:p w14:paraId="08968D0C" w14:textId="77777777" w:rsidR="00DA3C9E" w:rsidRPr="00363254" w:rsidRDefault="00DA3C9E" w:rsidP="00B20A65">
            <w:pPr>
              <w:spacing w:after="0"/>
              <w:jc w:val="center"/>
              <w:rPr>
                <w:rFonts w:ascii="Times New Roman" w:hAnsi="Times New Roman"/>
                <w:sz w:val="18"/>
                <w:szCs w:val="18"/>
              </w:rPr>
            </w:pPr>
            <w:r w:rsidRPr="00363254">
              <w:rPr>
                <w:rFonts w:ascii="Times New Roman" w:hAnsi="Times New Roman"/>
                <w:sz w:val="18"/>
                <w:szCs w:val="18"/>
              </w:rPr>
              <w:t>84,7</w:t>
            </w:r>
          </w:p>
        </w:tc>
        <w:tc>
          <w:tcPr>
            <w:tcW w:w="294" w:type="pct"/>
            <w:tcBorders>
              <w:top w:val="single" w:sz="4" w:space="0" w:color="auto"/>
              <w:bottom w:val="single" w:sz="4" w:space="0" w:color="auto"/>
            </w:tcBorders>
            <w:vAlign w:val="bottom"/>
          </w:tcPr>
          <w:p w14:paraId="12ADBE02" w14:textId="77777777" w:rsidR="00DA3C9E" w:rsidRPr="00363254" w:rsidRDefault="00DA3C9E" w:rsidP="00B20A65">
            <w:pPr>
              <w:spacing w:after="0"/>
              <w:jc w:val="center"/>
              <w:rPr>
                <w:rFonts w:ascii="Times New Roman" w:hAnsi="Times New Roman"/>
                <w:color w:val="000000"/>
                <w:sz w:val="18"/>
                <w:szCs w:val="18"/>
              </w:rPr>
            </w:pPr>
            <w:r w:rsidRPr="00363254">
              <w:rPr>
                <w:rFonts w:ascii="Times New Roman" w:hAnsi="Times New Roman"/>
                <w:color w:val="000000"/>
                <w:sz w:val="18"/>
                <w:szCs w:val="18"/>
              </w:rPr>
              <w:t>85,0</w:t>
            </w:r>
          </w:p>
        </w:tc>
        <w:tc>
          <w:tcPr>
            <w:tcW w:w="294" w:type="pct"/>
            <w:tcBorders>
              <w:top w:val="single" w:sz="4" w:space="0" w:color="auto"/>
              <w:bottom w:val="single" w:sz="4" w:space="0" w:color="auto"/>
            </w:tcBorders>
            <w:vAlign w:val="bottom"/>
          </w:tcPr>
          <w:p w14:paraId="2E5F127E" w14:textId="77777777" w:rsidR="00DA3C9E" w:rsidRPr="00CD538A" w:rsidRDefault="00DA3C9E" w:rsidP="00B20A65">
            <w:pPr>
              <w:spacing w:after="0"/>
              <w:jc w:val="center"/>
              <w:rPr>
                <w:rFonts w:ascii="Times New Roman" w:hAnsi="Times New Roman"/>
                <w:color w:val="000000"/>
                <w:sz w:val="18"/>
                <w:szCs w:val="18"/>
              </w:rPr>
            </w:pPr>
            <w:r w:rsidRPr="00AA7D69">
              <w:rPr>
                <w:sz w:val="18"/>
                <w:szCs w:val="18"/>
              </w:rPr>
              <w:t>85,3</w:t>
            </w:r>
          </w:p>
        </w:tc>
        <w:tc>
          <w:tcPr>
            <w:tcW w:w="294" w:type="pct"/>
            <w:tcBorders>
              <w:top w:val="single" w:sz="4" w:space="0" w:color="auto"/>
              <w:bottom w:val="single" w:sz="4" w:space="0" w:color="auto"/>
            </w:tcBorders>
            <w:vAlign w:val="bottom"/>
          </w:tcPr>
          <w:p w14:paraId="1055355B" w14:textId="77777777" w:rsidR="00DA3C9E" w:rsidRPr="008C5964" w:rsidRDefault="00DA3C9E" w:rsidP="00B20A65">
            <w:pPr>
              <w:spacing w:after="0"/>
              <w:jc w:val="center"/>
              <w:rPr>
                <w:rFonts w:ascii="Times New Roman" w:hAnsi="Times New Roman"/>
                <w:sz w:val="18"/>
                <w:szCs w:val="18"/>
              </w:rPr>
            </w:pPr>
            <w:r w:rsidRPr="008C5964">
              <w:rPr>
                <w:rFonts w:ascii="Times New Roman" w:hAnsi="Times New Roman"/>
                <w:color w:val="000000"/>
                <w:sz w:val="18"/>
                <w:szCs w:val="18"/>
              </w:rPr>
              <w:t>86,5</w:t>
            </w:r>
          </w:p>
        </w:tc>
        <w:tc>
          <w:tcPr>
            <w:tcW w:w="223" w:type="pct"/>
            <w:tcBorders>
              <w:top w:val="single" w:sz="4" w:space="0" w:color="auto"/>
              <w:bottom w:val="single" w:sz="4" w:space="0" w:color="auto"/>
            </w:tcBorders>
            <w:vAlign w:val="bottom"/>
          </w:tcPr>
          <w:p w14:paraId="2FECA5C6" w14:textId="77777777" w:rsidR="00DA3C9E" w:rsidRPr="008C5964" w:rsidRDefault="00DA3C9E" w:rsidP="00B20A65">
            <w:pPr>
              <w:spacing w:after="0"/>
              <w:jc w:val="center"/>
              <w:rPr>
                <w:rFonts w:ascii="Times New Roman" w:hAnsi="Times New Roman"/>
                <w:color w:val="000000"/>
                <w:sz w:val="18"/>
                <w:szCs w:val="18"/>
              </w:rPr>
            </w:pPr>
            <w:r w:rsidRPr="008C5964">
              <w:rPr>
                <w:rFonts w:ascii="Times New Roman" w:hAnsi="Times New Roman"/>
                <w:color w:val="000000"/>
                <w:sz w:val="18"/>
                <w:szCs w:val="18"/>
              </w:rPr>
              <w:t>85,8</w:t>
            </w:r>
          </w:p>
        </w:tc>
        <w:tc>
          <w:tcPr>
            <w:tcW w:w="298" w:type="pct"/>
            <w:tcBorders>
              <w:top w:val="single" w:sz="4" w:space="0" w:color="auto"/>
              <w:bottom w:val="single" w:sz="4" w:space="0" w:color="auto"/>
              <w:right w:val="nil"/>
            </w:tcBorders>
            <w:vAlign w:val="bottom"/>
          </w:tcPr>
          <w:p w14:paraId="24A05BDF" w14:textId="77777777" w:rsidR="00DA3C9E" w:rsidRPr="005E77CB" w:rsidRDefault="00DA3C9E" w:rsidP="00B20A65">
            <w:pPr>
              <w:spacing w:after="0"/>
              <w:jc w:val="center"/>
              <w:rPr>
                <w:rFonts w:ascii="Times New Roman" w:hAnsi="Times New Roman"/>
                <w:color w:val="000000"/>
                <w:sz w:val="18"/>
                <w:szCs w:val="18"/>
              </w:rPr>
            </w:pPr>
            <w:r w:rsidRPr="005E77CB">
              <w:rPr>
                <w:rFonts w:ascii="Times New Roman" w:hAnsi="Times New Roman"/>
                <w:color w:val="000000"/>
                <w:sz w:val="18"/>
                <w:szCs w:val="18"/>
              </w:rPr>
              <w:t>86,4</w:t>
            </w:r>
          </w:p>
        </w:tc>
        <w:tc>
          <w:tcPr>
            <w:tcW w:w="383" w:type="pct"/>
            <w:tcBorders>
              <w:top w:val="single" w:sz="4" w:space="0" w:color="auto"/>
              <w:left w:val="nil"/>
              <w:bottom w:val="single" w:sz="4" w:space="0" w:color="auto"/>
              <w:right w:val="nil"/>
            </w:tcBorders>
            <w:vAlign w:val="bottom"/>
          </w:tcPr>
          <w:p w14:paraId="36F143AB" w14:textId="77777777" w:rsidR="00DA3C9E" w:rsidRPr="005E77CB" w:rsidRDefault="00DA3C9E" w:rsidP="00B20A65">
            <w:pPr>
              <w:spacing w:after="0"/>
              <w:jc w:val="center"/>
              <w:rPr>
                <w:rFonts w:ascii="Times New Roman" w:hAnsi="Times New Roman"/>
                <w:color w:val="000000"/>
                <w:sz w:val="18"/>
                <w:szCs w:val="18"/>
              </w:rPr>
            </w:pPr>
            <w:r w:rsidRPr="005E77CB">
              <w:rPr>
                <w:rFonts w:ascii="Times New Roman" w:hAnsi="Times New Roman"/>
                <w:color w:val="000000"/>
                <w:sz w:val="18"/>
                <w:szCs w:val="18"/>
              </w:rPr>
              <w:t>538 800</w:t>
            </w:r>
          </w:p>
        </w:tc>
        <w:tc>
          <w:tcPr>
            <w:tcW w:w="474" w:type="pct"/>
            <w:tcBorders>
              <w:top w:val="single" w:sz="4" w:space="0" w:color="auto"/>
              <w:left w:val="nil"/>
              <w:bottom w:val="single" w:sz="4" w:space="0" w:color="auto"/>
              <w:right w:val="nil"/>
            </w:tcBorders>
            <w:vAlign w:val="bottom"/>
          </w:tcPr>
          <w:p w14:paraId="60BDBFCD" w14:textId="77777777" w:rsidR="00DA3C9E" w:rsidRPr="005E77CB" w:rsidRDefault="00DA3C9E" w:rsidP="00B20A65">
            <w:pPr>
              <w:spacing w:after="0"/>
              <w:jc w:val="center"/>
              <w:rPr>
                <w:rFonts w:ascii="Times New Roman" w:hAnsi="Times New Roman"/>
                <w:color w:val="000000"/>
                <w:sz w:val="18"/>
                <w:szCs w:val="18"/>
              </w:rPr>
            </w:pPr>
            <w:r w:rsidRPr="005E77CB">
              <w:rPr>
                <w:rFonts w:ascii="Times New Roman" w:hAnsi="Times New Roman"/>
                <w:color w:val="000000"/>
                <w:sz w:val="18"/>
                <w:szCs w:val="18"/>
              </w:rPr>
              <w:t>465 600</w:t>
            </w:r>
          </w:p>
        </w:tc>
      </w:tr>
    </w:tbl>
    <w:p w14:paraId="7EB0830F" w14:textId="77777777" w:rsidR="00DA3C9E" w:rsidRDefault="00DA3C9E" w:rsidP="006E305B">
      <w:pPr>
        <w:pStyle w:val="tabell-noter"/>
        <w:numPr>
          <w:ilvl w:val="0"/>
          <w:numId w:val="41"/>
        </w:numPr>
        <w:spacing w:after="0"/>
      </w:pPr>
      <w:r w:rsidRPr="00594C1C">
        <w:t xml:space="preserve">Ansatte i kraftforsyning og </w:t>
      </w:r>
      <w:r>
        <w:t xml:space="preserve">undervisningspersonale </w:t>
      </w:r>
      <w:r w:rsidRPr="00594C1C">
        <w:t>i skoleverket er med i statistikkgrunnlaget</w:t>
      </w:r>
      <w:r>
        <w:t xml:space="preserve"> fra og med 2008.</w:t>
      </w:r>
    </w:p>
    <w:p w14:paraId="54A0C1F8" w14:textId="77777777" w:rsidR="00DA3C9E" w:rsidRDefault="00DA3C9E" w:rsidP="006E305B">
      <w:pPr>
        <w:pStyle w:val="tabell-noter"/>
        <w:numPr>
          <w:ilvl w:val="0"/>
          <w:numId w:val="41"/>
        </w:numPr>
        <w:spacing w:after="0"/>
      </w:pPr>
      <w:r w:rsidRPr="00F42C3B">
        <w:t>Tallene er beregnet etter ny næringsstandard</w:t>
      </w:r>
      <w:r>
        <w:t xml:space="preserve"> fra og med 2008.</w:t>
      </w:r>
    </w:p>
    <w:p w14:paraId="363E3A1C" w14:textId="77777777" w:rsidR="00DA3C9E" w:rsidRDefault="00DA3C9E" w:rsidP="006E305B">
      <w:pPr>
        <w:pStyle w:val="tabell-noter"/>
        <w:numPr>
          <w:ilvl w:val="0"/>
          <w:numId w:val="41"/>
        </w:numPr>
        <w:spacing w:after="0"/>
      </w:pPr>
      <w:r>
        <w:t>Fra og med 2008 vil også personale i skoleverket utover rent undervisningspersonale være inkludert.</w:t>
      </w:r>
    </w:p>
    <w:p w14:paraId="0C48170C" w14:textId="77777777" w:rsidR="00DA3C9E" w:rsidRDefault="00DA3C9E" w:rsidP="00DA3C9E">
      <w:pPr>
        <w:pStyle w:val="Kilde"/>
      </w:pPr>
      <w:r>
        <w:t>Kilde: Statistisk sentralbyrå</w:t>
      </w:r>
    </w:p>
    <w:p w14:paraId="44A8D6CA" w14:textId="77777777" w:rsidR="00DA3C9E" w:rsidRDefault="00DA3C9E" w:rsidP="00DA3C9E">
      <w:pPr>
        <w:spacing w:after="0"/>
      </w:pPr>
      <w:r>
        <w:br w:type="page"/>
      </w:r>
    </w:p>
    <w:p w14:paraId="1C44DC66" w14:textId="72C7AEFA" w:rsidR="00DA3C9E" w:rsidRPr="004F16BA" w:rsidRDefault="00DA3C9E" w:rsidP="00DA3C9E">
      <w:pPr>
        <w:pStyle w:val="tabell-tittel"/>
        <w:numPr>
          <w:ilvl w:val="0"/>
          <w:numId w:val="0"/>
        </w:numPr>
      </w:pPr>
      <w:r>
        <w:t xml:space="preserve">Tabell </w:t>
      </w:r>
      <w:r w:rsidR="0009043D">
        <w:t>2.3</w:t>
      </w:r>
      <w:r>
        <w:t xml:space="preserve"> </w:t>
      </w:r>
      <w:r w:rsidRPr="004F16BA">
        <w:t>Kvinners lønn som andel av menns fordelt på utdanning, herunder fagutdanning</w:t>
      </w:r>
      <w:r>
        <w:t xml:space="preserve"> og næring. Heltidsansatte. 200</w:t>
      </w:r>
      <w:r w:rsidR="00C91F4C">
        <w:t>5</w:t>
      </w:r>
      <w:r>
        <w:t>-201</w:t>
      </w:r>
      <w:r w:rsidR="00C91F4C">
        <w:t>4</w:t>
      </w:r>
      <w:r w:rsidRPr="004F16BA">
        <w:rPr>
          <w:bdr w:val="single" w:sz="4" w:space="0" w:color="auto"/>
        </w:rPr>
        <w:t xml:space="preserve"> </w:t>
      </w:r>
    </w:p>
    <w:tbl>
      <w:tblPr>
        <w:tblStyle w:val="StandardTabell"/>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71"/>
        <w:gridCol w:w="490"/>
        <w:gridCol w:w="521"/>
        <w:gridCol w:w="521"/>
        <w:gridCol w:w="521"/>
        <w:gridCol w:w="521"/>
        <w:gridCol w:w="523"/>
        <w:gridCol w:w="523"/>
        <w:gridCol w:w="524"/>
        <w:gridCol w:w="524"/>
        <w:gridCol w:w="524"/>
        <w:gridCol w:w="682"/>
        <w:gridCol w:w="861"/>
        <w:gridCol w:w="859"/>
      </w:tblGrid>
      <w:tr w:rsidR="00DA3C9E" w:rsidRPr="00E27566" w14:paraId="25015B68" w14:textId="77777777" w:rsidTr="00EF6F89">
        <w:trPr>
          <w:trHeight w:val="695"/>
          <w:tblHeader/>
        </w:trPr>
        <w:tc>
          <w:tcPr>
            <w:tcW w:w="807" w:type="pct"/>
            <w:tcBorders>
              <w:top w:val="single" w:sz="4" w:space="0" w:color="auto"/>
              <w:bottom w:val="single" w:sz="4" w:space="0" w:color="auto"/>
            </w:tcBorders>
            <w:shd w:val="clear" w:color="auto" w:fill="FFFFFF"/>
            <w:vAlign w:val="bottom"/>
          </w:tcPr>
          <w:p w14:paraId="18C806CE" w14:textId="77777777" w:rsidR="00DA3C9E" w:rsidRPr="00E27566" w:rsidRDefault="00DA3C9E" w:rsidP="00B20A65">
            <w:pPr>
              <w:spacing w:before="60" w:after="60"/>
              <w:jc w:val="right"/>
              <w:rPr>
                <w:rFonts w:ascii="Times New Roman" w:hAnsi="Times New Roman"/>
                <w:sz w:val="18"/>
                <w:szCs w:val="18"/>
              </w:rPr>
            </w:pPr>
          </w:p>
        </w:tc>
        <w:tc>
          <w:tcPr>
            <w:tcW w:w="271" w:type="pct"/>
            <w:tcBorders>
              <w:top w:val="single" w:sz="4" w:space="0" w:color="auto"/>
              <w:bottom w:val="single" w:sz="4" w:space="0" w:color="auto"/>
            </w:tcBorders>
            <w:vAlign w:val="bottom"/>
          </w:tcPr>
          <w:p w14:paraId="4CB9C6D4" w14:textId="77777777" w:rsidR="00DA3C9E" w:rsidRPr="00E27566" w:rsidDel="00EE6052" w:rsidRDefault="00DA3C9E" w:rsidP="00B20A65">
            <w:pPr>
              <w:spacing w:before="60" w:after="60"/>
              <w:jc w:val="right"/>
              <w:rPr>
                <w:rFonts w:ascii="Times New Roman" w:hAnsi="Times New Roman"/>
                <w:sz w:val="18"/>
                <w:szCs w:val="18"/>
                <w:vertAlign w:val="superscript"/>
              </w:rPr>
            </w:pPr>
            <w:r w:rsidRPr="00E27566">
              <w:rPr>
                <w:rFonts w:ascii="Times New Roman" w:hAnsi="Times New Roman"/>
                <w:sz w:val="18"/>
                <w:szCs w:val="18"/>
              </w:rPr>
              <w:t>2005</w:t>
            </w:r>
            <w:r w:rsidRPr="00E27566">
              <w:rPr>
                <w:rFonts w:ascii="Times New Roman" w:hAnsi="Times New Roman"/>
                <w:sz w:val="18"/>
                <w:szCs w:val="18"/>
                <w:vertAlign w:val="superscript"/>
              </w:rPr>
              <w:t>1</w:t>
            </w:r>
          </w:p>
        </w:tc>
        <w:tc>
          <w:tcPr>
            <w:tcW w:w="288" w:type="pct"/>
            <w:tcBorders>
              <w:top w:val="single" w:sz="4" w:space="0" w:color="auto"/>
              <w:bottom w:val="single" w:sz="4" w:space="0" w:color="auto"/>
            </w:tcBorders>
            <w:vAlign w:val="bottom"/>
          </w:tcPr>
          <w:p w14:paraId="0E0DA37D" w14:textId="77777777" w:rsidR="00DA3C9E" w:rsidRPr="00E27566" w:rsidRDefault="00DA3C9E" w:rsidP="00B20A65">
            <w:pPr>
              <w:spacing w:before="60" w:after="60"/>
              <w:jc w:val="right"/>
              <w:rPr>
                <w:rFonts w:ascii="Times New Roman" w:hAnsi="Times New Roman"/>
                <w:sz w:val="18"/>
                <w:szCs w:val="18"/>
                <w:vertAlign w:val="superscript"/>
              </w:rPr>
            </w:pPr>
            <w:r w:rsidRPr="00E27566">
              <w:rPr>
                <w:rFonts w:ascii="Times New Roman" w:hAnsi="Times New Roman"/>
                <w:sz w:val="18"/>
                <w:szCs w:val="18"/>
              </w:rPr>
              <w:t>2006</w:t>
            </w:r>
          </w:p>
        </w:tc>
        <w:tc>
          <w:tcPr>
            <w:tcW w:w="288" w:type="pct"/>
            <w:tcBorders>
              <w:top w:val="single" w:sz="4" w:space="0" w:color="auto"/>
              <w:bottom w:val="single" w:sz="4" w:space="0" w:color="auto"/>
            </w:tcBorders>
            <w:vAlign w:val="bottom"/>
          </w:tcPr>
          <w:p w14:paraId="3C45982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2007</w:t>
            </w:r>
          </w:p>
        </w:tc>
        <w:tc>
          <w:tcPr>
            <w:tcW w:w="288" w:type="pct"/>
            <w:tcBorders>
              <w:top w:val="single" w:sz="4" w:space="0" w:color="auto"/>
              <w:bottom w:val="single" w:sz="4" w:space="0" w:color="auto"/>
              <w:right w:val="single" w:sz="4" w:space="0" w:color="auto"/>
            </w:tcBorders>
            <w:vAlign w:val="bottom"/>
          </w:tcPr>
          <w:p w14:paraId="54EBBECD" w14:textId="77777777" w:rsidR="00DA3C9E" w:rsidRPr="00E27566" w:rsidRDefault="00DA3C9E" w:rsidP="00B20A65">
            <w:pPr>
              <w:spacing w:before="60" w:after="60"/>
              <w:jc w:val="center"/>
              <w:rPr>
                <w:rFonts w:ascii="Times New Roman" w:hAnsi="Times New Roman"/>
                <w:sz w:val="18"/>
                <w:szCs w:val="18"/>
              </w:rPr>
            </w:pPr>
            <w:r w:rsidRPr="00E27566">
              <w:rPr>
                <w:rFonts w:ascii="Times New Roman" w:hAnsi="Times New Roman"/>
                <w:sz w:val="18"/>
                <w:szCs w:val="18"/>
              </w:rPr>
              <w:t>2008</w:t>
            </w:r>
          </w:p>
        </w:tc>
        <w:tc>
          <w:tcPr>
            <w:tcW w:w="288" w:type="pct"/>
            <w:tcBorders>
              <w:top w:val="single" w:sz="4" w:space="0" w:color="auto"/>
              <w:left w:val="single" w:sz="4" w:space="0" w:color="auto"/>
              <w:bottom w:val="single" w:sz="4" w:space="0" w:color="auto"/>
            </w:tcBorders>
            <w:vAlign w:val="bottom"/>
          </w:tcPr>
          <w:p w14:paraId="7303B11C" w14:textId="77777777" w:rsidR="00DA3C9E" w:rsidRPr="00E27566" w:rsidRDefault="00DA3C9E" w:rsidP="00B20A65">
            <w:pPr>
              <w:spacing w:before="60" w:after="60"/>
              <w:rPr>
                <w:rFonts w:ascii="Times New Roman" w:eastAsia="Arial Unicode MS" w:hAnsi="Times New Roman"/>
                <w:sz w:val="18"/>
                <w:szCs w:val="18"/>
                <w:vertAlign w:val="superscript"/>
              </w:rPr>
            </w:pPr>
            <w:r w:rsidRPr="00E27566">
              <w:rPr>
                <w:rFonts w:ascii="Times New Roman" w:eastAsia="Arial Unicode MS" w:hAnsi="Times New Roman"/>
                <w:sz w:val="18"/>
                <w:szCs w:val="18"/>
              </w:rPr>
              <w:t>2008</w:t>
            </w:r>
            <w:r w:rsidRPr="00E27566">
              <w:rPr>
                <w:rFonts w:ascii="Times New Roman" w:eastAsia="Arial Unicode MS" w:hAnsi="Times New Roman"/>
                <w:sz w:val="18"/>
                <w:szCs w:val="18"/>
                <w:vertAlign w:val="superscript"/>
              </w:rPr>
              <w:t>3</w:t>
            </w:r>
          </w:p>
        </w:tc>
        <w:tc>
          <w:tcPr>
            <w:tcW w:w="289" w:type="pct"/>
            <w:tcBorders>
              <w:top w:val="single" w:sz="4" w:space="0" w:color="auto"/>
              <w:bottom w:val="single" w:sz="4" w:space="0" w:color="auto"/>
            </w:tcBorders>
            <w:vAlign w:val="bottom"/>
          </w:tcPr>
          <w:p w14:paraId="6FAE7BED" w14:textId="77777777" w:rsidR="00DA3C9E" w:rsidRPr="00E27566" w:rsidRDefault="00DA3C9E" w:rsidP="00B20A65">
            <w:pPr>
              <w:spacing w:before="60" w:after="60"/>
              <w:jc w:val="right"/>
              <w:rPr>
                <w:rFonts w:ascii="Times New Roman" w:eastAsia="Arial Unicode MS" w:hAnsi="Times New Roman"/>
                <w:sz w:val="18"/>
                <w:szCs w:val="18"/>
                <w:vertAlign w:val="superscript"/>
              </w:rPr>
            </w:pPr>
            <w:r w:rsidRPr="00E27566">
              <w:rPr>
                <w:rFonts w:ascii="Times New Roman" w:eastAsia="Arial Unicode MS" w:hAnsi="Times New Roman"/>
                <w:sz w:val="18"/>
                <w:szCs w:val="18"/>
              </w:rPr>
              <w:t>2009</w:t>
            </w:r>
          </w:p>
        </w:tc>
        <w:tc>
          <w:tcPr>
            <w:tcW w:w="289" w:type="pct"/>
            <w:tcBorders>
              <w:top w:val="single" w:sz="4" w:space="0" w:color="auto"/>
              <w:bottom w:val="single" w:sz="4" w:space="0" w:color="auto"/>
            </w:tcBorders>
            <w:vAlign w:val="bottom"/>
          </w:tcPr>
          <w:p w14:paraId="13D51D93" w14:textId="77777777" w:rsidR="00DA3C9E" w:rsidRPr="00E27566" w:rsidRDefault="00DA3C9E" w:rsidP="00B20A65">
            <w:pPr>
              <w:spacing w:before="60" w:after="60"/>
              <w:jc w:val="right"/>
              <w:rPr>
                <w:rFonts w:ascii="Times New Roman" w:eastAsia="Arial Unicode MS" w:hAnsi="Times New Roman"/>
                <w:sz w:val="18"/>
                <w:szCs w:val="18"/>
              </w:rPr>
            </w:pPr>
            <w:r w:rsidRPr="00E27566">
              <w:rPr>
                <w:rFonts w:ascii="Times New Roman" w:eastAsia="Arial Unicode MS" w:hAnsi="Times New Roman"/>
                <w:sz w:val="18"/>
                <w:szCs w:val="18"/>
              </w:rPr>
              <w:t>2010</w:t>
            </w:r>
          </w:p>
        </w:tc>
        <w:tc>
          <w:tcPr>
            <w:tcW w:w="289" w:type="pct"/>
            <w:tcBorders>
              <w:top w:val="single" w:sz="4" w:space="0" w:color="auto"/>
              <w:bottom w:val="single" w:sz="4" w:space="0" w:color="auto"/>
            </w:tcBorders>
            <w:vAlign w:val="bottom"/>
          </w:tcPr>
          <w:p w14:paraId="71DC483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2011</w:t>
            </w:r>
          </w:p>
        </w:tc>
        <w:tc>
          <w:tcPr>
            <w:tcW w:w="289" w:type="pct"/>
            <w:tcBorders>
              <w:top w:val="single" w:sz="4" w:space="0" w:color="auto"/>
              <w:bottom w:val="single" w:sz="4" w:space="0" w:color="auto"/>
            </w:tcBorders>
            <w:vAlign w:val="bottom"/>
          </w:tcPr>
          <w:p w14:paraId="2ACB98E9" w14:textId="77777777" w:rsidR="00DA3C9E" w:rsidRPr="00E27566" w:rsidRDefault="00DA3C9E" w:rsidP="00B20A65">
            <w:pPr>
              <w:spacing w:before="60" w:after="60"/>
              <w:jc w:val="right"/>
              <w:rPr>
                <w:rFonts w:ascii="Times New Roman" w:hAnsi="Times New Roman"/>
                <w:sz w:val="18"/>
                <w:szCs w:val="18"/>
                <w:vertAlign w:val="superscript"/>
              </w:rPr>
            </w:pPr>
            <w:r w:rsidRPr="00E27566">
              <w:rPr>
                <w:rFonts w:ascii="Times New Roman" w:hAnsi="Times New Roman"/>
                <w:sz w:val="18"/>
                <w:szCs w:val="18"/>
              </w:rPr>
              <w:t>2012</w:t>
            </w:r>
            <w:r w:rsidRPr="00E27566">
              <w:rPr>
                <w:rFonts w:ascii="Times New Roman" w:hAnsi="Times New Roman"/>
                <w:sz w:val="18"/>
                <w:szCs w:val="18"/>
                <w:vertAlign w:val="superscript"/>
              </w:rPr>
              <w:t>4</w:t>
            </w:r>
          </w:p>
        </w:tc>
        <w:tc>
          <w:tcPr>
            <w:tcW w:w="289" w:type="pct"/>
            <w:tcBorders>
              <w:top w:val="single" w:sz="4" w:space="0" w:color="auto"/>
              <w:bottom w:val="single" w:sz="4" w:space="0" w:color="auto"/>
            </w:tcBorders>
            <w:vAlign w:val="bottom"/>
          </w:tcPr>
          <w:p w14:paraId="5FB5F33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2013</w:t>
            </w:r>
          </w:p>
        </w:tc>
        <w:tc>
          <w:tcPr>
            <w:tcW w:w="376" w:type="pct"/>
            <w:tcBorders>
              <w:top w:val="single" w:sz="4" w:space="0" w:color="auto"/>
              <w:bottom w:val="single" w:sz="4" w:space="0" w:color="auto"/>
            </w:tcBorders>
            <w:vAlign w:val="bottom"/>
          </w:tcPr>
          <w:p w14:paraId="623F82C1" w14:textId="77777777" w:rsidR="00DA3C9E" w:rsidRPr="00E27566" w:rsidRDefault="00DA3C9E" w:rsidP="00B20A65">
            <w:pPr>
              <w:spacing w:before="60" w:after="60"/>
              <w:jc w:val="right"/>
              <w:rPr>
                <w:rFonts w:ascii="Times New Roman" w:hAnsi="Times New Roman"/>
                <w:sz w:val="18"/>
                <w:szCs w:val="18"/>
              </w:rPr>
            </w:pPr>
            <w:r>
              <w:rPr>
                <w:rFonts w:ascii="Times New Roman" w:hAnsi="Times New Roman"/>
                <w:sz w:val="18"/>
                <w:szCs w:val="18"/>
              </w:rPr>
              <w:t>2014</w:t>
            </w:r>
          </w:p>
        </w:tc>
        <w:tc>
          <w:tcPr>
            <w:tcW w:w="950" w:type="pct"/>
            <w:gridSpan w:val="2"/>
            <w:tcBorders>
              <w:top w:val="single" w:sz="4" w:space="0" w:color="auto"/>
              <w:bottom w:val="single" w:sz="4" w:space="0" w:color="auto"/>
            </w:tcBorders>
            <w:vAlign w:val="bottom"/>
          </w:tcPr>
          <w:p w14:paraId="39880BCB" w14:textId="77777777" w:rsidR="00DA3C9E" w:rsidRPr="00E27566" w:rsidRDefault="00DA3C9E" w:rsidP="00B20A65">
            <w:pPr>
              <w:spacing w:before="60" w:after="60"/>
              <w:jc w:val="center"/>
              <w:rPr>
                <w:rFonts w:ascii="Times New Roman" w:hAnsi="Times New Roman"/>
                <w:sz w:val="18"/>
                <w:szCs w:val="18"/>
              </w:rPr>
            </w:pPr>
            <w:r w:rsidRPr="00E27566">
              <w:rPr>
                <w:rFonts w:ascii="Times New Roman" w:hAnsi="Times New Roman"/>
                <w:sz w:val="18"/>
                <w:szCs w:val="18"/>
              </w:rPr>
              <w:t>Månedslønn*12</w:t>
            </w:r>
          </w:p>
          <w:p w14:paraId="333930E1" w14:textId="77777777" w:rsidR="00DA3C9E" w:rsidRPr="004E6D51" w:rsidRDefault="00DA3C9E" w:rsidP="00B20A65">
            <w:pPr>
              <w:spacing w:before="60" w:after="60"/>
              <w:jc w:val="center"/>
              <w:rPr>
                <w:rFonts w:ascii="Times New Roman" w:hAnsi="Times New Roman"/>
                <w:sz w:val="18"/>
                <w:szCs w:val="18"/>
                <w:u w:val="single"/>
                <w:vertAlign w:val="superscript"/>
              </w:rPr>
            </w:pPr>
            <w:r w:rsidRPr="004E6D51">
              <w:rPr>
                <w:rFonts w:ascii="Times New Roman" w:hAnsi="Times New Roman"/>
                <w:sz w:val="18"/>
                <w:szCs w:val="18"/>
                <w:u w:val="single"/>
              </w:rPr>
              <w:t>1.9/1.10/1.12.201</w:t>
            </w:r>
            <w:r w:rsidR="00C91F4C" w:rsidRPr="004E6D51">
              <w:rPr>
                <w:rFonts w:ascii="Times New Roman" w:hAnsi="Times New Roman"/>
                <w:sz w:val="18"/>
                <w:szCs w:val="18"/>
                <w:u w:val="single"/>
              </w:rPr>
              <w:t>4</w:t>
            </w:r>
          </w:p>
          <w:p w14:paraId="3415022E"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sz w:val="18"/>
                <w:szCs w:val="18"/>
              </w:rPr>
              <w:t>Menn     Kvinner</w:t>
            </w:r>
          </w:p>
        </w:tc>
      </w:tr>
      <w:tr w:rsidR="00DA3C9E" w:rsidRPr="00E27566" w14:paraId="05156300" w14:textId="77777777" w:rsidTr="00EF6F89">
        <w:trPr>
          <w:trHeight w:val="561"/>
        </w:trPr>
        <w:tc>
          <w:tcPr>
            <w:tcW w:w="807" w:type="pct"/>
            <w:tcBorders>
              <w:top w:val="single" w:sz="4" w:space="0" w:color="auto"/>
            </w:tcBorders>
            <w:vAlign w:val="bottom"/>
          </w:tcPr>
          <w:p w14:paraId="401C5D34" w14:textId="77777777" w:rsidR="00DA3C9E" w:rsidRPr="00E27566" w:rsidRDefault="00DA3C9E" w:rsidP="00B20A65">
            <w:pPr>
              <w:spacing w:before="60" w:after="60"/>
              <w:rPr>
                <w:rFonts w:ascii="Times New Roman" w:eastAsia="Arial Unicode MS" w:hAnsi="Times New Roman"/>
                <w:i/>
                <w:sz w:val="18"/>
                <w:szCs w:val="18"/>
              </w:rPr>
            </w:pPr>
            <w:r w:rsidRPr="00E27566">
              <w:rPr>
                <w:rFonts w:ascii="Times New Roman" w:hAnsi="Times New Roman"/>
                <w:i/>
                <w:sz w:val="18"/>
                <w:szCs w:val="18"/>
              </w:rPr>
              <w:t>Utdanning på grunnskolenivå</w:t>
            </w:r>
          </w:p>
        </w:tc>
        <w:tc>
          <w:tcPr>
            <w:tcW w:w="271" w:type="pct"/>
            <w:tcBorders>
              <w:top w:val="single" w:sz="4" w:space="0" w:color="auto"/>
            </w:tcBorders>
            <w:vAlign w:val="bottom"/>
          </w:tcPr>
          <w:p w14:paraId="1B30651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90,8</w:t>
            </w:r>
          </w:p>
        </w:tc>
        <w:tc>
          <w:tcPr>
            <w:tcW w:w="288" w:type="pct"/>
            <w:tcBorders>
              <w:top w:val="single" w:sz="4" w:space="0" w:color="auto"/>
            </w:tcBorders>
            <w:vAlign w:val="bottom"/>
          </w:tcPr>
          <w:p w14:paraId="2AA3DF7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90,3</w:t>
            </w:r>
          </w:p>
        </w:tc>
        <w:tc>
          <w:tcPr>
            <w:tcW w:w="288" w:type="pct"/>
            <w:tcBorders>
              <w:top w:val="single" w:sz="4" w:space="0" w:color="auto"/>
            </w:tcBorders>
            <w:vAlign w:val="bottom"/>
          </w:tcPr>
          <w:p w14:paraId="6BC1324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90,4</w:t>
            </w:r>
          </w:p>
        </w:tc>
        <w:tc>
          <w:tcPr>
            <w:tcW w:w="288" w:type="pct"/>
            <w:tcBorders>
              <w:top w:val="single" w:sz="4" w:space="0" w:color="auto"/>
              <w:right w:val="single" w:sz="4" w:space="0" w:color="auto"/>
            </w:tcBorders>
            <w:vAlign w:val="bottom"/>
          </w:tcPr>
          <w:p w14:paraId="6DB270EF"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90,7</w:t>
            </w:r>
          </w:p>
        </w:tc>
        <w:tc>
          <w:tcPr>
            <w:tcW w:w="288" w:type="pct"/>
            <w:tcBorders>
              <w:top w:val="single" w:sz="4" w:space="0" w:color="auto"/>
              <w:left w:val="single" w:sz="4" w:space="0" w:color="auto"/>
            </w:tcBorders>
            <w:vAlign w:val="bottom"/>
          </w:tcPr>
          <w:p w14:paraId="71A3620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90,1</w:t>
            </w:r>
          </w:p>
        </w:tc>
        <w:tc>
          <w:tcPr>
            <w:tcW w:w="289" w:type="pct"/>
            <w:tcBorders>
              <w:top w:val="single" w:sz="4" w:space="0" w:color="auto"/>
            </w:tcBorders>
            <w:vAlign w:val="bottom"/>
          </w:tcPr>
          <w:p w14:paraId="23F3B0D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89,7</w:t>
            </w:r>
          </w:p>
        </w:tc>
        <w:tc>
          <w:tcPr>
            <w:tcW w:w="289" w:type="pct"/>
            <w:tcBorders>
              <w:top w:val="single" w:sz="4" w:space="0" w:color="auto"/>
            </w:tcBorders>
            <w:vAlign w:val="bottom"/>
          </w:tcPr>
          <w:p w14:paraId="56D3A79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90,6</w:t>
            </w:r>
          </w:p>
        </w:tc>
        <w:tc>
          <w:tcPr>
            <w:tcW w:w="289" w:type="pct"/>
            <w:tcBorders>
              <w:top w:val="single" w:sz="4" w:space="0" w:color="auto"/>
            </w:tcBorders>
            <w:vAlign w:val="bottom"/>
          </w:tcPr>
          <w:p w14:paraId="10D0CE8E"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90,9</w:t>
            </w:r>
          </w:p>
        </w:tc>
        <w:tc>
          <w:tcPr>
            <w:tcW w:w="289" w:type="pct"/>
            <w:tcBorders>
              <w:top w:val="single" w:sz="4" w:space="0" w:color="auto"/>
            </w:tcBorders>
            <w:vAlign w:val="bottom"/>
          </w:tcPr>
          <w:p w14:paraId="3590E5BE"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90,9</w:t>
            </w:r>
          </w:p>
        </w:tc>
        <w:tc>
          <w:tcPr>
            <w:tcW w:w="289" w:type="pct"/>
            <w:tcBorders>
              <w:top w:val="single" w:sz="4" w:space="0" w:color="auto"/>
            </w:tcBorders>
            <w:vAlign w:val="bottom"/>
          </w:tcPr>
          <w:p w14:paraId="12CA80C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90,9</w:t>
            </w:r>
          </w:p>
        </w:tc>
        <w:tc>
          <w:tcPr>
            <w:tcW w:w="376" w:type="pct"/>
            <w:tcBorders>
              <w:top w:val="single" w:sz="4" w:space="0" w:color="auto"/>
            </w:tcBorders>
            <w:vAlign w:val="bottom"/>
          </w:tcPr>
          <w:p w14:paraId="7DBBAC4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90,8</w:t>
            </w:r>
          </w:p>
        </w:tc>
        <w:tc>
          <w:tcPr>
            <w:tcW w:w="475" w:type="pct"/>
            <w:tcBorders>
              <w:top w:val="single" w:sz="4" w:space="0" w:color="auto"/>
            </w:tcBorders>
            <w:vAlign w:val="bottom"/>
          </w:tcPr>
          <w:p w14:paraId="23CC48E1" w14:textId="77777777" w:rsidR="00DA3C9E" w:rsidRPr="00E27566" w:rsidRDefault="00DA3C9E" w:rsidP="00B20A65">
            <w:pPr>
              <w:spacing w:before="60" w:after="60"/>
              <w:jc w:val="center"/>
              <w:rPr>
                <w:rFonts w:ascii="Times New Roman" w:hAnsi="Times New Roman"/>
                <w:sz w:val="18"/>
                <w:szCs w:val="18"/>
              </w:rPr>
            </w:pPr>
            <w:r w:rsidRPr="00E27566">
              <w:rPr>
                <w:rFonts w:ascii="Times New Roman" w:hAnsi="Times New Roman"/>
                <w:sz w:val="18"/>
                <w:szCs w:val="18"/>
              </w:rPr>
              <w:t>418 800</w:t>
            </w:r>
          </w:p>
        </w:tc>
        <w:tc>
          <w:tcPr>
            <w:tcW w:w="475" w:type="pct"/>
            <w:tcBorders>
              <w:top w:val="single" w:sz="4" w:space="0" w:color="auto"/>
            </w:tcBorders>
            <w:vAlign w:val="bottom"/>
          </w:tcPr>
          <w:p w14:paraId="6F149E9A" w14:textId="77777777" w:rsidR="00DA3C9E" w:rsidRPr="00E27566" w:rsidRDefault="00DA3C9E" w:rsidP="00B20A65">
            <w:pPr>
              <w:spacing w:before="60" w:after="60"/>
              <w:jc w:val="center"/>
              <w:rPr>
                <w:rFonts w:ascii="Times New Roman" w:hAnsi="Times New Roman"/>
                <w:sz w:val="18"/>
                <w:szCs w:val="18"/>
              </w:rPr>
            </w:pPr>
            <w:r w:rsidRPr="00E27566">
              <w:rPr>
                <w:rFonts w:ascii="Times New Roman" w:hAnsi="Times New Roman"/>
                <w:sz w:val="18"/>
                <w:szCs w:val="18"/>
              </w:rPr>
              <w:t>380 400</w:t>
            </w:r>
          </w:p>
        </w:tc>
      </w:tr>
      <w:tr w:rsidR="00DA3C9E" w:rsidRPr="00E27566" w14:paraId="55DFC3D0" w14:textId="77777777" w:rsidTr="00EF6F89">
        <w:trPr>
          <w:trHeight w:val="113"/>
        </w:trPr>
        <w:tc>
          <w:tcPr>
            <w:tcW w:w="807" w:type="pct"/>
            <w:vAlign w:val="bottom"/>
          </w:tcPr>
          <w:p w14:paraId="20839D97"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Industri i alt</w:t>
            </w:r>
          </w:p>
        </w:tc>
        <w:tc>
          <w:tcPr>
            <w:tcW w:w="271" w:type="pct"/>
            <w:vAlign w:val="bottom"/>
          </w:tcPr>
          <w:p w14:paraId="7441723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92,8</w:t>
            </w:r>
          </w:p>
        </w:tc>
        <w:tc>
          <w:tcPr>
            <w:tcW w:w="288" w:type="pct"/>
            <w:vAlign w:val="bottom"/>
          </w:tcPr>
          <w:p w14:paraId="0DC8537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92,5</w:t>
            </w:r>
          </w:p>
        </w:tc>
        <w:tc>
          <w:tcPr>
            <w:tcW w:w="288" w:type="pct"/>
            <w:vAlign w:val="bottom"/>
          </w:tcPr>
          <w:p w14:paraId="5936FD2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92,2</w:t>
            </w:r>
          </w:p>
        </w:tc>
        <w:tc>
          <w:tcPr>
            <w:tcW w:w="288" w:type="pct"/>
            <w:tcBorders>
              <w:right w:val="single" w:sz="4" w:space="0" w:color="auto"/>
            </w:tcBorders>
            <w:vAlign w:val="bottom"/>
          </w:tcPr>
          <w:p w14:paraId="2D9BBEB4"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91,7</w:t>
            </w:r>
          </w:p>
        </w:tc>
        <w:tc>
          <w:tcPr>
            <w:tcW w:w="288" w:type="pct"/>
            <w:tcBorders>
              <w:left w:val="single" w:sz="4" w:space="0" w:color="auto"/>
            </w:tcBorders>
            <w:vAlign w:val="bottom"/>
          </w:tcPr>
          <w:p w14:paraId="4AEFD5E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90,9</w:t>
            </w:r>
          </w:p>
        </w:tc>
        <w:tc>
          <w:tcPr>
            <w:tcW w:w="289" w:type="pct"/>
            <w:vAlign w:val="bottom"/>
          </w:tcPr>
          <w:p w14:paraId="6DEF03C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91,5</w:t>
            </w:r>
          </w:p>
        </w:tc>
        <w:tc>
          <w:tcPr>
            <w:tcW w:w="289" w:type="pct"/>
            <w:vAlign w:val="bottom"/>
          </w:tcPr>
          <w:p w14:paraId="0571780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92,4</w:t>
            </w:r>
          </w:p>
        </w:tc>
        <w:tc>
          <w:tcPr>
            <w:tcW w:w="289" w:type="pct"/>
            <w:vAlign w:val="bottom"/>
          </w:tcPr>
          <w:p w14:paraId="6D15C8E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93,0</w:t>
            </w:r>
          </w:p>
        </w:tc>
        <w:tc>
          <w:tcPr>
            <w:tcW w:w="289" w:type="pct"/>
            <w:vAlign w:val="bottom"/>
          </w:tcPr>
          <w:p w14:paraId="77C9407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92,6</w:t>
            </w:r>
          </w:p>
        </w:tc>
        <w:tc>
          <w:tcPr>
            <w:tcW w:w="289" w:type="pct"/>
            <w:vAlign w:val="bottom"/>
          </w:tcPr>
          <w:p w14:paraId="7EBC4EA1"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92,9</w:t>
            </w:r>
          </w:p>
        </w:tc>
        <w:tc>
          <w:tcPr>
            <w:tcW w:w="376" w:type="pct"/>
            <w:vAlign w:val="bottom"/>
          </w:tcPr>
          <w:p w14:paraId="1921787E"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92,5</w:t>
            </w:r>
          </w:p>
        </w:tc>
        <w:tc>
          <w:tcPr>
            <w:tcW w:w="475" w:type="pct"/>
            <w:vAlign w:val="bottom"/>
          </w:tcPr>
          <w:p w14:paraId="341832F2"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417 600</w:t>
            </w:r>
          </w:p>
        </w:tc>
        <w:tc>
          <w:tcPr>
            <w:tcW w:w="475" w:type="pct"/>
            <w:vAlign w:val="bottom"/>
          </w:tcPr>
          <w:p w14:paraId="1F673818"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386 400</w:t>
            </w:r>
          </w:p>
        </w:tc>
      </w:tr>
      <w:tr w:rsidR="00DA3C9E" w:rsidRPr="00E27566" w14:paraId="22B6FDA1" w14:textId="77777777" w:rsidTr="00EF6F89">
        <w:trPr>
          <w:trHeight w:val="113"/>
        </w:trPr>
        <w:tc>
          <w:tcPr>
            <w:tcW w:w="807" w:type="pct"/>
            <w:vAlign w:val="bottom"/>
          </w:tcPr>
          <w:p w14:paraId="0467ED44"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Bygge- og anleggsvirksomhet i alt</w:t>
            </w:r>
          </w:p>
        </w:tc>
        <w:tc>
          <w:tcPr>
            <w:tcW w:w="271" w:type="pct"/>
            <w:vAlign w:val="bottom"/>
          </w:tcPr>
          <w:p w14:paraId="2205EFF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100,8</w:t>
            </w:r>
          </w:p>
        </w:tc>
        <w:tc>
          <w:tcPr>
            <w:tcW w:w="288" w:type="pct"/>
            <w:vAlign w:val="bottom"/>
          </w:tcPr>
          <w:p w14:paraId="58D4B62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102,8</w:t>
            </w:r>
          </w:p>
        </w:tc>
        <w:tc>
          <w:tcPr>
            <w:tcW w:w="288" w:type="pct"/>
            <w:vAlign w:val="bottom"/>
          </w:tcPr>
          <w:p w14:paraId="735C7F3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100,4</w:t>
            </w:r>
          </w:p>
        </w:tc>
        <w:tc>
          <w:tcPr>
            <w:tcW w:w="288" w:type="pct"/>
            <w:tcBorders>
              <w:right w:val="single" w:sz="4" w:space="0" w:color="auto"/>
            </w:tcBorders>
            <w:vAlign w:val="bottom"/>
          </w:tcPr>
          <w:p w14:paraId="3E89F9D0"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102,1</w:t>
            </w:r>
          </w:p>
        </w:tc>
        <w:tc>
          <w:tcPr>
            <w:tcW w:w="288" w:type="pct"/>
            <w:tcBorders>
              <w:left w:val="single" w:sz="4" w:space="0" w:color="auto"/>
            </w:tcBorders>
            <w:vAlign w:val="bottom"/>
          </w:tcPr>
          <w:p w14:paraId="4E41724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103,6</w:t>
            </w:r>
          </w:p>
        </w:tc>
        <w:tc>
          <w:tcPr>
            <w:tcW w:w="289" w:type="pct"/>
            <w:vAlign w:val="bottom"/>
          </w:tcPr>
          <w:p w14:paraId="3FCB210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102,1</w:t>
            </w:r>
          </w:p>
        </w:tc>
        <w:tc>
          <w:tcPr>
            <w:tcW w:w="289" w:type="pct"/>
            <w:vAlign w:val="bottom"/>
          </w:tcPr>
          <w:p w14:paraId="6EC0068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101,0</w:t>
            </w:r>
          </w:p>
        </w:tc>
        <w:tc>
          <w:tcPr>
            <w:tcW w:w="289" w:type="pct"/>
            <w:vAlign w:val="bottom"/>
          </w:tcPr>
          <w:p w14:paraId="57C841B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103,4</w:t>
            </w:r>
          </w:p>
        </w:tc>
        <w:tc>
          <w:tcPr>
            <w:tcW w:w="289" w:type="pct"/>
            <w:vAlign w:val="bottom"/>
          </w:tcPr>
          <w:p w14:paraId="388DD1F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101,0</w:t>
            </w:r>
          </w:p>
        </w:tc>
        <w:tc>
          <w:tcPr>
            <w:tcW w:w="289" w:type="pct"/>
            <w:vAlign w:val="bottom"/>
          </w:tcPr>
          <w:p w14:paraId="33BBB077"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103,8</w:t>
            </w:r>
          </w:p>
        </w:tc>
        <w:tc>
          <w:tcPr>
            <w:tcW w:w="376" w:type="pct"/>
            <w:vAlign w:val="bottom"/>
          </w:tcPr>
          <w:p w14:paraId="426D9B9F"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102,1</w:t>
            </w:r>
          </w:p>
        </w:tc>
        <w:tc>
          <w:tcPr>
            <w:tcW w:w="475" w:type="pct"/>
            <w:vAlign w:val="bottom"/>
          </w:tcPr>
          <w:p w14:paraId="01F80D2A"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391 200</w:t>
            </w:r>
          </w:p>
        </w:tc>
        <w:tc>
          <w:tcPr>
            <w:tcW w:w="475" w:type="pct"/>
            <w:vAlign w:val="bottom"/>
          </w:tcPr>
          <w:p w14:paraId="241DB50A"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399 600</w:t>
            </w:r>
          </w:p>
        </w:tc>
      </w:tr>
      <w:tr w:rsidR="00DA3C9E" w:rsidRPr="00E27566" w14:paraId="748F1780" w14:textId="77777777" w:rsidTr="00EF6F89">
        <w:trPr>
          <w:trHeight w:val="113"/>
        </w:trPr>
        <w:tc>
          <w:tcPr>
            <w:tcW w:w="807" w:type="pct"/>
            <w:vAlign w:val="bottom"/>
          </w:tcPr>
          <w:p w14:paraId="612CCE6C"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Varehandel i alt</w:t>
            </w:r>
          </w:p>
        </w:tc>
        <w:tc>
          <w:tcPr>
            <w:tcW w:w="271" w:type="pct"/>
            <w:vAlign w:val="bottom"/>
          </w:tcPr>
          <w:p w14:paraId="0EF7E34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87,6</w:t>
            </w:r>
          </w:p>
        </w:tc>
        <w:tc>
          <w:tcPr>
            <w:tcW w:w="288" w:type="pct"/>
            <w:vAlign w:val="bottom"/>
          </w:tcPr>
          <w:p w14:paraId="56D6A65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86,4</w:t>
            </w:r>
          </w:p>
        </w:tc>
        <w:tc>
          <w:tcPr>
            <w:tcW w:w="288" w:type="pct"/>
            <w:vAlign w:val="bottom"/>
          </w:tcPr>
          <w:p w14:paraId="03B7E3A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86,3</w:t>
            </w:r>
          </w:p>
        </w:tc>
        <w:tc>
          <w:tcPr>
            <w:tcW w:w="288" w:type="pct"/>
            <w:tcBorders>
              <w:right w:val="single" w:sz="4" w:space="0" w:color="auto"/>
            </w:tcBorders>
            <w:vAlign w:val="bottom"/>
          </w:tcPr>
          <w:p w14:paraId="40A5FA54"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89,3</w:t>
            </w:r>
          </w:p>
        </w:tc>
        <w:tc>
          <w:tcPr>
            <w:tcW w:w="288" w:type="pct"/>
            <w:tcBorders>
              <w:left w:val="single" w:sz="4" w:space="0" w:color="auto"/>
            </w:tcBorders>
            <w:vAlign w:val="bottom"/>
          </w:tcPr>
          <w:p w14:paraId="3A812EE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88,2</w:t>
            </w:r>
          </w:p>
        </w:tc>
        <w:tc>
          <w:tcPr>
            <w:tcW w:w="289" w:type="pct"/>
            <w:vAlign w:val="bottom"/>
          </w:tcPr>
          <w:p w14:paraId="08F0105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87,2</w:t>
            </w:r>
          </w:p>
        </w:tc>
        <w:tc>
          <w:tcPr>
            <w:tcW w:w="289" w:type="pct"/>
            <w:vAlign w:val="bottom"/>
          </w:tcPr>
          <w:p w14:paraId="7CB049B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88,9</w:t>
            </w:r>
          </w:p>
        </w:tc>
        <w:tc>
          <w:tcPr>
            <w:tcW w:w="289" w:type="pct"/>
            <w:vAlign w:val="bottom"/>
          </w:tcPr>
          <w:p w14:paraId="120A2AA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89,1</w:t>
            </w:r>
          </w:p>
        </w:tc>
        <w:tc>
          <w:tcPr>
            <w:tcW w:w="289" w:type="pct"/>
            <w:vAlign w:val="bottom"/>
          </w:tcPr>
          <w:p w14:paraId="2B135C0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87,1 </w:t>
            </w:r>
          </w:p>
        </w:tc>
        <w:tc>
          <w:tcPr>
            <w:tcW w:w="289" w:type="pct"/>
            <w:vAlign w:val="bottom"/>
          </w:tcPr>
          <w:p w14:paraId="20BF4394"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87,0</w:t>
            </w:r>
          </w:p>
        </w:tc>
        <w:tc>
          <w:tcPr>
            <w:tcW w:w="376" w:type="pct"/>
            <w:vAlign w:val="bottom"/>
          </w:tcPr>
          <w:p w14:paraId="64904AF9"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88,6</w:t>
            </w:r>
          </w:p>
        </w:tc>
        <w:tc>
          <w:tcPr>
            <w:tcW w:w="475" w:type="pct"/>
            <w:vAlign w:val="bottom"/>
          </w:tcPr>
          <w:p w14:paraId="0E9913DE"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411 600</w:t>
            </w:r>
          </w:p>
        </w:tc>
        <w:tc>
          <w:tcPr>
            <w:tcW w:w="475" w:type="pct"/>
            <w:vAlign w:val="bottom"/>
          </w:tcPr>
          <w:p w14:paraId="219BE439"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364 800</w:t>
            </w:r>
          </w:p>
        </w:tc>
      </w:tr>
      <w:tr w:rsidR="00DA3C9E" w:rsidRPr="00E27566" w14:paraId="0BEBA96E" w14:textId="77777777" w:rsidTr="00EF6F89">
        <w:trPr>
          <w:trHeight w:val="113"/>
        </w:trPr>
        <w:tc>
          <w:tcPr>
            <w:tcW w:w="807" w:type="pct"/>
            <w:vAlign w:val="bottom"/>
          </w:tcPr>
          <w:p w14:paraId="30857D91"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Finanstjenester i alt</w:t>
            </w:r>
          </w:p>
        </w:tc>
        <w:tc>
          <w:tcPr>
            <w:tcW w:w="271" w:type="pct"/>
            <w:vAlign w:val="bottom"/>
          </w:tcPr>
          <w:p w14:paraId="0C2EE51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79,3</w:t>
            </w:r>
          </w:p>
        </w:tc>
        <w:tc>
          <w:tcPr>
            <w:tcW w:w="288" w:type="pct"/>
            <w:vAlign w:val="bottom"/>
          </w:tcPr>
          <w:p w14:paraId="7E176CC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77,1</w:t>
            </w:r>
          </w:p>
        </w:tc>
        <w:tc>
          <w:tcPr>
            <w:tcW w:w="288" w:type="pct"/>
            <w:vAlign w:val="bottom"/>
          </w:tcPr>
          <w:p w14:paraId="63B5352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74,9</w:t>
            </w:r>
          </w:p>
        </w:tc>
        <w:tc>
          <w:tcPr>
            <w:tcW w:w="288" w:type="pct"/>
            <w:tcBorders>
              <w:right w:val="single" w:sz="4" w:space="0" w:color="auto"/>
            </w:tcBorders>
            <w:vAlign w:val="bottom"/>
          </w:tcPr>
          <w:p w14:paraId="39C52D27"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75,4</w:t>
            </w:r>
          </w:p>
        </w:tc>
        <w:tc>
          <w:tcPr>
            <w:tcW w:w="288" w:type="pct"/>
            <w:tcBorders>
              <w:left w:val="single" w:sz="4" w:space="0" w:color="auto"/>
            </w:tcBorders>
            <w:vAlign w:val="bottom"/>
          </w:tcPr>
          <w:p w14:paraId="5C62010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74,4</w:t>
            </w:r>
          </w:p>
        </w:tc>
        <w:tc>
          <w:tcPr>
            <w:tcW w:w="289" w:type="pct"/>
            <w:vAlign w:val="bottom"/>
          </w:tcPr>
          <w:p w14:paraId="36CECE9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80,0</w:t>
            </w:r>
          </w:p>
        </w:tc>
        <w:tc>
          <w:tcPr>
            <w:tcW w:w="289" w:type="pct"/>
            <w:vAlign w:val="bottom"/>
          </w:tcPr>
          <w:p w14:paraId="36D8A7F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76,4</w:t>
            </w:r>
          </w:p>
        </w:tc>
        <w:tc>
          <w:tcPr>
            <w:tcW w:w="289" w:type="pct"/>
            <w:vAlign w:val="bottom"/>
          </w:tcPr>
          <w:p w14:paraId="30B157A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82,1</w:t>
            </w:r>
          </w:p>
        </w:tc>
        <w:tc>
          <w:tcPr>
            <w:tcW w:w="289" w:type="pct"/>
            <w:vAlign w:val="bottom"/>
          </w:tcPr>
          <w:p w14:paraId="1E7D354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82,1 </w:t>
            </w:r>
          </w:p>
        </w:tc>
        <w:tc>
          <w:tcPr>
            <w:tcW w:w="289" w:type="pct"/>
            <w:vAlign w:val="bottom"/>
          </w:tcPr>
          <w:p w14:paraId="4470DB4D"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80,1</w:t>
            </w:r>
          </w:p>
        </w:tc>
        <w:tc>
          <w:tcPr>
            <w:tcW w:w="376" w:type="pct"/>
            <w:vAlign w:val="bottom"/>
          </w:tcPr>
          <w:p w14:paraId="3899E6E6"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83,4</w:t>
            </w:r>
          </w:p>
        </w:tc>
        <w:tc>
          <w:tcPr>
            <w:tcW w:w="475" w:type="pct"/>
            <w:vAlign w:val="bottom"/>
          </w:tcPr>
          <w:p w14:paraId="033BDBCD"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572 400</w:t>
            </w:r>
          </w:p>
        </w:tc>
        <w:tc>
          <w:tcPr>
            <w:tcW w:w="475" w:type="pct"/>
            <w:vAlign w:val="bottom"/>
          </w:tcPr>
          <w:p w14:paraId="2A6BFD93"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477 600</w:t>
            </w:r>
          </w:p>
        </w:tc>
      </w:tr>
      <w:tr w:rsidR="00DA3C9E" w:rsidRPr="00E27566" w14:paraId="7CE7CBE2" w14:textId="77777777" w:rsidTr="00EF6F89">
        <w:trPr>
          <w:trHeight w:val="113"/>
        </w:trPr>
        <w:tc>
          <w:tcPr>
            <w:tcW w:w="807" w:type="pct"/>
            <w:vAlign w:val="bottom"/>
          </w:tcPr>
          <w:p w14:paraId="6ACF8DD7" w14:textId="77777777" w:rsidR="00DA3C9E" w:rsidRPr="00E27566" w:rsidRDefault="00DA3C9E" w:rsidP="00B20A65">
            <w:pPr>
              <w:spacing w:before="60" w:after="60"/>
              <w:rPr>
                <w:rFonts w:ascii="Times New Roman" w:eastAsia="Arial Unicode MS" w:hAnsi="Times New Roman"/>
                <w:sz w:val="18"/>
                <w:szCs w:val="18"/>
                <w:vertAlign w:val="superscript"/>
              </w:rPr>
            </w:pPr>
            <w:r w:rsidRPr="00E27566">
              <w:rPr>
                <w:rFonts w:ascii="Times New Roman" w:hAnsi="Times New Roman"/>
                <w:sz w:val="18"/>
                <w:szCs w:val="18"/>
              </w:rPr>
              <w:t>Staten i alt</w:t>
            </w:r>
          </w:p>
        </w:tc>
        <w:tc>
          <w:tcPr>
            <w:tcW w:w="271" w:type="pct"/>
            <w:vAlign w:val="bottom"/>
          </w:tcPr>
          <w:p w14:paraId="378169B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92,8</w:t>
            </w:r>
          </w:p>
        </w:tc>
        <w:tc>
          <w:tcPr>
            <w:tcW w:w="288" w:type="pct"/>
            <w:vAlign w:val="bottom"/>
          </w:tcPr>
          <w:p w14:paraId="7AC2629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92,6</w:t>
            </w:r>
          </w:p>
        </w:tc>
        <w:tc>
          <w:tcPr>
            <w:tcW w:w="288" w:type="pct"/>
            <w:vAlign w:val="bottom"/>
          </w:tcPr>
          <w:p w14:paraId="0E4CCFB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94,4</w:t>
            </w:r>
          </w:p>
        </w:tc>
        <w:tc>
          <w:tcPr>
            <w:tcW w:w="288" w:type="pct"/>
            <w:tcBorders>
              <w:right w:val="single" w:sz="4" w:space="0" w:color="auto"/>
            </w:tcBorders>
            <w:vAlign w:val="bottom"/>
          </w:tcPr>
          <w:p w14:paraId="33C85999"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93,8</w:t>
            </w:r>
          </w:p>
        </w:tc>
        <w:tc>
          <w:tcPr>
            <w:tcW w:w="288" w:type="pct"/>
            <w:tcBorders>
              <w:left w:val="single" w:sz="4" w:space="0" w:color="auto"/>
            </w:tcBorders>
            <w:vAlign w:val="bottom"/>
          </w:tcPr>
          <w:p w14:paraId="2822011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93,7</w:t>
            </w:r>
          </w:p>
        </w:tc>
        <w:tc>
          <w:tcPr>
            <w:tcW w:w="289" w:type="pct"/>
            <w:vAlign w:val="bottom"/>
          </w:tcPr>
          <w:p w14:paraId="3B8FFC1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93,0</w:t>
            </w:r>
          </w:p>
        </w:tc>
        <w:tc>
          <w:tcPr>
            <w:tcW w:w="289" w:type="pct"/>
            <w:vAlign w:val="bottom"/>
          </w:tcPr>
          <w:p w14:paraId="1DC79F9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92,8</w:t>
            </w:r>
          </w:p>
        </w:tc>
        <w:tc>
          <w:tcPr>
            <w:tcW w:w="289" w:type="pct"/>
            <w:vAlign w:val="bottom"/>
          </w:tcPr>
          <w:p w14:paraId="0E41CFB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92,5</w:t>
            </w:r>
          </w:p>
        </w:tc>
        <w:tc>
          <w:tcPr>
            <w:tcW w:w="289" w:type="pct"/>
            <w:vAlign w:val="bottom"/>
          </w:tcPr>
          <w:p w14:paraId="0DC9E53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93,4</w:t>
            </w:r>
          </w:p>
        </w:tc>
        <w:tc>
          <w:tcPr>
            <w:tcW w:w="289" w:type="pct"/>
            <w:vAlign w:val="bottom"/>
          </w:tcPr>
          <w:p w14:paraId="156A302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92,0</w:t>
            </w:r>
          </w:p>
        </w:tc>
        <w:tc>
          <w:tcPr>
            <w:tcW w:w="376" w:type="pct"/>
            <w:vAlign w:val="bottom"/>
          </w:tcPr>
          <w:p w14:paraId="25C5966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90,8</w:t>
            </w:r>
          </w:p>
        </w:tc>
        <w:tc>
          <w:tcPr>
            <w:tcW w:w="475" w:type="pct"/>
            <w:vAlign w:val="bottom"/>
          </w:tcPr>
          <w:p w14:paraId="28284956"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471 600</w:t>
            </w:r>
          </w:p>
        </w:tc>
        <w:tc>
          <w:tcPr>
            <w:tcW w:w="475" w:type="pct"/>
            <w:vAlign w:val="bottom"/>
          </w:tcPr>
          <w:p w14:paraId="2C922024"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428 400</w:t>
            </w:r>
          </w:p>
        </w:tc>
      </w:tr>
      <w:tr w:rsidR="00DA3C9E" w:rsidRPr="00E27566" w14:paraId="6D6DB9DC" w14:textId="77777777" w:rsidTr="00EF6F89">
        <w:trPr>
          <w:trHeight w:val="113"/>
        </w:trPr>
        <w:tc>
          <w:tcPr>
            <w:tcW w:w="807" w:type="pct"/>
            <w:vAlign w:val="bottom"/>
          </w:tcPr>
          <w:p w14:paraId="63858FE4"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Kommune og fylkeskommune i alt</w:t>
            </w:r>
            <w:r w:rsidRPr="00E27566">
              <w:rPr>
                <w:rFonts w:ascii="Times New Roman" w:hAnsi="Times New Roman"/>
                <w:sz w:val="18"/>
                <w:szCs w:val="18"/>
                <w:vertAlign w:val="superscript"/>
              </w:rPr>
              <w:t>2</w:t>
            </w:r>
          </w:p>
        </w:tc>
        <w:tc>
          <w:tcPr>
            <w:tcW w:w="271" w:type="pct"/>
            <w:vAlign w:val="bottom"/>
          </w:tcPr>
          <w:p w14:paraId="15EE022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91,5</w:t>
            </w:r>
          </w:p>
        </w:tc>
        <w:tc>
          <w:tcPr>
            <w:tcW w:w="288" w:type="pct"/>
            <w:vAlign w:val="bottom"/>
          </w:tcPr>
          <w:p w14:paraId="66D59AA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94,3</w:t>
            </w:r>
          </w:p>
        </w:tc>
        <w:tc>
          <w:tcPr>
            <w:tcW w:w="288" w:type="pct"/>
            <w:vAlign w:val="bottom"/>
          </w:tcPr>
          <w:p w14:paraId="2B9C29D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94,1</w:t>
            </w:r>
          </w:p>
        </w:tc>
        <w:tc>
          <w:tcPr>
            <w:tcW w:w="288" w:type="pct"/>
            <w:tcBorders>
              <w:right w:val="single" w:sz="4" w:space="0" w:color="auto"/>
            </w:tcBorders>
            <w:vAlign w:val="bottom"/>
          </w:tcPr>
          <w:p w14:paraId="20FD865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93,5</w:t>
            </w:r>
          </w:p>
        </w:tc>
        <w:tc>
          <w:tcPr>
            <w:tcW w:w="288" w:type="pct"/>
            <w:tcBorders>
              <w:left w:val="single" w:sz="4" w:space="0" w:color="auto"/>
            </w:tcBorders>
            <w:vAlign w:val="bottom"/>
          </w:tcPr>
          <w:p w14:paraId="391715F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93,5</w:t>
            </w:r>
          </w:p>
        </w:tc>
        <w:tc>
          <w:tcPr>
            <w:tcW w:w="289" w:type="pct"/>
            <w:vAlign w:val="bottom"/>
          </w:tcPr>
          <w:p w14:paraId="45B2693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91,9</w:t>
            </w:r>
          </w:p>
        </w:tc>
        <w:tc>
          <w:tcPr>
            <w:tcW w:w="289" w:type="pct"/>
            <w:vAlign w:val="bottom"/>
          </w:tcPr>
          <w:p w14:paraId="687B3D9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93,6</w:t>
            </w:r>
          </w:p>
        </w:tc>
        <w:tc>
          <w:tcPr>
            <w:tcW w:w="289" w:type="pct"/>
            <w:vAlign w:val="bottom"/>
          </w:tcPr>
          <w:p w14:paraId="5AF5D4A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93,2</w:t>
            </w:r>
          </w:p>
        </w:tc>
        <w:tc>
          <w:tcPr>
            <w:tcW w:w="289" w:type="pct"/>
            <w:vAlign w:val="bottom"/>
          </w:tcPr>
          <w:p w14:paraId="23EC7AA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93,5</w:t>
            </w:r>
          </w:p>
        </w:tc>
        <w:tc>
          <w:tcPr>
            <w:tcW w:w="289" w:type="pct"/>
            <w:vAlign w:val="bottom"/>
          </w:tcPr>
          <w:p w14:paraId="422A9DB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93,3</w:t>
            </w:r>
          </w:p>
        </w:tc>
        <w:tc>
          <w:tcPr>
            <w:tcW w:w="376" w:type="pct"/>
            <w:vAlign w:val="bottom"/>
          </w:tcPr>
          <w:p w14:paraId="77F1DDD4" w14:textId="77777777" w:rsidR="00DA3C9E" w:rsidRPr="00D835A8" w:rsidRDefault="00DA3C9E" w:rsidP="00B20A65">
            <w:pPr>
              <w:spacing w:before="60" w:after="60"/>
              <w:jc w:val="right"/>
              <w:rPr>
                <w:rFonts w:ascii="Times New Roman" w:hAnsi="Times New Roman"/>
                <w:color w:val="000000"/>
                <w:sz w:val="18"/>
                <w:szCs w:val="18"/>
              </w:rPr>
            </w:pPr>
            <w:r w:rsidRPr="00D835A8">
              <w:rPr>
                <w:rFonts w:ascii="Times New Roman" w:hAnsi="Times New Roman"/>
                <w:color w:val="000000"/>
                <w:sz w:val="18"/>
                <w:szCs w:val="18"/>
              </w:rPr>
              <w:t>93,0</w:t>
            </w:r>
          </w:p>
        </w:tc>
        <w:tc>
          <w:tcPr>
            <w:tcW w:w="475" w:type="pct"/>
            <w:vAlign w:val="bottom"/>
          </w:tcPr>
          <w:p w14:paraId="14D8187C" w14:textId="77777777" w:rsidR="00DA3C9E" w:rsidRPr="00D835A8" w:rsidRDefault="00DA3C9E" w:rsidP="00B20A65">
            <w:pPr>
              <w:spacing w:before="60" w:after="60"/>
              <w:jc w:val="center"/>
              <w:rPr>
                <w:rFonts w:ascii="Times New Roman" w:hAnsi="Times New Roman"/>
                <w:color w:val="000000"/>
                <w:sz w:val="18"/>
                <w:szCs w:val="18"/>
              </w:rPr>
            </w:pPr>
            <w:r w:rsidRPr="00D835A8">
              <w:rPr>
                <w:rFonts w:ascii="Times New Roman" w:hAnsi="Times New Roman"/>
                <w:color w:val="000000"/>
                <w:sz w:val="18"/>
                <w:szCs w:val="18"/>
              </w:rPr>
              <w:t>414000</w:t>
            </w:r>
          </w:p>
        </w:tc>
        <w:tc>
          <w:tcPr>
            <w:tcW w:w="475" w:type="pct"/>
            <w:vAlign w:val="bottom"/>
          </w:tcPr>
          <w:p w14:paraId="41301A4C" w14:textId="77777777" w:rsidR="00DA3C9E" w:rsidRPr="00D835A8" w:rsidRDefault="00DA3C9E" w:rsidP="00B20A65">
            <w:pPr>
              <w:spacing w:before="60" w:after="60"/>
              <w:jc w:val="center"/>
              <w:rPr>
                <w:rFonts w:ascii="Times New Roman" w:hAnsi="Times New Roman"/>
                <w:color w:val="000000"/>
                <w:sz w:val="18"/>
                <w:szCs w:val="18"/>
              </w:rPr>
            </w:pPr>
            <w:r w:rsidRPr="00D835A8">
              <w:rPr>
                <w:rFonts w:ascii="Times New Roman" w:hAnsi="Times New Roman"/>
                <w:color w:val="000000"/>
                <w:sz w:val="18"/>
                <w:szCs w:val="18"/>
              </w:rPr>
              <w:t>385200</w:t>
            </w:r>
          </w:p>
        </w:tc>
      </w:tr>
      <w:tr w:rsidR="00DA3C9E" w:rsidRPr="00E27566" w14:paraId="0C09FA1D" w14:textId="77777777" w:rsidTr="00EF6F89">
        <w:trPr>
          <w:trHeight w:val="113"/>
        </w:trPr>
        <w:tc>
          <w:tcPr>
            <w:tcW w:w="807" w:type="pct"/>
            <w:vAlign w:val="bottom"/>
          </w:tcPr>
          <w:p w14:paraId="25802E7A"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Herav skoleverket</w:t>
            </w:r>
          </w:p>
        </w:tc>
        <w:tc>
          <w:tcPr>
            <w:tcW w:w="271" w:type="pct"/>
            <w:vAlign w:val="bottom"/>
          </w:tcPr>
          <w:p w14:paraId="4183B40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96,5</w:t>
            </w:r>
          </w:p>
        </w:tc>
        <w:tc>
          <w:tcPr>
            <w:tcW w:w="288" w:type="pct"/>
            <w:vAlign w:val="bottom"/>
          </w:tcPr>
          <w:p w14:paraId="749EECE6" w14:textId="77777777" w:rsidR="00DA3C9E" w:rsidRPr="00E27566" w:rsidRDefault="00DA3C9E" w:rsidP="00B20A65">
            <w:pPr>
              <w:spacing w:before="60" w:after="60"/>
              <w:jc w:val="right"/>
              <w:rPr>
                <w:rFonts w:ascii="Times New Roman" w:hAnsi="Times New Roman"/>
                <w:sz w:val="18"/>
                <w:szCs w:val="18"/>
                <w:vertAlign w:val="superscript"/>
              </w:rPr>
            </w:pPr>
            <w:r w:rsidRPr="00E27566">
              <w:rPr>
                <w:rFonts w:ascii="Times New Roman" w:hAnsi="Times New Roman"/>
                <w:sz w:val="18"/>
                <w:szCs w:val="18"/>
              </w:rPr>
              <w:t>101,1</w:t>
            </w:r>
            <w:r w:rsidRPr="00E27566">
              <w:rPr>
                <w:rFonts w:ascii="Times New Roman" w:hAnsi="Times New Roman"/>
                <w:sz w:val="18"/>
                <w:szCs w:val="18"/>
                <w:vertAlign w:val="superscript"/>
              </w:rPr>
              <w:t>3</w:t>
            </w:r>
          </w:p>
        </w:tc>
        <w:tc>
          <w:tcPr>
            <w:tcW w:w="288" w:type="pct"/>
            <w:vAlign w:val="bottom"/>
          </w:tcPr>
          <w:p w14:paraId="0FF32AC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103,4</w:t>
            </w:r>
          </w:p>
        </w:tc>
        <w:tc>
          <w:tcPr>
            <w:tcW w:w="288" w:type="pct"/>
            <w:tcBorders>
              <w:right w:val="single" w:sz="4" w:space="0" w:color="auto"/>
            </w:tcBorders>
            <w:vAlign w:val="bottom"/>
          </w:tcPr>
          <w:p w14:paraId="7EBC7AB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102,5</w:t>
            </w:r>
          </w:p>
        </w:tc>
        <w:tc>
          <w:tcPr>
            <w:tcW w:w="288" w:type="pct"/>
            <w:tcBorders>
              <w:left w:val="single" w:sz="4" w:space="0" w:color="auto"/>
            </w:tcBorders>
            <w:vAlign w:val="bottom"/>
          </w:tcPr>
          <w:p w14:paraId="1FBDA73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102,7</w:t>
            </w:r>
          </w:p>
        </w:tc>
        <w:tc>
          <w:tcPr>
            <w:tcW w:w="289" w:type="pct"/>
            <w:vAlign w:val="bottom"/>
          </w:tcPr>
          <w:p w14:paraId="49C3A01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102,3</w:t>
            </w:r>
          </w:p>
        </w:tc>
        <w:tc>
          <w:tcPr>
            <w:tcW w:w="289" w:type="pct"/>
            <w:vAlign w:val="bottom"/>
          </w:tcPr>
          <w:p w14:paraId="70E1B9B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100,3</w:t>
            </w:r>
          </w:p>
        </w:tc>
        <w:tc>
          <w:tcPr>
            <w:tcW w:w="289" w:type="pct"/>
            <w:vAlign w:val="bottom"/>
          </w:tcPr>
          <w:p w14:paraId="1E9FA5F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100,9</w:t>
            </w:r>
          </w:p>
        </w:tc>
        <w:tc>
          <w:tcPr>
            <w:tcW w:w="289" w:type="pct"/>
            <w:vAlign w:val="bottom"/>
          </w:tcPr>
          <w:p w14:paraId="6DAF870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103,5</w:t>
            </w:r>
          </w:p>
        </w:tc>
        <w:tc>
          <w:tcPr>
            <w:tcW w:w="289" w:type="pct"/>
            <w:vAlign w:val="bottom"/>
          </w:tcPr>
          <w:p w14:paraId="01DC8A5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101,9</w:t>
            </w:r>
          </w:p>
        </w:tc>
        <w:tc>
          <w:tcPr>
            <w:tcW w:w="376" w:type="pct"/>
            <w:vAlign w:val="bottom"/>
          </w:tcPr>
          <w:p w14:paraId="04B2E653"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102,1</w:t>
            </w:r>
          </w:p>
        </w:tc>
        <w:tc>
          <w:tcPr>
            <w:tcW w:w="475" w:type="pct"/>
            <w:vAlign w:val="bottom"/>
          </w:tcPr>
          <w:p w14:paraId="5E3AA7AA"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451 200</w:t>
            </w:r>
          </w:p>
        </w:tc>
        <w:tc>
          <w:tcPr>
            <w:tcW w:w="475" w:type="pct"/>
            <w:vAlign w:val="bottom"/>
          </w:tcPr>
          <w:p w14:paraId="0B3F075C"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460 800</w:t>
            </w:r>
          </w:p>
        </w:tc>
      </w:tr>
      <w:tr w:rsidR="00DA3C9E" w:rsidRPr="00E27566" w14:paraId="63DFE0B2" w14:textId="77777777" w:rsidTr="00EF6F89">
        <w:trPr>
          <w:trHeight w:val="113"/>
        </w:trPr>
        <w:tc>
          <w:tcPr>
            <w:tcW w:w="807" w:type="pct"/>
            <w:vAlign w:val="bottom"/>
          </w:tcPr>
          <w:p w14:paraId="75CCEC05" w14:textId="77777777" w:rsidR="00DA3C9E" w:rsidRPr="00E27566" w:rsidRDefault="00DA3C9E" w:rsidP="00B20A65">
            <w:pPr>
              <w:spacing w:before="60" w:after="60"/>
              <w:rPr>
                <w:rFonts w:ascii="Times New Roman" w:hAnsi="Times New Roman"/>
                <w:sz w:val="18"/>
                <w:szCs w:val="18"/>
              </w:rPr>
            </w:pPr>
            <w:r w:rsidRPr="00E27566">
              <w:rPr>
                <w:rFonts w:ascii="Times New Roman" w:hAnsi="Times New Roman"/>
                <w:sz w:val="18"/>
                <w:szCs w:val="18"/>
              </w:rPr>
              <w:t>Helseforetak</w:t>
            </w:r>
          </w:p>
        </w:tc>
        <w:tc>
          <w:tcPr>
            <w:tcW w:w="271" w:type="pct"/>
            <w:vAlign w:val="bottom"/>
          </w:tcPr>
          <w:p w14:paraId="5187729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95,7</w:t>
            </w:r>
          </w:p>
        </w:tc>
        <w:tc>
          <w:tcPr>
            <w:tcW w:w="288" w:type="pct"/>
            <w:vAlign w:val="bottom"/>
          </w:tcPr>
          <w:p w14:paraId="54436DD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95,9</w:t>
            </w:r>
          </w:p>
        </w:tc>
        <w:tc>
          <w:tcPr>
            <w:tcW w:w="288" w:type="pct"/>
            <w:vAlign w:val="bottom"/>
          </w:tcPr>
          <w:p w14:paraId="39DA5F7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94,6</w:t>
            </w:r>
          </w:p>
        </w:tc>
        <w:tc>
          <w:tcPr>
            <w:tcW w:w="288" w:type="pct"/>
            <w:tcBorders>
              <w:right w:val="single" w:sz="4" w:space="0" w:color="auto"/>
            </w:tcBorders>
            <w:vAlign w:val="bottom"/>
          </w:tcPr>
          <w:p w14:paraId="098C800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93,8</w:t>
            </w:r>
          </w:p>
        </w:tc>
        <w:tc>
          <w:tcPr>
            <w:tcW w:w="288" w:type="pct"/>
            <w:tcBorders>
              <w:left w:val="single" w:sz="4" w:space="0" w:color="auto"/>
            </w:tcBorders>
            <w:vAlign w:val="bottom"/>
          </w:tcPr>
          <w:p w14:paraId="6E18E17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93,9</w:t>
            </w:r>
          </w:p>
        </w:tc>
        <w:tc>
          <w:tcPr>
            <w:tcW w:w="289" w:type="pct"/>
            <w:vAlign w:val="bottom"/>
          </w:tcPr>
          <w:p w14:paraId="4B8F5AC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93,9</w:t>
            </w:r>
          </w:p>
        </w:tc>
        <w:tc>
          <w:tcPr>
            <w:tcW w:w="289" w:type="pct"/>
            <w:vAlign w:val="bottom"/>
          </w:tcPr>
          <w:p w14:paraId="559AE44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94,7</w:t>
            </w:r>
          </w:p>
        </w:tc>
        <w:tc>
          <w:tcPr>
            <w:tcW w:w="289" w:type="pct"/>
            <w:vAlign w:val="bottom"/>
          </w:tcPr>
          <w:p w14:paraId="3233688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95,0</w:t>
            </w:r>
          </w:p>
        </w:tc>
        <w:tc>
          <w:tcPr>
            <w:tcW w:w="289" w:type="pct"/>
            <w:vAlign w:val="bottom"/>
          </w:tcPr>
          <w:p w14:paraId="793DF7D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95,1</w:t>
            </w:r>
          </w:p>
        </w:tc>
        <w:tc>
          <w:tcPr>
            <w:tcW w:w="289" w:type="pct"/>
            <w:vAlign w:val="bottom"/>
          </w:tcPr>
          <w:p w14:paraId="595A6D3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95,9</w:t>
            </w:r>
          </w:p>
        </w:tc>
        <w:tc>
          <w:tcPr>
            <w:tcW w:w="376" w:type="pct"/>
            <w:vAlign w:val="bottom"/>
          </w:tcPr>
          <w:p w14:paraId="7D1CBD1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94,8</w:t>
            </w:r>
          </w:p>
        </w:tc>
        <w:tc>
          <w:tcPr>
            <w:tcW w:w="475" w:type="pct"/>
            <w:vAlign w:val="bottom"/>
          </w:tcPr>
          <w:p w14:paraId="528FA4C0"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392 400</w:t>
            </w:r>
          </w:p>
        </w:tc>
        <w:tc>
          <w:tcPr>
            <w:tcW w:w="475" w:type="pct"/>
            <w:vAlign w:val="bottom"/>
          </w:tcPr>
          <w:p w14:paraId="6BB041F9"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372 000</w:t>
            </w:r>
          </w:p>
        </w:tc>
      </w:tr>
      <w:tr w:rsidR="00DA3C9E" w:rsidRPr="00E27566" w14:paraId="2DAB51C2" w14:textId="77777777" w:rsidTr="00EF6F89">
        <w:trPr>
          <w:trHeight w:val="861"/>
        </w:trPr>
        <w:tc>
          <w:tcPr>
            <w:tcW w:w="807" w:type="pct"/>
            <w:vAlign w:val="bottom"/>
          </w:tcPr>
          <w:p w14:paraId="1EBBF498" w14:textId="77777777" w:rsidR="00DA3C9E" w:rsidRPr="00E27566" w:rsidRDefault="00DA3C9E" w:rsidP="00B20A65">
            <w:pPr>
              <w:spacing w:before="60" w:after="60"/>
              <w:rPr>
                <w:rFonts w:ascii="Times New Roman" w:hAnsi="Times New Roman"/>
                <w:color w:val="000000"/>
                <w:sz w:val="18"/>
                <w:szCs w:val="18"/>
              </w:rPr>
            </w:pPr>
            <w:r w:rsidRPr="00E27566">
              <w:rPr>
                <w:rFonts w:ascii="Times New Roman" w:hAnsi="Times New Roman"/>
                <w:bCs/>
                <w:i/>
                <w:sz w:val="18"/>
                <w:szCs w:val="18"/>
              </w:rPr>
              <w:t>Utdanning på videregående skolenivå</w:t>
            </w:r>
          </w:p>
        </w:tc>
        <w:tc>
          <w:tcPr>
            <w:tcW w:w="271" w:type="pct"/>
            <w:vAlign w:val="bottom"/>
          </w:tcPr>
          <w:p w14:paraId="2BA31C39"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85,6</w:t>
            </w:r>
          </w:p>
        </w:tc>
        <w:tc>
          <w:tcPr>
            <w:tcW w:w="288" w:type="pct"/>
            <w:vAlign w:val="bottom"/>
          </w:tcPr>
          <w:p w14:paraId="2B7E889B"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85,2</w:t>
            </w:r>
          </w:p>
        </w:tc>
        <w:tc>
          <w:tcPr>
            <w:tcW w:w="288" w:type="pct"/>
            <w:vAlign w:val="bottom"/>
          </w:tcPr>
          <w:p w14:paraId="304B6A3E"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84,1</w:t>
            </w:r>
          </w:p>
        </w:tc>
        <w:tc>
          <w:tcPr>
            <w:tcW w:w="288" w:type="pct"/>
            <w:tcBorders>
              <w:right w:val="single" w:sz="4" w:space="0" w:color="auto"/>
            </w:tcBorders>
            <w:vAlign w:val="bottom"/>
          </w:tcPr>
          <w:p w14:paraId="58378E62"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84,3</w:t>
            </w:r>
          </w:p>
        </w:tc>
        <w:tc>
          <w:tcPr>
            <w:tcW w:w="288" w:type="pct"/>
            <w:tcBorders>
              <w:left w:val="single" w:sz="4" w:space="0" w:color="auto"/>
            </w:tcBorders>
            <w:vAlign w:val="bottom"/>
          </w:tcPr>
          <w:p w14:paraId="665E38D7" w14:textId="77777777" w:rsidR="00DA3C9E" w:rsidRPr="00E27566" w:rsidRDefault="00DA3C9E" w:rsidP="00B20A65">
            <w:pPr>
              <w:spacing w:before="60" w:after="60"/>
              <w:jc w:val="right"/>
              <w:rPr>
                <w:rFonts w:ascii="Times New Roman" w:eastAsia="Arial Unicode MS" w:hAnsi="Times New Roman"/>
                <w:b/>
                <w:sz w:val="18"/>
                <w:szCs w:val="18"/>
              </w:rPr>
            </w:pPr>
            <w:r w:rsidRPr="00E27566">
              <w:rPr>
                <w:rFonts w:ascii="Times New Roman" w:hAnsi="Times New Roman"/>
                <w:color w:val="000000"/>
                <w:sz w:val="18"/>
                <w:szCs w:val="18"/>
              </w:rPr>
              <w:t>83,1</w:t>
            </w:r>
          </w:p>
        </w:tc>
        <w:tc>
          <w:tcPr>
            <w:tcW w:w="289" w:type="pct"/>
            <w:vAlign w:val="bottom"/>
          </w:tcPr>
          <w:p w14:paraId="47B777E2" w14:textId="77777777" w:rsidR="00DA3C9E" w:rsidRPr="00E27566" w:rsidRDefault="00DA3C9E" w:rsidP="00B20A65">
            <w:pPr>
              <w:spacing w:before="60" w:after="60"/>
              <w:jc w:val="right"/>
              <w:rPr>
                <w:rFonts w:ascii="Times New Roman" w:eastAsia="Arial Unicode MS" w:hAnsi="Times New Roman"/>
                <w:b/>
                <w:sz w:val="18"/>
                <w:szCs w:val="18"/>
              </w:rPr>
            </w:pPr>
            <w:r w:rsidRPr="00E27566">
              <w:rPr>
                <w:rFonts w:ascii="Times New Roman" w:hAnsi="Times New Roman"/>
                <w:color w:val="000000"/>
                <w:sz w:val="18"/>
                <w:szCs w:val="18"/>
              </w:rPr>
              <w:t>83,1</w:t>
            </w:r>
          </w:p>
        </w:tc>
        <w:tc>
          <w:tcPr>
            <w:tcW w:w="289" w:type="pct"/>
            <w:vAlign w:val="bottom"/>
          </w:tcPr>
          <w:p w14:paraId="647EE288"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83,6</w:t>
            </w:r>
          </w:p>
        </w:tc>
        <w:tc>
          <w:tcPr>
            <w:tcW w:w="289" w:type="pct"/>
            <w:vAlign w:val="bottom"/>
          </w:tcPr>
          <w:p w14:paraId="72C5558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83,8</w:t>
            </w:r>
          </w:p>
        </w:tc>
        <w:tc>
          <w:tcPr>
            <w:tcW w:w="289" w:type="pct"/>
            <w:vAlign w:val="bottom"/>
          </w:tcPr>
          <w:p w14:paraId="176FA30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84,7</w:t>
            </w:r>
          </w:p>
        </w:tc>
        <w:tc>
          <w:tcPr>
            <w:tcW w:w="289" w:type="pct"/>
            <w:vAlign w:val="bottom"/>
          </w:tcPr>
          <w:p w14:paraId="30CEA60D"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84,1</w:t>
            </w:r>
          </w:p>
        </w:tc>
        <w:tc>
          <w:tcPr>
            <w:tcW w:w="376" w:type="pct"/>
            <w:vAlign w:val="bottom"/>
          </w:tcPr>
          <w:p w14:paraId="02C51E6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83,9</w:t>
            </w:r>
          </w:p>
        </w:tc>
        <w:tc>
          <w:tcPr>
            <w:tcW w:w="475" w:type="pct"/>
            <w:vAlign w:val="bottom"/>
          </w:tcPr>
          <w:p w14:paraId="5F2B7163" w14:textId="77777777" w:rsidR="00DA3C9E" w:rsidRPr="00E27566" w:rsidRDefault="00DA3C9E" w:rsidP="00B20A65">
            <w:pPr>
              <w:spacing w:before="60" w:after="60"/>
              <w:jc w:val="center"/>
              <w:rPr>
                <w:rFonts w:ascii="Times New Roman" w:hAnsi="Times New Roman"/>
                <w:sz w:val="18"/>
                <w:szCs w:val="18"/>
              </w:rPr>
            </w:pPr>
            <w:r w:rsidRPr="00E27566">
              <w:rPr>
                <w:rFonts w:ascii="Times New Roman" w:hAnsi="Times New Roman"/>
                <w:sz w:val="18"/>
                <w:szCs w:val="18"/>
              </w:rPr>
              <w:t>522 000</w:t>
            </w:r>
          </w:p>
        </w:tc>
        <w:tc>
          <w:tcPr>
            <w:tcW w:w="475" w:type="pct"/>
            <w:vAlign w:val="bottom"/>
          </w:tcPr>
          <w:p w14:paraId="20A9D05D" w14:textId="77777777" w:rsidR="00DA3C9E" w:rsidRPr="00E27566" w:rsidRDefault="00DA3C9E" w:rsidP="00B20A65">
            <w:pPr>
              <w:spacing w:before="60" w:after="60"/>
              <w:jc w:val="center"/>
              <w:rPr>
                <w:rFonts w:ascii="Times New Roman" w:hAnsi="Times New Roman"/>
                <w:sz w:val="18"/>
                <w:szCs w:val="18"/>
              </w:rPr>
            </w:pPr>
            <w:r w:rsidRPr="00E27566">
              <w:rPr>
                <w:rFonts w:ascii="Times New Roman" w:hAnsi="Times New Roman"/>
                <w:sz w:val="18"/>
                <w:szCs w:val="18"/>
              </w:rPr>
              <w:t>438 000</w:t>
            </w:r>
          </w:p>
        </w:tc>
      </w:tr>
      <w:tr w:rsidR="00DA3C9E" w:rsidRPr="00E27566" w14:paraId="74692913" w14:textId="77777777" w:rsidTr="00EF6F89">
        <w:trPr>
          <w:trHeight w:val="113"/>
        </w:trPr>
        <w:tc>
          <w:tcPr>
            <w:tcW w:w="807" w:type="pct"/>
            <w:vAlign w:val="bottom"/>
          </w:tcPr>
          <w:p w14:paraId="206C4E61"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Industri i alt</w:t>
            </w:r>
          </w:p>
        </w:tc>
        <w:tc>
          <w:tcPr>
            <w:tcW w:w="271" w:type="pct"/>
            <w:vAlign w:val="bottom"/>
          </w:tcPr>
          <w:p w14:paraId="76079CF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90,3</w:t>
            </w:r>
          </w:p>
        </w:tc>
        <w:tc>
          <w:tcPr>
            <w:tcW w:w="288" w:type="pct"/>
            <w:vAlign w:val="bottom"/>
          </w:tcPr>
          <w:p w14:paraId="1D1E167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90,4</w:t>
            </w:r>
          </w:p>
        </w:tc>
        <w:tc>
          <w:tcPr>
            <w:tcW w:w="288" w:type="pct"/>
            <w:vAlign w:val="bottom"/>
          </w:tcPr>
          <w:p w14:paraId="264F84A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88,8</w:t>
            </w:r>
          </w:p>
        </w:tc>
        <w:tc>
          <w:tcPr>
            <w:tcW w:w="288" w:type="pct"/>
            <w:tcBorders>
              <w:right w:val="single" w:sz="4" w:space="0" w:color="auto"/>
            </w:tcBorders>
            <w:vAlign w:val="bottom"/>
          </w:tcPr>
          <w:p w14:paraId="53A0DCD3"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88,9</w:t>
            </w:r>
          </w:p>
        </w:tc>
        <w:tc>
          <w:tcPr>
            <w:tcW w:w="288" w:type="pct"/>
            <w:tcBorders>
              <w:left w:val="single" w:sz="4" w:space="0" w:color="auto"/>
            </w:tcBorders>
            <w:vAlign w:val="bottom"/>
          </w:tcPr>
          <w:p w14:paraId="5D44628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87,7</w:t>
            </w:r>
          </w:p>
        </w:tc>
        <w:tc>
          <w:tcPr>
            <w:tcW w:w="289" w:type="pct"/>
            <w:vAlign w:val="bottom"/>
          </w:tcPr>
          <w:p w14:paraId="23854AC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88,0</w:t>
            </w:r>
          </w:p>
        </w:tc>
        <w:tc>
          <w:tcPr>
            <w:tcW w:w="289" w:type="pct"/>
            <w:vAlign w:val="bottom"/>
          </w:tcPr>
          <w:p w14:paraId="4B93B8A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88,7</w:t>
            </w:r>
          </w:p>
        </w:tc>
        <w:tc>
          <w:tcPr>
            <w:tcW w:w="289" w:type="pct"/>
            <w:vAlign w:val="bottom"/>
          </w:tcPr>
          <w:p w14:paraId="7D1F7CC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88,9</w:t>
            </w:r>
          </w:p>
        </w:tc>
        <w:tc>
          <w:tcPr>
            <w:tcW w:w="289" w:type="pct"/>
            <w:vAlign w:val="bottom"/>
          </w:tcPr>
          <w:p w14:paraId="3C032BF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89,0</w:t>
            </w:r>
          </w:p>
        </w:tc>
        <w:tc>
          <w:tcPr>
            <w:tcW w:w="289" w:type="pct"/>
            <w:vAlign w:val="bottom"/>
          </w:tcPr>
          <w:p w14:paraId="60BABA29"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89,1</w:t>
            </w:r>
          </w:p>
        </w:tc>
        <w:tc>
          <w:tcPr>
            <w:tcW w:w="376" w:type="pct"/>
            <w:vAlign w:val="bottom"/>
          </w:tcPr>
          <w:p w14:paraId="76849467"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89,5</w:t>
            </w:r>
          </w:p>
        </w:tc>
        <w:tc>
          <w:tcPr>
            <w:tcW w:w="475" w:type="pct"/>
            <w:vAlign w:val="bottom"/>
          </w:tcPr>
          <w:p w14:paraId="573E27A1"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501 600</w:t>
            </w:r>
          </w:p>
        </w:tc>
        <w:tc>
          <w:tcPr>
            <w:tcW w:w="475" w:type="pct"/>
            <w:vAlign w:val="bottom"/>
          </w:tcPr>
          <w:p w14:paraId="06834134"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448 800</w:t>
            </w:r>
          </w:p>
        </w:tc>
      </w:tr>
      <w:tr w:rsidR="00DA3C9E" w:rsidRPr="00E27566" w14:paraId="241E7304" w14:textId="77777777" w:rsidTr="00EF6F89">
        <w:trPr>
          <w:trHeight w:val="113"/>
        </w:trPr>
        <w:tc>
          <w:tcPr>
            <w:tcW w:w="807" w:type="pct"/>
            <w:vAlign w:val="bottom"/>
          </w:tcPr>
          <w:p w14:paraId="0159BF28"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Bygge- og anleggsvirksomhet i alt</w:t>
            </w:r>
          </w:p>
        </w:tc>
        <w:tc>
          <w:tcPr>
            <w:tcW w:w="271" w:type="pct"/>
            <w:vAlign w:val="bottom"/>
          </w:tcPr>
          <w:p w14:paraId="6B0721B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94,6</w:t>
            </w:r>
          </w:p>
        </w:tc>
        <w:tc>
          <w:tcPr>
            <w:tcW w:w="288" w:type="pct"/>
            <w:vAlign w:val="bottom"/>
          </w:tcPr>
          <w:p w14:paraId="0BA6696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93,6</w:t>
            </w:r>
          </w:p>
        </w:tc>
        <w:tc>
          <w:tcPr>
            <w:tcW w:w="288" w:type="pct"/>
            <w:vAlign w:val="bottom"/>
          </w:tcPr>
          <w:p w14:paraId="0A26E26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91,5</w:t>
            </w:r>
          </w:p>
        </w:tc>
        <w:tc>
          <w:tcPr>
            <w:tcW w:w="288" w:type="pct"/>
            <w:tcBorders>
              <w:right w:val="single" w:sz="4" w:space="0" w:color="auto"/>
            </w:tcBorders>
            <w:vAlign w:val="bottom"/>
          </w:tcPr>
          <w:p w14:paraId="10C82332"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92,6</w:t>
            </w:r>
          </w:p>
        </w:tc>
        <w:tc>
          <w:tcPr>
            <w:tcW w:w="288" w:type="pct"/>
            <w:tcBorders>
              <w:left w:val="single" w:sz="4" w:space="0" w:color="auto"/>
            </w:tcBorders>
            <w:vAlign w:val="bottom"/>
          </w:tcPr>
          <w:p w14:paraId="68FAFB3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90,7</w:t>
            </w:r>
          </w:p>
        </w:tc>
        <w:tc>
          <w:tcPr>
            <w:tcW w:w="289" w:type="pct"/>
            <w:vAlign w:val="bottom"/>
          </w:tcPr>
          <w:p w14:paraId="7F848D2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92,4</w:t>
            </w:r>
          </w:p>
        </w:tc>
        <w:tc>
          <w:tcPr>
            <w:tcW w:w="289" w:type="pct"/>
            <w:vAlign w:val="bottom"/>
          </w:tcPr>
          <w:p w14:paraId="1B28DE8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92,9</w:t>
            </w:r>
          </w:p>
        </w:tc>
        <w:tc>
          <w:tcPr>
            <w:tcW w:w="289" w:type="pct"/>
            <w:vAlign w:val="bottom"/>
          </w:tcPr>
          <w:p w14:paraId="09ED992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94,7</w:t>
            </w:r>
          </w:p>
        </w:tc>
        <w:tc>
          <w:tcPr>
            <w:tcW w:w="289" w:type="pct"/>
            <w:vAlign w:val="bottom"/>
          </w:tcPr>
          <w:p w14:paraId="7B19BBF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94,8</w:t>
            </w:r>
          </w:p>
        </w:tc>
        <w:tc>
          <w:tcPr>
            <w:tcW w:w="289" w:type="pct"/>
            <w:vAlign w:val="bottom"/>
          </w:tcPr>
          <w:p w14:paraId="254CFF86"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95,5</w:t>
            </w:r>
          </w:p>
        </w:tc>
        <w:tc>
          <w:tcPr>
            <w:tcW w:w="376" w:type="pct"/>
            <w:vAlign w:val="bottom"/>
          </w:tcPr>
          <w:p w14:paraId="15F376D9"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94,4</w:t>
            </w:r>
          </w:p>
        </w:tc>
        <w:tc>
          <w:tcPr>
            <w:tcW w:w="475" w:type="pct"/>
            <w:vAlign w:val="bottom"/>
          </w:tcPr>
          <w:p w14:paraId="38231B07"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496 800</w:t>
            </w:r>
          </w:p>
        </w:tc>
        <w:tc>
          <w:tcPr>
            <w:tcW w:w="475" w:type="pct"/>
            <w:vAlign w:val="bottom"/>
          </w:tcPr>
          <w:p w14:paraId="35D0BE39"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469 200</w:t>
            </w:r>
          </w:p>
        </w:tc>
      </w:tr>
      <w:tr w:rsidR="00DA3C9E" w:rsidRPr="00E27566" w14:paraId="172E40E9" w14:textId="77777777" w:rsidTr="00EF6F89">
        <w:trPr>
          <w:trHeight w:val="113"/>
        </w:trPr>
        <w:tc>
          <w:tcPr>
            <w:tcW w:w="807" w:type="pct"/>
            <w:vAlign w:val="bottom"/>
          </w:tcPr>
          <w:p w14:paraId="3F2F1FEB"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Varehandel i alt</w:t>
            </w:r>
          </w:p>
        </w:tc>
        <w:tc>
          <w:tcPr>
            <w:tcW w:w="271" w:type="pct"/>
            <w:vAlign w:val="bottom"/>
          </w:tcPr>
          <w:p w14:paraId="0DE84E7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83,8</w:t>
            </w:r>
          </w:p>
        </w:tc>
        <w:tc>
          <w:tcPr>
            <w:tcW w:w="288" w:type="pct"/>
            <w:vAlign w:val="bottom"/>
          </w:tcPr>
          <w:p w14:paraId="2416174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83,5</w:t>
            </w:r>
          </w:p>
        </w:tc>
        <w:tc>
          <w:tcPr>
            <w:tcW w:w="288" w:type="pct"/>
            <w:vAlign w:val="bottom"/>
          </w:tcPr>
          <w:p w14:paraId="7E86AFB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82,5</w:t>
            </w:r>
          </w:p>
        </w:tc>
        <w:tc>
          <w:tcPr>
            <w:tcW w:w="288" w:type="pct"/>
            <w:tcBorders>
              <w:right w:val="single" w:sz="4" w:space="0" w:color="auto"/>
            </w:tcBorders>
            <w:vAlign w:val="bottom"/>
          </w:tcPr>
          <w:p w14:paraId="100EF10C"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83,5</w:t>
            </w:r>
          </w:p>
        </w:tc>
        <w:tc>
          <w:tcPr>
            <w:tcW w:w="288" w:type="pct"/>
            <w:tcBorders>
              <w:left w:val="single" w:sz="4" w:space="0" w:color="auto"/>
            </w:tcBorders>
            <w:vAlign w:val="bottom"/>
          </w:tcPr>
          <w:p w14:paraId="2842017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82,9</w:t>
            </w:r>
          </w:p>
        </w:tc>
        <w:tc>
          <w:tcPr>
            <w:tcW w:w="289" w:type="pct"/>
            <w:vAlign w:val="bottom"/>
          </w:tcPr>
          <w:p w14:paraId="073E531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82,3</w:t>
            </w:r>
          </w:p>
        </w:tc>
        <w:tc>
          <w:tcPr>
            <w:tcW w:w="289" w:type="pct"/>
            <w:vAlign w:val="bottom"/>
          </w:tcPr>
          <w:p w14:paraId="7D05BF8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83,3</w:t>
            </w:r>
          </w:p>
        </w:tc>
        <w:tc>
          <w:tcPr>
            <w:tcW w:w="289" w:type="pct"/>
            <w:vAlign w:val="bottom"/>
          </w:tcPr>
          <w:p w14:paraId="60910CF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82,8</w:t>
            </w:r>
          </w:p>
        </w:tc>
        <w:tc>
          <w:tcPr>
            <w:tcW w:w="289" w:type="pct"/>
            <w:vAlign w:val="bottom"/>
          </w:tcPr>
          <w:p w14:paraId="37AB035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 83,1 </w:t>
            </w:r>
          </w:p>
        </w:tc>
        <w:tc>
          <w:tcPr>
            <w:tcW w:w="289" w:type="pct"/>
            <w:vAlign w:val="bottom"/>
          </w:tcPr>
          <w:p w14:paraId="36AB4558"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84,1</w:t>
            </w:r>
          </w:p>
        </w:tc>
        <w:tc>
          <w:tcPr>
            <w:tcW w:w="376" w:type="pct"/>
            <w:vAlign w:val="bottom"/>
          </w:tcPr>
          <w:p w14:paraId="639011AA"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83,5</w:t>
            </w:r>
          </w:p>
        </w:tc>
        <w:tc>
          <w:tcPr>
            <w:tcW w:w="475" w:type="pct"/>
            <w:vAlign w:val="bottom"/>
          </w:tcPr>
          <w:p w14:paraId="290298A7"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495 600</w:t>
            </w:r>
          </w:p>
        </w:tc>
        <w:tc>
          <w:tcPr>
            <w:tcW w:w="475" w:type="pct"/>
            <w:vAlign w:val="bottom"/>
          </w:tcPr>
          <w:p w14:paraId="63A6F5BD"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414 000</w:t>
            </w:r>
          </w:p>
        </w:tc>
      </w:tr>
      <w:tr w:rsidR="00DA3C9E" w:rsidRPr="00E27566" w14:paraId="5F48E5CD" w14:textId="77777777" w:rsidTr="00EF6F89">
        <w:trPr>
          <w:trHeight w:val="113"/>
        </w:trPr>
        <w:tc>
          <w:tcPr>
            <w:tcW w:w="807" w:type="pct"/>
            <w:vAlign w:val="bottom"/>
          </w:tcPr>
          <w:p w14:paraId="647CD7AD"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Finanstjenester i alt</w:t>
            </w:r>
          </w:p>
        </w:tc>
        <w:tc>
          <w:tcPr>
            <w:tcW w:w="271" w:type="pct"/>
            <w:vAlign w:val="bottom"/>
          </w:tcPr>
          <w:p w14:paraId="246AE80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78,5</w:t>
            </w:r>
          </w:p>
        </w:tc>
        <w:tc>
          <w:tcPr>
            <w:tcW w:w="288" w:type="pct"/>
            <w:vAlign w:val="bottom"/>
          </w:tcPr>
          <w:p w14:paraId="3455439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76,4</w:t>
            </w:r>
          </w:p>
        </w:tc>
        <w:tc>
          <w:tcPr>
            <w:tcW w:w="288" w:type="pct"/>
            <w:vAlign w:val="bottom"/>
          </w:tcPr>
          <w:p w14:paraId="460FD8C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75,5</w:t>
            </w:r>
          </w:p>
        </w:tc>
        <w:tc>
          <w:tcPr>
            <w:tcW w:w="288" w:type="pct"/>
            <w:tcBorders>
              <w:right w:val="single" w:sz="4" w:space="0" w:color="auto"/>
            </w:tcBorders>
            <w:vAlign w:val="bottom"/>
          </w:tcPr>
          <w:p w14:paraId="68FBC545"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75,2</w:t>
            </w:r>
          </w:p>
        </w:tc>
        <w:tc>
          <w:tcPr>
            <w:tcW w:w="288" w:type="pct"/>
            <w:tcBorders>
              <w:left w:val="single" w:sz="4" w:space="0" w:color="auto"/>
            </w:tcBorders>
            <w:vAlign w:val="bottom"/>
          </w:tcPr>
          <w:p w14:paraId="1DCBE1C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74,4</w:t>
            </w:r>
          </w:p>
        </w:tc>
        <w:tc>
          <w:tcPr>
            <w:tcW w:w="289" w:type="pct"/>
            <w:vAlign w:val="bottom"/>
          </w:tcPr>
          <w:p w14:paraId="31A05BF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76,7</w:t>
            </w:r>
          </w:p>
        </w:tc>
        <w:tc>
          <w:tcPr>
            <w:tcW w:w="289" w:type="pct"/>
            <w:vAlign w:val="bottom"/>
          </w:tcPr>
          <w:p w14:paraId="6FF5DF8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76,8</w:t>
            </w:r>
          </w:p>
        </w:tc>
        <w:tc>
          <w:tcPr>
            <w:tcW w:w="289" w:type="pct"/>
            <w:vAlign w:val="bottom"/>
          </w:tcPr>
          <w:p w14:paraId="468E6B4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76,7</w:t>
            </w:r>
          </w:p>
        </w:tc>
        <w:tc>
          <w:tcPr>
            <w:tcW w:w="289" w:type="pct"/>
            <w:vAlign w:val="bottom"/>
          </w:tcPr>
          <w:p w14:paraId="60B7810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78,0 </w:t>
            </w:r>
          </w:p>
        </w:tc>
        <w:tc>
          <w:tcPr>
            <w:tcW w:w="289" w:type="pct"/>
            <w:vAlign w:val="bottom"/>
          </w:tcPr>
          <w:p w14:paraId="7ADCCBE4"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78,5</w:t>
            </w:r>
          </w:p>
        </w:tc>
        <w:tc>
          <w:tcPr>
            <w:tcW w:w="376" w:type="pct"/>
            <w:vAlign w:val="bottom"/>
          </w:tcPr>
          <w:p w14:paraId="0386E371"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78,5</w:t>
            </w:r>
          </w:p>
        </w:tc>
        <w:tc>
          <w:tcPr>
            <w:tcW w:w="475" w:type="pct"/>
            <w:vAlign w:val="bottom"/>
          </w:tcPr>
          <w:p w14:paraId="68D01208"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668 400</w:t>
            </w:r>
          </w:p>
        </w:tc>
        <w:tc>
          <w:tcPr>
            <w:tcW w:w="475" w:type="pct"/>
            <w:vAlign w:val="bottom"/>
          </w:tcPr>
          <w:p w14:paraId="1150AEA7"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524 400</w:t>
            </w:r>
          </w:p>
        </w:tc>
      </w:tr>
      <w:tr w:rsidR="00DA3C9E" w:rsidRPr="00E27566" w14:paraId="1610AE66" w14:textId="77777777" w:rsidTr="00EF6F89">
        <w:trPr>
          <w:trHeight w:val="113"/>
        </w:trPr>
        <w:tc>
          <w:tcPr>
            <w:tcW w:w="807" w:type="pct"/>
            <w:vAlign w:val="bottom"/>
          </w:tcPr>
          <w:p w14:paraId="0AA4DEF7"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Staten i alt</w:t>
            </w:r>
          </w:p>
        </w:tc>
        <w:tc>
          <w:tcPr>
            <w:tcW w:w="271" w:type="pct"/>
            <w:vAlign w:val="bottom"/>
          </w:tcPr>
          <w:p w14:paraId="720A560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90,4</w:t>
            </w:r>
          </w:p>
        </w:tc>
        <w:tc>
          <w:tcPr>
            <w:tcW w:w="288" w:type="pct"/>
            <w:vAlign w:val="bottom"/>
          </w:tcPr>
          <w:p w14:paraId="1192985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90,3</w:t>
            </w:r>
          </w:p>
        </w:tc>
        <w:tc>
          <w:tcPr>
            <w:tcW w:w="288" w:type="pct"/>
            <w:vAlign w:val="bottom"/>
          </w:tcPr>
          <w:p w14:paraId="3FEB272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91,1</w:t>
            </w:r>
          </w:p>
        </w:tc>
        <w:tc>
          <w:tcPr>
            <w:tcW w:w="288" w:type="pct"/>
            <w:tcBorders>
              <w:right w:val="single" w:sz="4" w:space="0" w:color="auto"/>
            </w:tcBorders>
            <w:vAlign w:val="bottom"/>
          </w:tcPr>
          <w:p w14:paraId="3B4921E9"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91,0</w:t>
            </w:r>
          </w:p>
        </w:tc>
        <w:tc>
          <w:tcPr>
            <w:tcW w:w="288" w:type="pct"/>
            <w:tcBorders>
              <w:left w:val="single" w:sz="4" w:space="0" w:color="auto"/>
            </w:tcBorders>
            <w:vAlign w:val="bottom"/>
          </w:tcPr>
          <w:p w14:paraId="7FA6CA5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91,1</w:t>
            </w:r>
          </w:p>
        </w:tc>
        <w:tc>
          <w:tcPr>
            <w:tcW w:w="289" w:type="pct"/>
            <w:vAlign w:val="bottom"/>
          </w:tcPr>
          <w:p w14:paraId="3CACB47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88,9</w:t>
            </w:r>
          </w:p>
        </w:tc>
        <w:tc>
          <w:tcPr>
            <w:tcW w:w="289" w:type="pct"/>
            <w:vAlign w:val="bottom"/>
          </w:tcPr>
          <w:p w14:paraId="4893D25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89,9</w:t>
            </w:r>
          </w:p>
        </w:tc>
        <w:tc>
          <w:tcPr>
            <w:tcW w:w="289" w:type="pct"/>
            <w:vAlign w:val="bottom"/>
          </w:tcPr>
          <w:p w14:paraId="69F8DAF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90,0</w:t>
            </w:r>
          </w:p>
        </w:tc>
        <w:tc>
          <w:tcPr>
            <w:tcW w:w="289" w:type="pct"/>
            <w:vAlign w:val="bottom"/>
          </w:tcPr>
          <w:p w14:paraId="0AF46E7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90,9</w:t>
            </w:r>
          </w:p>
        </w:tc>
        <w:tc>
          <w:tcPr>
            <w:tcW w:w="289" w:type="pct"/>
            <w:vAlign w:val="bottom"/>
          </w:tcPr>
          <w:p w14:paraId="5E3EFBC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89,3</w:t>
            </w:r>
          </w:p>
        </w:tc>
        <w:tc>
          <w:tcPr>
            <w:tcW w:w="376" w:type="pct"/>
            <w:vAlign w:val="bottom"/>
          </w:tcPr>
          <w:p w14:paraId="314D3F95"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89,2</w:t>
            </w:r>
          </w:p>
        </w:tc>
        <w:tc>
          <w:tcPr>
            <w:tcW w:w="475" w:type="pct"/>
            <w:vAlign w:val="bottom"/>
          </w:tcPr>
          <w:p w14:paraId="7B8D0580"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499 200</w:t>
            </w:r>
          </w:p>
        </w:tc>
        <w:tc>
          <w:tcPr>
            <w:tcW w:w="475" w:type="pct"/>
            <w:vAlign w:val="bottom"/>
          </w:tcPr>
          <w:p w14:paraId="6C18FF8D"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445 200</w:t>
            </w:r>
          </w:p>
        </w:tc>
      </w:tr>
      <w:tr w:rsidR="00DA3C9E" w:rsidRPr="00E27566" w14:paraId="33AA288C" w14:textId="77777777" w:rsidTr="00EF6F89">
        <w:trPr>
          <w:trHeight w:val="113"/>
        </w:trPr>
        <w:tc>
          <w:tcPr>
            <w:tcW w:w="807" w:type="pct"/>
            <w:vAlign w:val="bottom"/>
          </w:tcPr>
          <w:p w14:paraId="18FF415E"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Kommune og fylkeskommune i alt</w:t>
            </w:r>
            <w:r w:rsidRPr="00E27566">
              <w:rPr>
                <w:rFonts w:ascii="Times New Roman" w:hAnsi="Times New Roman"/>
                <w:sz w:val="18"/>
                <w:szCs w:val="18"/>
                <w:vertAlign w:val="superscript"/>
              </w:rPr>
              <w:t>2</w:t>
            </w:r>
          </w:p>
        </w:tc>
        <w:tc>
          <w:tcPr>
            <w:tcW w:w="271" w:type="pct"/>
            <w:vAlign w:val="bottom"/>
          </w:tcPr>
          <w:p w14:paraId="137B837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92,3</w:t>
            </w:r>
          </w:p>
        </w:tc>
        <w:tc>
          <w:tcPr>
            <w:tcW w:w="288" w:type="pct"/>
            <w:vAlign w:val="bottom"/>
          </w:tcPr>
          <w:p w14:paraId="046F880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92,5</w:t>
            </w:r>
          </w:p>
        </w:tc>
        <w:tc>
          <w:tcPr>
            <w:tcW w:w="288" w:type="pct"/>
            <w:vAlign w:val="bottom"/>
          </w:tcPr>
          <w:p w14:paraId="45C1806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92,1</w:t>
            </w:r>
          </w:p>
        </w:tc>
        <w:tc>
          <w:tcPr>
            <w:tcW w:w="288" w:type="pct"/>
            <w:tcBorders>
              <w:right w:val="single" w:sz="4" w:space="0" w:color="auto"/>
            </w:tcBorders>
            <w:vAlign w:val="bottom"/>
          </w:tcPr>
          <w:p w14:paraId="2B67DAC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92,4</w:t>
            </w:r>
          </w:p>
        </w:tc>
        <w:tc>
          <w:tcPr>
            <w:tcW w:w="288" w:type="pct"/>
            <w:tcBorders>
              <w:left w:val="single" w:sz="4" w:space="0" w:color="auto"/>
            </w:tcBorders>
            <w:vAlign w:val="bottom"/>
          </w:tcPr>
          <w:p w14:paraId="4A415C6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92,4</w:t>
            </w:r>
          </w:p>
        </w:tc>
        <w:tc>
          <w:tcPr>
            <w:tcW w:w="289" w:type="pct"/>
            <w:vAlign w:val="bottom"/>
          </w:tcPr>
          <w:p w14:paraId="4882161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92,0</w:t>
            </w:r>
          </w:p>
        </w:tc>
        <w:tc>
          <w:tcPr>
            <w:tcW w:w="289" w:type="pct"/>
            <w:vAlign w:val="bottom"/>
          </w:tcPr>
          <w:p w14:paraId="4197095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92,4</w:t>
            </w:r>
          </w:p>
        </w:tc>
        <w:tc>
          <w:tcPr>
            <w:tcW w:w="289" w:type="pct"/>
            <w:vAlign w:val="bottom"/>
          </w:tcPr>
          <w:p w14:paraId="5A4E07E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91,7</w:t>
            </w:r>
          </w:p>
        </w:tc>
        <w:tc>
          <w:tcPr>
            <w:tcW w:w="289" w:type="pct"/>
            <w:vAlign w:val="bottom"/>
          </w:tcPr>
          <w:p w14:paraId="7E92E73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91,9</w:t>
            </w:r>
          </w:p>
        </w:tc>
        <w:tc>
          <w:tcPr>
            <w:tcW w:w="289" w:type="pct"/>
            <w:vAlign w:val="bottom"/>
          </w:tcPr>
          <w:p w14:paraId="64BCF3D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91,5</w:t>
            </w:r>
          </w:p>
        </w:tc>
        <w:tc>
          <w:tcPr>
            <w:tcW w:w="376" w:type="pct"/>
            <w:vAlign w:val="bottom"/>
          </w:tcPr>
          <w:p w14:paraId="3FE31DE7" w14:textId="77777777" w:rsidR="00DA3C9E" w:rsidRPr="00D835A8" w:rsidRDefault="00DA3C9E" w:rsidP="00B20A65">
            <w:pPr>
              <w:spacing w:before="60" w:after="60"/>
              <w:jc w:val="right"/>
              <w:rPr>
                <w:rFonts w:ascii="Times New Roman" w:hAnsi="Times New Roman"/>
                <w:color w:val="000000"/>
                <w:sz w:val="18"/>
                <w:szCs w:val="18"/>
              </w:rPr>
            </w:pPr>
            <w:r w:rsidRPr="00D835A8">
              <w:rPr>
                <w:rFonts w:ascii="Times New Roman" w:hAnsi="Times New Roman"/>
                <w:color w:val="000000"/>
                <w:sz w:val="18"/>
                <w:szCs w:val="18"/>
              </w:rPr>
              <w:t>87,9</w:t>
            </w:r>
          </w:p>
        </w:tc>
        <w:tc>
          <w:tcPr>
            <w:tcW w:w="475" w:type="pct"/>
            <w:vAlign w:val="bottom"/>
          </w:tcPr>
          <w:p w14:paraId="06FEF380" w14:textId="77777777" w:rsidR="00DA3C9E" w:rsidRPr="00D835A8" w:rsidRDefault="00DA3C9E" w:rsidP="00B20A65">
            <w:pPr>
              <w:spacing w:before="60" w:after="60"/>
              <w:jc w:val="center"/>
              <w:rPr>
                <w:rFonts w:ascii="Times New Roman" w:hAnsi="Times New Roman"/>
                <w:color w:val="000000"/>
                <w:sz w:val="18"/>
                <w:szCs w:val="18"/>
              </w:rPr>
            </w:pPr>
            <w:r w:rsidRPr="00D835A8">
              <w:rPr>
                <w:rFonts w:ascii="Times New Roman" w:hAnsi="Times New Roman"/>
                <w:color w:val="000000"/>
                <w:sz w:val="18"/>
                <w:szCs w:val="18"/>
              </w:rPr>
              <w:t>457</w:t>
            </w:r>
            <w:r>
              <w:rPr>
                <w:rFonts w:ascii="Times New Roman" w:hAnsi="Times New Roman"/>
                <w:color w:val="000000"/>
                <w:sz w:val="18"/>
                <w:szCs w:val="18"/>
              </w:rPr>
              <w:t xml:space="preserve"> </w:t>
            </w:r>
            <w:r w:rsidRPr="00D835A8">
              <w:rPr>
                <w:rFonts w:ascii="Times New Roman" w:hAnsi="Times New Roman"/>
                <w:color w:val="000000"/>
                <w:sz w:val="18"/>
                <w:szCs w:val="18"/>
              </w:rPr>
              <w:t>200</w:t>
            </w:r>
          </w:p>
        </w:tc>
        <w:tc>
          <w:tcPr>
            <w:tcW w:w="475" w:type="pct"/>
            <w:vAlign w:val="bottom"/>
          </w:tcPr>
          <w:p w14:paraId="7DD01B09" w14:textId="77777777" w:rsidR="00DA3C9E" w:rsidRPr="00D835A8" w:rsidRDefault="00DA3C9E" w:rsidP="00B20A65">
            <w:pPr>
              <w:spacing w:before="60" w:after="60"/>
              <w:jc w:val="center"/>
              <w:rPr>
                <w:rFonts w:ascii="Times New Roman" w:hAnsi="Times New Roman"/>
                <w:color w:val="000000"/>
                <w:sz w:val="18"/>
                <w:szCs w:val="18"/>
              </w:rPr>
            </w:pPr>
            <w:r w:rsidRPr="00D835A8">
              <w:rPr>
                <w:rFonts w:ascii="Times New Roman" w:hAnsi="Times New Roman"/>
                <w:color w:val="000000"/>
                <w:sz w:val="18"/>
                <w:szCs w:val="18"/>
              </w:rPr>
              <w:t>402</w:t>
            </w:r>
            <w:r>
              <w:rPr>
                <w:rFonts w:ascii="Times New Roman" w:hAnsi="Times New Roman"/>
                <w:color w:val="000000"/>
                <w:sz w:val="18"/>
                <w:szCs w:val="18"/>
              </w:rPr>
              <w:t xml:space="preserve"> </w:t>
            </w:r>
            <w:r w:rsidRPr="00D835A8">
              <w:rPr>
                <w:rFonts w:ascii="Times New Roman" w:hAnsi="Times New Roman"/>
                <w:color w:val="000000"/>
                <w:sz w:val="18"/>
                <w:szCs w:val="18"/>
              </w:rPr>
              <w:t>000</w:t>
            </w:r>
          </w:p>
        </w:tc>
      </w:tr>
      <w:tr w:rsidR="00DA3C9E" w:rsidRPr="00E27566" w14:paraId="7C7FBE99" w14:textId="77777777" w:rsidTr="00EF6F89">
        <w:trPr>
          <w:trHeight w:val="113"/>
        </w:trPr>
        <w:tc>
          <w:tcPr>
            <w:tcW w:w="807" w:type="pct"/>
            <w:vAlign w:val="bottom"/>
          </w:tcPr>
          <w:p w14:paraId="21E25B80"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Herav skoleverket</w:t>
            </w:r>
          </w:p>
        </w:tc>
        <w:tc>
          <w:tcPr>
            <w:tcW w:w="271" w:type="pct"/>
            <w:vAlign w:val="bottom"/>
          </w:tcPr>
          <w:p w14:paraId="03DD12C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91,4</w:t>
            </w:r>
          </w:p>
        </w:tc>
        <w:tc>
          <w:tcPr>
            <w:tcW w:w="288" w:type="pct"/>
            <w:vAlign w:val="bottom"/>
          </w:tcPr>
          <w:p w14:paraId="5325DE2A" w14:textId="77777777" w:rsidR="00DA3C9E" w:rsidRPr="00E27566" w:rsidRDefault="00DA3C9E" w:rsidP="00B20A65">
            <w:pPr>
              <w:spacing w:before="60" w:after="60"/>
              <w:jc w:val="right"/>
              <w:rPr>
                <w:rFonts w:ascii="Times New Roman" w:hAnsi="Times New Roman"/>
                <w:sz w:val="18"/>
                <w:szCs w:val="18"/>
                <w:vertAlign w:val="superscript"/>
              </w:rPr>
            </w:pPr>
            <w:r w:rsidRPr="00E27566">
              <w:rPr>
                <w:rFonts w:ascii="Times New Roman" w:hAnsi="Times New Roman"/>
                <w:sz w:val="18"/>
                <w:szCs w:val="18"/>
              </w:rPr>
              <w:t>93,5</w:t>
            </w:r>
            <w:r w:rsidRPr="00E27566">
              <w:rPr>
                <w:rFonts w:ascii="Times New Roman" w:hAnsi="Times New Roman"/>
                <w:sz w:val="18"/>
                <w:szCs w:val="18"/>
                <w:vertAlign w:val="superscript"/>
              </w:rPr>
              <w:t>3</w:t>
            </w:r>
          </w:p>
        </w:tc>
        <w:tc>
          <w:tcPr>
            <w:tcW w:w="288" w:type="pct"/>
            <w:vAlign w:val="bottom"/>
          </w:tcPr>
          <w:p w14:paraId="6EC8DFD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95,8</w:t>
            </w:r>
          </w:p>
        </w:tc>
        <w:tc>
          <w:tcPr>
            <w:tcW w:w="288" w:type="pct"/>
            <w:tcBorders>
              <w:right w:val="single" w:sz="4" w:space="0" w:color="auto"/>
            </w:tcBorders>
            <w:vAlign w:val="bottom"/>
          </w:tcPr>
          <w:p w14:paraId="2B408BE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95,5</w:t>
            </w:r>
          </w:p>
        </w:tc>
        <w:tc>
          <w:tcPr>
            <w:tcW w:w="288" w:type="pct"/>
            <w:tcBorders>
              <w:left w:val="single" w:sz="4" w:space="0" w:color="auto"/>
            </w:tcBorders>
            <w:vAlign w:val="bottom"/>
          </w:tcPr>
          <w:p w14:paraId="66450C4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95,8</w:t>
            </w:r>
          </w:p>
        </w:tc>
        <w:tc>
          <w:tcPr>
            <w:tcW w:w="289" w:type="pct"/>
            <w:vAlign w:val="bottom"/>
          </w:tcPr>
          <w:p w14:paraId="01F5632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95,0</w:t>
            </w:r>
          </w:p>
        </w:tc>
        <w:tc>
          <w:tcPr>
            <w:tcW w:w="289" w:type="pct"/>
            <w:vAlign w:val="bottom"/>
          </w:tcPr>
          <w:p w14:paraId="3DE8A03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95,0</w:t>
            </w:r>
          </w:p>
        </w:tc>
        <w:tc>
          <w:tcPr>
            <w:tcW w:w="289" w:type="pct"/>
            <w:vAlign w:val="bottom"/>
          </w:tcPr>
          <w:p w14:paraId="20570C7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95,7</w:t>
            </w:r>
          </w:p>
        </w:tc>
        <w:tc>
          <w:tcPr>
            <w:tcW w:w="289" w:type="pct"/>
            <w:vAlign w:val="bottom"/>
          </w:tcPr>
          <w:p w14:paraId="468506D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96,4</w:t>
            </w:r>
          </w:p>
        </w:tc>
        <w:tc>
          <w:tcPr>
            <w:tcW w:w="289" w:type="pct"/>
            <w:vAlign w:val="bottom"/>
          </w:tcPr>
          <w:p w14:paraId="7864645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97,2</w:t>
            </w:r>
          </w:p>
        </w:tc>
        <w:tc>
          <w:tcPr>
            <w:tcW w:w="376" w:type="pct"/>
            <w:vAlign w:val="bottom"/>
          </w:tcPr>
          <w:p w14:paraId="3E6AF9BC"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97,5</w:t>
            </w:r>
          </w:p>
        </w:tc>
        <w:tc>
          <w:tcPr>
            <w:tcW w:w="475" w:type="pct"/>
            <w:vAlign w:val="bottom"/>
          </w:tcPr>
          <w:p w14:paraId="28FB72BF"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488 400</w:t>
            </w:r>
          </w:p>
        </w:tc>
        <w:tc>
          <w:tcPr>
            <w:tcW w:w="475" w:type="pct"/>
            <w:vAlign w:val="bottom"/>
          </w:tcPr>
          <w:p w14:paraId="516DCDDF"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476 400</w:t>
            </w:r>
          </w:p>
        </w:tc>
      </w:tr>
      <w:tr w:rsidR="00DA3C9E" w:rsidRPr="00E27566" w14:paraId="75E7AA31" w14:textId="77777777" w:rsidTr="00EF6F89">
        <w:trPr>
          <w:trHeight w:val="113"/>
        </w:trPr>
        <w:tc>
          <w:tcPr>
            <w:tcW w:w="807" w:type="pct"/>
            <w:vAlign w:val="bottom"/>
          </w:tcPr>
          <w:p w14:paraId="4BBFE493" w14:textId="77777777" w:rsidR="00DA3C9E" w:rsidRPr="00E27566" w:rsidRDefault="00DA3C9E" w:rsidP="00B20A65">
            <w:pPr>
              <w:spacing w:before="60" w:after="60"/>
              <w:rPr>
                <w:rFonts w:ascii="Times New Roman" w:hAnsi="Times New Roman"/>
                <w:sz w:val="18"/>
                <w:szCs w:val="18"/>
              </w:rPr>
            </w:pPr>
            <w:r w:rsidRPr="00E27566">
              <w:rPr>
                <w:rFonts w:ascii="Times New Roman" w:hAnsi="Times New Roman"/>
                <w:sz w:val="18"/>
                <w:szCs w:val="18"/>
              </w:rPr>
              <w:t>Helseforetak</w:t>
            </w:r>
          </w:p>
        </w:tc>
        <w:tc>
          <w:tcPr>
            <w:tcW w:w="271" w:type="pct"/>
            <w:vAlign w:val="bottom"/>
          </w:tcPr>
          <w:p w14:paraId="1BB0B1F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89,1</w:t>
            </w:r>
          </w:p>
        </w:tc>
        <w:tc>
          <w:tcPr>
            <w:tcW w:w="288" w:type="pct"/>
            <w:vAlign w:val="bottom"/>
          </w:tcPr>
          <w:p w14:paraId="64A762E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88,8</w:t>
            </w:r>
          </w:p>
        </w:tc>
        <w:tc>
          <w:tcPr>
            <w:tcW w:w="288" w:type="pct"/>
            <w:vAlign w:val="bottom"/>
          </w:tcPr>
          <w:p w14:paraId="04896D5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87,8</w:t>
            </w:r>
          </w:p>
        </w:tc>
        <w:tc>
          <w:tcPr>
            <w:tcW w:w="288" w:type="pct"/>
            <w:tcBorders>
              <w:right w:val="single" w:sz="4" w:space="0" w:color="auto"/>
            </w:tcBorders>
            <w:vAlign w:val="bottom"/>
          </w:tcPr>
          <w:p w14:paraId="27356CE4"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87,0</w:t>
            </w:r>
          </w:p>
        </w:tc>
        <w:tc>
          <w:tcPr>
            <w:tcW w:w="288" w:type="pct"/>
            <w:tcBorders>
              <w:left w:val="single" w:sz="4" w:space="0" w:color="auto"/>
            </w:tcBorders>
            <w:vAlign w:val="bottom"/>
          </w:tcPr>
          <w:p w14:paraId="479F341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86,8</w:t>
            </w:r>
          </w:p>
        </w:tc>
        <w:tc>
          <w:tcPr>
            <w:tcW w:w="289" w:type="pct"/>
            <w:vAlign w:val="bottom"/>
          </w:tcPr>
          <w:p w14:paraId="419DC78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88,5</w:t>
            </w:r>
          </w:p>
        </w:tc>
        <w:tc>
          <w:tcPr>
            <w:tcW w:w="289" w:type="pct"/>
            <w:vAlign w:val="bottom"/>
          </w:tcPr>
          <w:p w14:paraId="5CFC148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87,7</w:t>
            </w:r>
          </w:p>
        </w:tc>
        <w:tc>
          <w:tcPr>
            <w:tcW w:w="289" w:type="pct"/>
            <w:vAlign w:val="bottom"/>
          </w:tcPr>
          <w:p w14:paraId="4DAB74E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88,1</w:t>
            </w:r>
          </w:p>
        </w:tc>
        <w:tc>
          <w:tcPr>
            <w:tcW w:w="289" w:type="pct"/>
            <w:vAlign w:val="bottom"/>
          </w:tcPr>
          <w:p w14:paraId="45AF915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87,4</w:t>
            </w:r>
          </w:p>
        </w:tc>
        <w:tc>
          <w:tcPr>
            <w:tcW w:w="289" w:type="pct"/>
            <w:vAlign w:val="bottom"/>
          </w:tcPr>
          <w:p w14:paraId="7B667F0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87,8</w:t>
            </w:r>
          </w:p>
        </w:tc>
        <w:tc>
          <w:tcPr>
            <w:tcW w:w="376" w:type="pct"/>
            <w:vAlign w:val="bottom"/>
          </w:tcPr>
          <w:p w14:paraId="26242EFF"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87,0</w:t>
            </w:r>
          </w:p>
        </w:tc>
        <w:tc>
          <w:tcPr>
            <w:tcW w:w="475" w:type="pct"/>
            <w:vAlign w:val="bottom"/>
          </w:tcPr>
          <w:p w14:paraId="552BC56D"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460 800</w:t>
            </w:r>
          </w:p>
        </w:tc>
        <w:tc>
          <w:tcPr>
            <w:tcW w:w="475" w:type="pct"/>
            <w:vAlign w:val="bottom"/>
          </w:tcPr>
          <w:p w14:paraId="0B41C9CE"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400 800</w:t>
            </w:r>
          </w:p>
        </w:tc>
      </w:tr>
      <w:tr w:rsidR="00DA3C9E" w:rsidRPr="00E27566" w14:paraId="2B6E98F6" w14:textId="77777777" w:rsidTr="00EF6F89">
        <w:trPr>
          <w:trHeight w:val="907"/>
        </w:trPr>
        <w:tc>
          <w:tcPr>
            <w:tcW w:w="807" w:type="pct"/>
            <w:vAlign w:val="bottom"/>
          </w:tcPr>
          <w:p w14:paraId="53790925" w14:textId="77777777" w:rsidR="00DA3C9E" w:rsidRPr="00E27566" w:rsidRDefault="00DA3C9E" w:rsidP="00B20A65">
            <w:pPr>
              <w:spacing w:before="60" w:after="60"/>
              <w:rPr>
                <w:rFonts w:ascii="Times New Roman" w:eastAsia="Arial Unicode MS" w:hAnsi="Times New Roman"/>
                <w:bCs/>
                <w:i/>
                <w:sz w:val="18"/>
                <w:szCs w:val="18"/>
              </w:rPr>
            </w:pPr>
            <w:r w:rsidRPr="00E27566">
              <w:rPr>
                <w:rFonts w:ascii="Times New Roman" w:hAnsi="Times New Roman"/>
                <w:bCs/>
                <w:i/>
                <w:sz w:val="18"/>
                <w:szCs w:val="18"/>
              </w:rPr>
              <w:t>Utdanning på videregående skolenivå, herav fagutdanning</w:t>
            </w:r>
          </w:p>
        </w:tc>
        <w:tc>
          <w:tcPr>
            <w:tcW w:w="271" w:type="pct"/>
            <w:vAlign w:val="bottom"/>
          </w:tcPr>
          <w:p w14:paraId="6560A748" w14:textId="77777777" w:rsidR="00DA3C9E" w:rsidRPr="00E27566" w:rsidRDefault="00DA3C9E" w:rsidP="00B20A65">
            <w:pPr>
              <w:spacing w:before="60" w:after="60"/>
              <w:jc w:val="right"/>
              <w:rPr>
                <w:rFonts w:ascii="Times New Roman" w:hAnsi="Times New Roman"/>
                <w:b/>
                <w:sz w:val="18"/>
                <w:szCs w:val="18"/>
              </w:rPr>
            </w:pPr>
          </w:p>
        </w:tc>
        <w:tc>
          <w:tcPr>
            <w:tcW w:w="288" w:type="pct"/>
            <w:vAlign w:val="bottom"/>
          </w:tcPr>
          <w:p w14:paraId="47FE6300" w14:textId="77777777" w:rsidR="00DA3C9E" w:rsidRPr="00E27566" w:rsidRDefault="00DA3C9E" w:rsidP="00B20A65">
            <w:pPr>
              <w:spacing w:before="60" w:after="60"/>
              <w:jc w:val="right"/>
              <w:rPr>
                <w:rFonts w:ascii="Times New Roman" w:hAnsi="Times New Roman"/>
                <w:b/>
                <w:sz w:val="18"/>
                <w:szCs w:val="18"/>
              </w:rPr>
            </w:pPr>
          </w:p>
        </w:tc>
        <w:tc>
          <w:tcPr>
            <w:tcW w:w="288" w:type="pct"/>
            <w:vAlign w:val="bottom"/>
          </w:tcPr>
          <w:p w14:paraId="0528DBC8" w14:textId="77777777" w:rsidR="00DA3C9E" w:rsidRPr="00E27566" w:rsidRDefault="00DA3C9E" w:rsidP="00B20A65">
            <w:pPr>
              <w:spacing w:before="60" w:after="60"/>
              <w:jc w:val="right"/>
              <w:rPr>
                <w:rFonts w:ascii="Times New Roman" w:hAnsi="Times New Roman"/>
                <w:b/>
                <w:sz w:val="18"/>
                <w:szCs w:val="18"/>
              </w:rPr>
            </w:pPr>
          </w:p>
        </w:tc>
        <w:tc>
          <w:tcPr>
            <w:tcW w:w="288" w:type="pct"/>
            <w:tcBorders>
              <w:right w:val="single" w:sz="4" w:space="0" w:color="auto"/>
            </w:tcBorders>
            <w:vAlign w:val="bottom"/>
          </w:tcPr>
          <w:p w14:paraId="0B8446E6" w14:textId="77777777" w:rsidR="00DA3C9E" w:rsidRPr="00E27566" w:rsidRDefault="00DA3C9E" w:rsidP="00B20A65">
            <w:pPr>
              <w:spacing w:before="60" w:after="60"/>
              <w:jc w:val="right"/>
              <w:rPr>
                <w:rFonts w:ascii="Times New Roman" w:hAnsi="Times New Roman"/>
                <w:b/>
                <w:sz w:val="18"/>
                <w:szCs w:val="18"/>
              </w:rPr>
            </w:pPr>
          </w:p>
        </w:tc>
        <w:tc>
          <w:tcPr>
            <w:tcW w:w="288" w:type="pct"/>
            <w:tcBorders>
              <w:left w:val="single" w:sz="4" w:space="0" w:color="auto"/>
            </w:tcBorders>
            <w:vAlign w:val="bottom"/>
          </w:tcPr>
          <w:p w14:paraId="6CA0A4B8" w14:textId="77777777" w:rsidR="00DA3C9E" w:rsidRPr="00E27566" w:rsidRDefault="00DA3C9E" w:rsidP="00B20A65">
            <w:pPr>
              <w:spacing w:before="60" w:after="60"/>
              <w:jc w:val="right"/>
              <w:rPr>
                <w:rFonts w:ascii="Times New Roman" w:eastAsia="Arial Unicode MS" w:hAnsi="Times New Roman"/>
                <w:b/>
                <w:sz w:val="18"/>
                <w:szCs w:val="18"/>
              </w:rPr>
            </w:pPr>
          </w:p>
        </w:tc>
        <w:tc>
          <w:tcPr>
            <w:tcW w:w="289" w:type="pct"/>
            <w:vAlign w:val="bottom"/>
          </w:tcPr>
          <w:p w14:paraId="69DC0567" w14:textId="77777777" w:rsidR="00DA3C9E" w:rsidRPr="00E27566" w:rsidRDefault="00DA3C9E" w:rsidP="00B20A65">
            <w:pPr>
              <w:spacing w:before="60" w:after="60"/>
              <w:jc w:val="right"/>
              <w:rPr>
                <w:rFonts w:ascii="Times New Roman" w:eastAsia="Arial Unicode MS" w:hAnsi="Times New Roman"/>
                <w:b/>
                <w:sz w:val="18"/>
                <w:szCs w:val="18"/>
              </w:rPr>
            </w:pPr>
          </w:p>
        </w:tc>
        <w:tc>
          <w:tcPr>
            <w:tcW w:w="289" w:type="pct"/>
            <w:vAlign w:val="bottom"/>
          </w:tcPr>
          <w:p w14:paraId="38C82340" w14:textId="77777777" w:rsidR="00DA3C9E" w:rsidRPr="00E27566" w:rsidRDefault="00DA3C9E" w:rsidP="00B20A65">
            <w:pPr>
              <w:spacing w:before="60" w:after="60"/>
              <w:jc w:val="right"/>
              <w:rPr>
                <w:rFonts w:ascii="Times New Roman" w:eastAsia="Arial Unicode MS" w:hAnsi="Times New Roman"/>
                <w:b/>
                <w:sz w:val="18"/>
                <w:szCs w:val="18"/>
              </w:rPr>
            </w:pPr>
          </w:p>
        </w:tc>
        <w:tc>
          <w:tcPr>
            <w:tcW w:w="289" w:type="pct"/>
            <w:vAlign w:val="bottom"/>
          </w:tcPr>
          <w:p w14:paraId="70FD1820" w14:textId="77777777" w:rsidR="00DA3C9E" w:rsidRPr="00E27566" w:rsidRDefault="00DA3C9E" w:rsidP="00B20A65">
            <w:pPr>
              <w:spacing w:before="60" w:after="60"/>
              <w:jc w:val="right"/>
              <w:rPr>
                <w:rFonts w:ascii="Times New Roman" w:hAnsi="Times New Roman"/>
                <w:b/>
                <w:bCs/>
                <w:sz w:val="18"/>
                <w:szCs w:val="18"/>
              </w:rPr>
            </w:pPr>
          </w:p>
        </w:tc>
        <w:tc>
          <w:tcPr>
            <w:tcW w:w="289" w:type="pct"/>
            <w:vAlign w:val="bottom"/>
          </w:tcPr>
          <w:p w14:paraId="38938793" w14:textId="77777777" w:rsidR="00DA3C9E" w:rsidRPr="00E27566" w:rsidRDefault="00DA3C9E" w:rsidP="00B20A65">
            <w:pPr>
              <w:spacing w:before="60" w:after="60"/>
              <w:jc w:val="right"/>
              <w:rPr>
                <w:rFonts w:ascii="Times New Roman" w:hAnsi="Times New Roman"/>
                <w:b/>
                <w:bCs/>
                <w:sz w:val="18"/>
                <w:szCs w:val="18"/>
              </w:rPr>
            </w:pPr>
          </w:p>
        </w:tc>
        <w:tc>
          <w:tcPr>
            <w:tcW w:w="289" w:type="pct"/>
            <w:vAlign w:val="bottom"/>
          </w:tcPr>
          <w:p w14:paraId="0EC4E74D" w14:textId="77777777" w:rsidR="00DA3C9E" w:rsidRPr="00E27566" w:rsidRDefault="00DA3C9E" w:rsidP="00B20A65">
            <w:pPr>
              <w:spacing w:before="60" w:after="60"/>
              <w:jc w:val="right"/>
              <w:rPr>
                <w:rFonts w:ascii="Times New Roman" w:hAnsi="Times New Roman"/>
                <w:b/>
                <w:bCs/>
                <w:sz w:val="18"/>
                <w:szCs w:val="18"/>
              </w:rPr>
            </w:pPr>
          </w:p>
        </w:tc>
        <w:tc>
          <w:tcPr>
            <w:tcW w:w="376" w:type="pct"/>
            <w:vAlign w:val="bottom"/>
          </w:tcPr>
          <w:p w14:paraId="32EA20BB" w14:textId="77777777" w:rsidR="00DA3C9E" w:rsidRPr="00E27566" w:rsidRDefault="00DA3C9E" w:rsidP="00B20A65">
            <w:pPr>
              <w:spacing w:before="60" w:after="60"/>
              <w:jc w:val="right"/>
              <w:rPr>
                <w:rFonts w:ascii="Times New Roman" w:hAnsi="Times New Roman"/>
                <w:color w:val="000000"/>
                <w:sz w:val="18"/>
                <w:szCs w:val="18"/>
              </w:rPr>
            </w:pPr>
          </w:p>
        </w:tc>
        <w:tc>
          <w:tcPr>
            <w:tcW w:w="475" w:type="pct"/>
            <w:vAlign w:val="bottom"/>
          </w:tcPr>
          <w:p w14:paraId="5AF682C5" w14:textId="77777777" w:rsidR="00DA3C9E" w:rsidRPr="00E27566" w:rsidRDefault="00DA3C9E" w:rsidP="00B20A65">
            <w:pPr>
              <w:spacing w:before="60" w:after="60"/>
              <w:jc w:val="center"/>
              <w:rPr>
                <w:rFonts w:ascii="Times New Roman" w:hAnsi="Times New Roman"/>
                <w:color w:val="000000"/>
                <w:sz w:val="18"/>
                <w:szCs w:val="18"/>
              </w:rPr>
            </w:pPr>
          </w:p>
        </w:tc>
        <w:tc>
          <w:tcPr>
            <w:tcW w:w="475" w:type="pct"/>
            <w:vAlign w:val="bottom"/>
          </w:tcPr>
          <w:p w14:paraId="3E039B6E" w14:textId="77777777" w:rsidR="00DA3C9E" w:rsidRPr="00E27566" w:rsidRDefault="00DA3C9E" w:rsidP="00B20A65">
            <w:pPr>
              <w:spacing w:before="60" w:after="60"/>
              <w:jc w:val="center"/>
              <w:rPr>
                <w:rFonts w:ascii="Times New Roman" w:hAnsi="Times New Roman"/>
                <w:color w:val="000000"/>
                <w:sz w:val="18"/>
                <w:szCs w:val="18"/>
              </w:rPr>
            </w:pPr>
          </w:p>
        </w:tc>
      </w:tr>
      <w:tr w:rsidR="00DA3C9E" w:rsidRPr="00E27566" w14:paraId="7D0D11B8" w14:textId="77777777" w:rsidTr="00EF6F89">
        <w:trPr>
          <w:trHeight w:val="70"/>
        </w:trPr>
        <w:tc>
          <w:tcPr>
            <w:tcW w:w="807" w:type="pct"/>
            <w:vAlign w:val="bottom"/>
          </w:tcPr>
          <w:p w14:paraId="4CEEF294" w14:textId="77777777" w:rsidR="00DA3C9E" w:rsidRPr="00E27566" w:rsidRDefault="00DA3C9E" w:rsidP="00B20A65">
            <w:pPr>
              <w:tabs>
                <w:tab w:val="left" w:pos="1899"/>
              </w:tabs>
              <w:spacing w:before="60" w:after="60"/>
              <w:rPr>
                <w:rFonts w:ascii="Times New Roman" w:eastAsia="Arial Unicode MS" w:hAnsi="Times New Roman"/>
                <w:sz w:val="18"/>
                <w:szCs w:val="18"/>
              </w:rPr>
            </w:pPr>
            <w:r w:rsidRPr="00E27566">
              <w:rPr>
                <w:rFonts w:ascii="Times New Roman" w:hAnsi="Times New Roman"/>
                <w:sz w:val="18"/>
                <w:szCs w:val="18"/>
              </w:rPr>
              <w:t>Industri i alt</w:t>
            </w:r>
          </w:p>
        </w:tc>
        <w:tc>
          <w:tcPr>
            <w:tcW w:w="271" w:type="pct"/>
            <w:vAlign w:val="bottom"/>
          </w:tcPr>
          <w:p w14:paraId="05DCF01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91,0</w:t>
            </w:r>
          </w:p>
        </w:tc>
        <w:tc>
          <w:tcPr>
            <w:tcW w:w="288" w:type="pct"/>
            <w:vAlign w:val="bottom"/>
          </w:tcPr>
          <w:p w14:paraId="07F41B9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90,8</w:t>
            </w:r>
          </w:p>
        </w:tc>
        <w:tc>
          <w:tcPr>
            <w:tcW w:w="288" w:type="pct"/>
            <w:vAlign w:val="bottom"/>
          </w:tcPr>
          <w:p w14:paraId="3AD268C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 88,0 </w:t>
            </w:r>
          </w:p>
        </w:tc>
        <w:tc>
          <w:tcPr>
            <w:tcW w:w="288" w:type="pct"/>
            <w:tcBorders>
              <w:right w:val="single" w:sz="4" w:space="0" w:color="auto"/>
            </w:tcBorders>
            <w:vAlign w:val="bottom"/>
          </w:tcPr>
          <w:p w14:paraId="3509C79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88,3</w:t>
            </w:r>
          </w:p>
        </w:tc>
        <w:tc>
          <w:tcPr>
            <w:tcW w:w="288" w:type="pct"/>
            <w:tcBorders>
              <w:left w:val="single" w:sz="4" w:space="0" w:color="auto"/>
            </w:tcBorders>
            <w:vAlign w:val="bottom"/>
          </w:tcPr>
          <w:p w14:paraId="533A17D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86,8</w:t>
            </w:r>
          </w:p>
        </w:tc>
        <w:tc>
          <w:tcPr>
            <w:tcW w:w="289" w:type="pct"/>
            <w:vAlign w:val="bottom"/>
          </w:tcPr>
          <w:p w14:paraId="76B23B5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86,9</w:t>
            </w:r>
          </w:p>
        </w:tc>
        <w:tc>
          <w:tcPr>
            <w:tcW w:w="289" w:type="pct"/>
            <w:vAlign w:val="bottom"/>
          </w:tcPr>
          <w:p w14:paraId="2E9C8D4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87,6</w:t>
            </w:r>
          </w:p>
        </w:tc>
        <w:tc>
          <w:tcPr>
            <w:tcW w:w="289" w:type="pct"/>
            <w:vAlign w:val="bottom"/>
          </w:tcPr>
          <w:p w14:paraId="46E551B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88,4</w:t>
            </w:r>
          </w:p>
        </w:tc>
        <w:tc>
          <w:tcPr>
            <w:tcW w:w="289" w:type="pct"/>
            <w:vAlign w:val="bottom"/>
          </w:tcPr>
          <w:p w14:paraId="667D6AD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88,1</w:t>
            </w:r>
          </w:p>
        </w:tc>
        <w:tc>
          <w:tcPr>
            <w:tcW w:w="289" w:type="pct"/>
            <w:vAlign w:val="bottom"/>
          </w:tcPr>
          <w:p w14:paraId="7477C5BD"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88,0</w:t>
            </w:r>
          </w:p>
        </w:tc>
        <w:tc>
          <w:tcPr>
            <w:tcW w:w="376" w:type="pct"/>
            <w:vAlign w:val="bottom"/>
          </w:tcPr>
          <w:p w14:paraId="31E9E07E"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88,2</w:t>
            </w:r>
          </w:p>
        </w:tc>
        <w:tc>
          <w:tcPr>
            <w:tcW w:w="475" w:type="pct"/>
            <w:vAlign w:val="bottom"/>
          </w:tcPr>
          <w:p w14:paraId="74560CEC"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506 400</w:t>
            </w:r>
          </w:p>
        </w:tc>
        <w:tc>
          <w:tcPr>
            <w:tcW w:w="475" w:type="pct"/>
            <w:vAlign w:val="bottom"/>
          </w:tcPr>
          <w:p w14:paraId="243AC10F"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446 400</w:t>
            </w:r>
          </w:p>
        </w:tc>
      </w:tr>
      <w:tr w:rsidR="00DA3C9E" w:rsidRPr="00E27566" w14:paraId="65A0DCA2" w14:textId="77777777" w:rsidTr="00EF6F89">
        <w:trPr>
          <w:trHeight w:val="113"/>
        </w:trPr>
        <w:tc>
          <w:tcPr>
            <w:tcW w:w="807" w:type="pct"/>
            <w:vAlign w:val="bottom"/>
          </w:tcPr>
          <w:p w14:paraId="796DC5AA" w14:textId="77777777" w:rsidR="00DA3C9E" w:rsidRPr="00E27566" w:rsidRDefault="00DA3C9E" w:rsidP="00B20A65">
            <w:pPr>
              <w:tabs>
                <w:tab w:val="left" w:pos="1899"/>
              </w:tabs>
              <w:spacing w:before="60" w:after="60"/>
              <w:rPr>
                <w:rFonts w:ascii="Times New Roman" w:eastAsia="Arial Unicode MS" w:hAnsi="Times New Roman"/>
                <w:sz w:val="18"/>
                <w:szCs w:val="18"/>
              </w:rPr>
            </w:pPr>
            <w:r w:rsidRPr="00E27566">
              <w:rPr>
                <w:rFonts w:ascii="Times New Roman" w:hAnsi="Times New Roman"/>
                <w:sz w:val="18"/>
                <w:szCs w:val="18"/>
              </w:rPr>
              <w:t>Bygge- og anleggsvirksomhet i alt</w:t>
            </w:r>
          </w:p>
        </w:tc>
        <w:tc>
          <w:tcPr>
            <w:tcW w:w="271" w:type="pct"/>
            <w:vAlign w:val="bottom"/>
          </w:tcPr>
          <w:p w14:paraId="0344F47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90,7</w:t>
            </w:r>
          </w:p>
        </w:tc>
        <w:tc>
          <w:tcPr>
            <w:tcW w:w="288" w:type="pct"/>
            <w:vAlign w:val="bottom"/>
          </w:tcPr>
          <w:p w14:paraId="0763F7E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88,2</w:t>
            </w:r>
          </w:p>
        </w:tc>
        <w:tc>
          <w:tcPr>
            <w:tcW w:w="288" w:type="pct"/>
            <w:vAlign w:val="bottom"/>
          </w:tcPr>
          <w:p w14:paraId="212A8EB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88,3 </w:t>
            </w:r>
          </w:p>
        </w:tc>
        <w:tc>
          <w:tcPr>
            <w:tcW w:w="288" w:type="pct"/>
            <w:tcBorders>
              <w:right w:val="single" w:sz="4" w:space="0" w:color="auto"/>
            </w:tcBorders>
            <w:vAlign w:val="bottom"/>
          </w:tcPr>
          <w:p w14:paraId="78B12675"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sz w:val="18"/>
                <w:szCs w:val="18"/>
              </w:rPr>
              <w:t>90,7</w:t>
            </w:r>
          </w:p>
        </w:tc>
        <w:tc>
          <w:tcPr>
            <w:tcW w:w="288" w:type="pct"/>
            <w:tcBorders>
              <w:left w:val="single" w:sz="4" w:space="0" w:color="auto"/>
            </w:tcBorders>
            <w:vAlign w:val="bottom"/>
          </w:tcPr>
          <w:p w14:paraId="3F1D455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89,5</w:t>
            </w:r>
          </w:p>
        </w:tc>
        <w:tc>
          <w:tcPr>
            <w:tcW w:w="289" w:type="pct"/>
            <w:vAlign w:val="bottom"/>
          </w:tcPr>
          <w:p w14:paraId="60FABD6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89,2</w:t>
            </w:r>
          </w:p>
        </w:tc>
        <w:tc>
          <w:tcPr>
            <w:tcW w:w="289" w:type="pct"/>
            <w:vAlign w:val="bottom"/>
          </w:tcPr>
          <w:p w14:paraId="0E40F03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89,0</w:t>
            </w:r>
          </w:p>
        </w:tc>
        <w:tc>
          <w:tcPr>
            <w:tcW w:w="289" w:type="pct"/>
            <w:vAlign w:val="bottom"/>
          </w:tcPr>
          <w:p w14:paraId="6C4D032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89,4</w:t>
            </w:r>
          </w:p>
        </w:tc>
        <w:tc>
          <w:tcPr>
            <w:tcW w:w="289" w:type="pct"/>
            <w:vAlign w:val="bottom"/>
          </w:tcPr>
          <w:p w14:paraId="617E51A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90,0</w:t>
            </w:r>
          </w:p>
        </w:tc>
        <w:tc>
          <w:tcPr>
            <w:tcW w:w="289" w:type="pct"/>
            <w:vAlign w:val="bottom"/>
          </w:tcPr>
          <w:p w14:paraId="460F1190"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90,6</w:t>
            </w:r>
          </w:p>
        </w:tc>
        <w:tc>
          <w:tcPr>
            <w:tcW w:w="376" w:type="pct"/>
            <w:vAlign w:val="bottom"/>
          </w:tcPr>
          <w:p w14:paraId="4B21AD5C"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90,0</w:t>
            </w:r>
          </w:p>
        </w:tc>
        <w:tc>
          <w:tcPr>
            <w:tcW w:w="475" w:type="pct"/>
            <w:vAlign w:val="bottom"/>
          </w:tcPr>
          <w:p w14:paraId="66047969"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504 000</w:t>
            </w:r>
          </w:p>
        </w:tc>
        <w:tc>
          <w:tcPr>
            <w:tcW w:w="475" w:type="pct"/>
            <w:vAlign w:val="bottom"/>
          </w:tcPr>
          <w:p w14:paraId="54B2ACED"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453 600</w:t>
            </w:r>
          </w:p>
        </w:tc>
      </w:tr>
      <w:tr w:rsidR="00DA3C9E" w:rsidRPr="00E27566" w14:paraId="2511FCE4" w14:textId="77777777" w:rsidTr="00EF6F89">
        <w:trPr>
          <w:trHeight w:val="113"/>
        </w:trPr>
        <w:tc>
          <w:tcPr>
            <w:tcW w:w="807" w:type="pct"/>
            <w:vAlign w:val="bottom"/>
          </w:tcPr>
          <w:p w14:paraId="673D1934" w14:textId="77777777" w:rsidR="00DA3C9E" w:rsidRPr="00E27566" w:rsidRDefault="00DA3C9E" w:rsidP="00B20A65">
            <w:pPr>
              <w:tabs>
                <w:tab w:val="left" w:pos="1899"/>
              </w:tabs>
              <w:spacing w:before="60" w:after="60"/>
              <w:rPr>
                <w:rFonts w:ascii="Times New Roman" w:eastAsia="Arial Unicode MS" w:hAnsi="Times New Roman"/>
                <w:sz w:val="18"/>
                <w:szCs w:val="18"/>
              </w:rPr>
            </w:pPr>
            <w:r w:rsidRPr="00E27566">
              <w:rPr>
                <w:rFonts w:ascii="Times New Roman" w:hAnsi="Times New Roman"/>
                <w:sz w:val="18"/>
                <w:szCs w:val="18"/>
              </w:rPr>
              <w:t>Varehandel i alt</w:t>
            </w:r>
          </w:p>
        </w:tc>
        <w:tc>
          <w:tcPr>
            <w:tcW w:w="271" w:type="pct"/>
            <w:vAlign w:val="bottom"/>
          </w:tcPr>
          <w:p w14:paraId="2DFCBE6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85,5</w:t>
            </w:r>
          </w:p>
        </w:tc>
        <w:tc>
          <w:tcPr>
            <w:tcW w:w="288" w:type="pct"/>
            <w:vAlign w:val="bottom"/>
          </w:tcPr>
          <w:p w14:paraId="5420449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85,1</w:t>
            </w:r>
          </w:p>
        </w:tc>
        <w:tc>
          <w:tcPr>
            <w:tcW w:w="288" w:type="pct"/>
            <w:vAlign w:val="bottom"/>
          </w:tcPr>
          <w:p w14:paraId="74F414E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84,0 </w:t>
            </w:r>
          </w:p>
        </w:tc>
        <w:tc>
          <w:tcPr>
            <w:tcW w:w="288" w:type="pct"/>
            <w:tcBorders>
              <w:right w:val="single" w:sz="4" w:space="0" w:color="auto"/>
            </w:tcBorders>
            <w:vAlign w:val="bottom"/>
          </w:tcPr>
          <w:p w14:paraId="52D360D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84,3</w:t>
            </w:r>
          </w:p>
        </w:tc>
        <w:tc>
          <w:tcPr>
            <w:tcW w:w="288" w:type="pct"/>
            <w:tcBorders>
              <w:left w:val="single" w:sz="4" w:space="0" w:color="auto"/>
            </w:tcBorders>
            <w:vAlign w:val="bottom"/>
          </w:tcPr>
          <w:p w14:paraId="1236566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84,0</w:t>
            </w:r>
          </w:p>
        </w:tc>
        <w:tc>
          <w:tcPr>
            <w:tcW w:w="289" w:type="pct"/>
            <w:vAlign w:val="bottom"/>
          </w:tcPr>
          <w:p w14:paraId="499D2F1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84,7</w:t>
            </w:r>
          </w:p>
        </w:tc>
        <w:tc>
          <w:tcPr>
            <w:tcW w:w="289" w:type="pct"/>
            <w:vAlign w:val="bottom"/>
          </w:tcPr>
          <w:p w14:paraId="2E2378D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86,2</w:t>
            </w:r>
          </w:p>
        </w:tc>
        <w:tc>
          <w:tcPr>
            <w:tcW w:w="289" w:type="pct"/>
            <w:vAlign w:val="bottom"/>
          </w:tcPr>
          <w:p w14:paraId="21E0A06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86,2</w:t>
            </w:r>
          </w:p>
        </w:tc>
        <w:tc>
          <w:tcPr>
            <w:tcW w:w="289" w:type="pct"/>
            <w:vAlign w:val="bottom"/>
          </w:tcPr>
          <w:p w14:paraId="4175B13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86,0 </w:t>
            </w:r>
          </w:p>
        </w:tc>
        <w:tc>
          <w:tcPr>
            <w:tcW w:w="289" w:type="pct"/>
            <w:vAlign w:val="bottom"/>
          </w:tcPr>
          <w:p w14:paraId="5B1D1845"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86,6</w:t>
            </w:r>
          </w:p>
        </w:tc>
        <w:tc>
          <w:tcPr>
            <w:tcW w:w="376" w:type="pct"/>
            <w:vAlign w:val="bottom"/>
          </w:tcPr>
          <w:p w14:paraId="0639083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85,2</w:t>
            </w:r>
          </w:p>
        </w:tc>
        <w:tc>
          <w:tcPr>
            <w:tcW w:w="475" w:type="pct"/>
            <w:vAlign w:val="bottom"/>
          </w:tcPr>
          <w:p w14:paraId="54FD67E5"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487 200</w:t>
            </w:r>
          </w:p>
        </w:tc>
        <w:tc>
          <w:tcPr>
            <w:tcW w:w="475" w:type="pct"/>
            <w:vAlign w:val="bottom"/>
          </w:tcPr>
          <w:p w14:paraId="18879954"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415 200</w:t>
            </w:r>
          </w:p>
        </w:tc>
      </w:tr>
      <w:tr w:rsidR="00DA3C9E" w:rsidRPr="00E27566" w14:paraId="571001C6" w14:textId="77777777" w:rsidTr="00EF6F89">
        <w:trPr>
          <w:trHeight w:val="113"/>
        </w:trPr>
        <w:tc>
          <w:tcPr>
            <w:tcW w:w="807" w:type="pct"/>
            <w:vAlign w:val="bottom"/>
          </w:tcPr>
          <w:p w14:paraId="3E1F7458" w14:textId="77777777" w:rsidR="00DA3C9E" w:rsidRPr="00E27566" w:rsidRDefault="00DA3C9E" w:rsidP="00B20A65">
            <w:pPr>
              <w:tabs>
                <w:tab w:val="left" w:pos="1899"/>
              </w:tabs>
              <w:spacing w:before="60" w:after="60"/>
              <w:rPr>
                <w:rFonts w:ascii="Times New Roman" w:eastAsia="Arial Unicode MS" w:hAnsi="Times New Roman"/>
                <w:sz w:val="18"/>
                <w:szCs w:val="18"/>
              </w:rPr>
            </w:pPr>
            <w:r w:rsidRPr="00E27566">
              <w:rPr>
                <w:rFonts w:ascii="Times New Roman" w:hAnsi="Times New Roman"/>
                <w:sz w:val="18"/>
                <w:szCs w:val="18"/>
              </w:rPr>
              <w:t>Finanstjenester i alt</w:t>
            </w:r>
          </w:p>
        </w:tc>
        <w:tc>
          <w:tcPr>
            <w:tcW w:w="271" w:type="pct"/>
            <w:vAlign w:val="bottom"/>
          </w:tcPr>
          <w:p w14:paraId="57BF32A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83,7</w:t>
            </w:r>
          </w:p>
        </w:tc>
        <w:tc>
          <w:tcPr>
            <w:tcW w:w="288" w:type="pct"/>
            <w:vAlign w:val="bottom"/>
          </w:tcPr>
          <w:p w14:paraId="5D08077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83,7</w:t>
            </w:r>
          </w:p>
        </w:tc>
        <w:tc>
          <w:tcPr>
            <w:tcW w:w="288" w:type="pct"/>
            <w:vAlign w:val="bottom"/>
          </w:tcPr>
          <w:p w14:paraId="18133A4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77,7 </w:t>
            </w:r>
          </w:p>
        </w:tc>
        <w:tc>
          <w:tcPr>
            <w:tcW w:w="288" w:type="pct"/>
            <w:tcBorders>
              <w:right w:val="single" w:sz="4" w:space="0" w:color="auto"/>
            </w:tcBorders>
            <w:vAlign w:val="bottom"/>
          </w:tcPr>
          <w:p w14:paraId="34B035D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77,5</w:t>
            </w:r>
          </w:p>
        </w:tc>
        <w:tc>
          <w:tcPr>
            <w:tcW w:w="288" w:type="pct"/>
            <w:tcBorders>
              <w:left w:val="single" w:sz="4" w:space="0" w:color="auto"/>
            </w:tcBorders>
            <w:vAlign w:val="bottom"/>
          </w:tcPr>
          <w:p w14:paraId="670DACA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76,9</w:t>
            </w:r>
          </w:p>
        </w:tc>
        <w:tc>
          <w:tcPr>
            <w:tcW w:w="289" w:type="pct"/>
            <w:vAlign w:val="bottom"/>
          </w:tcPr>
          <w:p w14:paraId="12A65E9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79,7</w:t>
            </w:r>
          </w:p>
        </w:tc>
        <w:tc>
          <w:tcPr>
            <w:tcW w:w="289" w:type="pct"/>
            <w:vAlign w:val="bottom"/>
          </w:tcPr>
          <w:p w14:paraId="13867B8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80,4</w:t>
            </w:r>
          </w:p>
        </w:tc>
        <w:tc>
          <w:tcPr>
            <w:tcW w:w="289" w:type="pct"/>
            <w:vAlign w:val="bottom"/>
          </w:tcPr>
          <w:p w14:paraId="293CB86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78,1</w:t>
            </w:r>
          </w:p>
        </w:tc>
        <w:tc>
          <w:tcPr>
            <w:tcW w:w="289" w:type="pct"/>
            <w:vAlign w:val="bottom"/>
          </w:tcPr>
          <w:p w14:paraId="197A947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80,8 </w:t>
            </w:r>
          </w:p>
        </w:tc>
        <w:tc>
          <w:tcPr>
            <w:tcW w:w="289" w:type="pct"/>
            <w:vAlign w:val="bottom"/>
          </w:tcPr>
          <w:p w14:paraId="0E9E85A8"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81,4</w:t>
            </w:r>
          </w:p>
        </w:tc>
        <w:tc>
          <w:tcPr>
            <w:tcW w:w="376" w:type="pct"/>
            <w:vAlign w:val="bottom"/>
          </w:tcPr>
          <w:p w14:paraId="727A2B23"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82,1</w:t>
            </w:r>
          </w:p>
        </w:tc>
        <w:tc>
          <w:tcPr>
            <w:tcW w:w="475" w:type="pct"/>
            <w:vAlign w:val="bottom"/>
          </w:tcPr>
          <w:p w14:paraId="53D5C4E4"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597 600</w:t>
            </w:r>
          </w:p>
        </w:tc>
        <w:tc>
          <w:tcPr>
            <w:tcW w:w="475" w:type="pct"/>
            <w:vAlign w:val="bottom"/>
          </w:tcPr>
          <w:p w14:paraId="4AEF3D50"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490 800</w:t>
            </w:r>
          </w:p>
        </w:tc>
      </w:tr>
      <w:tr w:rsidR="00DA3C9E" w:rsidRPr="00E27566" w14:paraId="641E6B83" w14:textId="77777777" w:rsidTr="00EF6F89">
        <w:trPr>
          <w:trHeight w:val="113"/>
        </w:trPr>
        <w:tc>
          <w:tcPr>
            <w:tcW w:w="807" w:type="pct"/>
            <w:vAlign w:val="bottom"/>
          </w:tcPr>
          <w:p w14:paraId="1C20EF5C" w14:textId="77777777" w:rsidR="00DA3C9E" w:rsidRPr="00E27566" w:rsidRDefault="00DA3C9E" w:rsidP="00B20A65">
            <w:pPr>
              <w:tabs>
                <w:tab w:val="left" w:pos="1899"/>
              </w:tabs>
              <w:spacing w:before="60" w:after="60"/>
              <w:rPr>
                <w:rFonts w:ascii="Times New Roman" w:eastAsia="Arial Unicode MS" w:hAnsi="Times New Roman"/>
                <w:sz w:val="18"/>
                <w:szCs w:val="18"/>
              </w:rPr>
            </w:pPr>
            <w:r w:rsidRPr="00E27566">
              <w:rPr>
                <w:rFonts w:ascii="Times New Roman" w:hAnsi="Times New Roman"/>
                <w:sz w:val="18"/>
                <w:szCs w:val="18"/>
              </w:rPr>
              <w:t>Staten i alt</w:t>
            </w:r>
          </w:p>
        </w:tc>
        <w:tc>
          <w:tcPr>
            <w:tcW w:w="271" w:type="pct"/>
            <w:vAlign w:val="bottom"/>
          </w:tcPr>
          <w:p w14:paraId="368B5B8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90,7</w:t>
            </w:r>
          </w:p>
        </w:tc>
        <w:tc>
          <w:tcPr>
            <w:tcW w:w="288" w:type="pct"/>
            <w:vAlign w:val="bottom"/>
          </w:tcPr>
          <w:p w14:paraId="1B42882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90,0</w:t>
            </w:r>
          </w:p>
        </w:tc>
        <w:tc>
          <w:tcPr>
            <w:tcW w:w="288" w:type="pct"/>
            <w:vAlign w:val="bottom"/>
          </w:tcPr>
          <w:p w14:paraId="626F338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90,3 </w:t>
            </w:r>
          </w:p>
        </w:tc>
        <w:tc>
          <w:tcPr>
            <w:tcW w:w="288" w:type="pct"/>
            <w:tcBorders>
              <w:right w:val="single" w:sz="4" w:space="0" w:color="auto"/>
            </w:tcBorders>
            <w:vAlign w:val="bottom"/>
          </w:tcPr>
          <w:p w14:paraId="5F180A8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89,1 </w:t>
            </w:r>
          </w:p>
        </w:tc>
        <w:tc>
          <w:tcPr>
            <w:tcW w:w="288" w:type="pct"/>
            <w:tcBorders>
              <w:left w:val="single" w:sz="4" w:space="0" w:color="auto"/>
            </w:tcBorders>
            <w:vAlign w:val="bottom"/>
          </w:tcPr>
          <w:p w14:paraId="385879A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89,0</w:t>
            </w:r>
          </w:p>
        </w:tc>
        <w:tc>
          <w:tcPr>
            <w:tcW w:w="289" w:type="pct"/>
            <w:vAlign w:val="bottom"/>
          </w:tcPr>
          <w:p w14:paraId="3540576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87,7</w:t>
            </w:r>
          </w:p>
        </w:tc>
        <w:tc>
          <w:tcPr>
            <w:tcW w:w="289" w:type="pct"/>
            <w:vAlign w:val="bottom"/>
          </w:tcPr>
          <w:p w14:paraId="00670DA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88,3</w:t>
            </w:r>
          </w:p>
        </w:tc>
        <w:tc>
          <w:tcPr>
            <w:tcW w:w="289" w:type="pct"/>
            <w:vAlign w:val="bottom"/>
          </w:tcPr>
          <w:p w14:paraId="0C83685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87,9</w:t>
            </w:r>
          </w:p>
        </w:tc>
        <w:tc>
          <w:tcPr>
            <w:tcW w:w="289" w:type="pct"/>
            <w:vAlign w:val="bottom"/>
          </w:tcPr>
          <w:p w14:paraId="284736B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88,7</w:t>
            </w:r>
          </w:p>
        </w:tc>
        <w:tc>
          <w:tcPr>
            <w:tcW w:w="289" w:type="pct"/>
            <w:vAlign w:val="bottom"/>
          </w:tcPr>
          <w:p w14:paraId="4F0BC40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87,1</w:t>
            </w:r>
          </w:p>
        </w:tc>
        <w:tc>
          <w:tcPr>
            <w:tcW w:w="376" w:type="pct"/>
            <w:vAlign w:val="bottom"/>
          </w:tcPr>
          <w:p w14:paraId="116CD153"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86,6</w:t>
            </w:r>
          </w:p>
        </w:tc>
        <w:tc>
          <w:tcPr>
            <w:tcW w:w="475" w:type="pct"/>
            <w:vAlign w:val="bottom"/>
          </w:tcPr>
          <w:p w14:paraId="16A70791"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493 200</w:t>
            </w:r>
          </w:p>
        </w:tc>
        <w:tc>
          <w:tcPr>
            <w:tcW w:w="475" w:type="pct"/>
            <w:vAlign w:val="bottom"/>
          </w:tcPr>
          <w:p w14:paraId="20D9F1D0"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427 200</w:t>
            </w:r>
          </w:p>
        </w:tc>
      </w:tr>
      <w:tr w:rsidR="00DA3C9E" w:rsidRPr="00E27566" w14:paraId="05CC0332" w14:textId="77777777" w:rsidTr="00EF6F89">
        <w:trPr>
          <w:trHeight w:val="113"/>
        </w:trPr>
        <w:tc>
          <w:tcPr>
            <w:tcW w:w="807" w:type="pct"/>
            <w:vAlign w:val="bottom"/>
          </w:tcPr>
          <w:p w14:paraId="7E0F6E35" w14:textId="77777777" w:rsidR="00DA3C9E" w:rsidRPr="00E27566" w:rsidRDefault="00DA3C9E" w:rsidP="00B20A65">
            <w:pPr>
              <w:tabs>
                <w:tab w:val="left" w:pos="1899"/>
              </w:tabs>
              <w:spacing w:before="60" w:after="60"/>
              <w:rPr>
                <w:rFonts w:ascii="Times New Roman" w:eastAsia="Arial Unicode MS" w:hAnsi="Times New Roman"/>
                <w:sz w:val="18"/>
                <w:szCs w:val="18"/>
              </w:rPr>
            </w:pPr>
            <w:r w:rsidRPr="00E27566">
              <w:rPr>
                <w:rFonts w:ascii="Times New Roman" w:hAnsi="Times New Roman"/>
                <w:sz w:val="18"/>
                <w:szCs w:val="18"/>
              </w:rPr>
              <w:t>Kommune og fylkeskommune i alt</w:t>
            </w:r>
            <w:r w:rsidRPr="00E27566">
              <w:rPr>
                <w:rFonts w:ascii="Times New Roman" w:hAnsi="Times New Roman"/>
                <w:sz w:val="18"/>
                <w:szCs w:val="18"/>
                <w:vertAlign w:val="superscript"/>
              </w:rPr>
              <w:t>2</w:t>
            </w:r>
          </w:p>
        </w:tc>
        <w:tc>
          <w:tcPr>
            <w:tcW w:w="271" w:type="pct"/>
            <w:vAlign w:val="bottom"/>
          </w:tcPr>
          <w:p w14:paraId="3103DD7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90,3</w:t>
            </w:r>
          </w:p>
        </w:tc>
        <w:tc>
          <w:tcPr>
            <w:tcW w:w="288" w:type="pct"/>
            <w:vAlign w:val="bottom"/>
          </w:tcPr>
          <w:p w14:paraId="7C54F68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90,4</w:t>
            </w:r>
          </w:p>
        </w:tc>
        <w:tc>
          <w:tcPr>
            <w:tcW w:w="288" w:type="pct"/>
            <w:vAlign w:val="bottom"/>
          </w:tcPr>
          <w:p w14:paraId="6282650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89,8</w:t>
            </w:r>
          </w:p>
        </w:tc>
        <w:tc>
          <w:tcPr>
            <w:tcW w:w="288" w:type="pct"/>
            <w:tcBorders>
              <w:right w:val="single" w:sz="4" w:space="0" w:color="auto"/>
            </w:tcBorders>
            <w:vAlign w:val="bottom"/>
          </w:tcPr>
          <w:p w14:paraId="3F6A51D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89,9</w:t>
            </w:r>
          </w:p>
        </w:tc>
        <w:tc>
          <w:tcPr>
            <w:tcW w:w="288" w:type="pct"/>
            <w:tcBorders>
              <w:left w:val="single" w:sz="4" w:space="0" w:color="auto"/>
            </w:tcBorders>
            <w:vAlign w:val="bottom"/>
          </w:tcPr>
          <w:p w14:paraId="6CD2D44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89,9</w:t>
            </w:r>
          </w:p>
        </w:tc>
        <w:tc>
          <w:tcPr>
            <w:tcW w:w="289" w:type="pct"/>
            <w:vAlign w:val="bottom"/>
          </w:tcPr>
          <w:p w14:paraId="6F26E84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89,6</w:t>
            </w:r>
          </w:p>
        </w:tc>
        <w:tc>
          <w:tcPr>
            <w:tcW w:w="289" w:type="pct"/>
            <w:vAlign w:val="bottom"/>
          </w:tcPr>
          <w:p w14:paraId="42AA046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89,8</w:t>
            </w:r>
          </w:p>
        </w:tc>
        <w:tc>
          <w:tcPr>
            <w:tcW w:w="289" w:type="pct"/>
            <w:vAlign w:val="bottom"/>
          </w:tcPr>
          <w:p w14:paraId="0F787D3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89,0</w:t>
            </w:r>
          </w:p>
        </w:tc>
        <w:tc>
          <w:tcPr>
            <w:tcW w:w="289" w:type="pct"/>
            <w:vAlign w:val="bottom"/>
          </w:tcPr>
          <w:p w14:paraId="1C68D35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89,3</w:t>
            </w:r>
          </w:p>
        </w:tc>
        <w:tc>
          <w:tcPr>
            <w:tcW w:w="289" w:type="pct"/>
            <w:vAlign w:val="bottom"/>
          </w:tcPr>
          <w:p w14:paraId="7C7F9B9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88,7</w:t>
            </w:r>
          </w:p>
        </w:tc>
        <w:tc>
          <w:tcPr>
            <w:tcW w:w="376" w:type="pct"/>
            <w:vAlign w:val="bottom"/>
          </w:tcPr>
          <w:p w14:paraId="46802560" w14:textId="77777777" w:rsidR="00DA3C9E" w:rsidRPr="000D7729" w:rsidRDefault="00DA3C9E" w:rsidP="00B20A65">
            <w:pPr>
              <w:spacing w:before="60" w:after="60"/>
              <w:jc w:val="right"/>
              <w:rPr>
                <w:rFonts w:ascii="Times New Roman" w:hAnsi="Times New Roman"/>
                <w:color w:val="000000"/>
                <w:sz w:val="18"/>
                <w:szCs w:val="18"/>
              </w:rPr>
            </w:pPr>
            <w:r w:rsidRPr="000D7729">
              <w:rPr>
                <w:rFonts w:ascii="Times New Roman" w:hAnsi="Times New Roman"/>
                <w:color w:val="000000"/>
                <w:sz w:val="18"/>
                <w:szCs w:val="18"/>
              </w:rPr>
              <w:t>91,8</w:t>
            </w:r>
          </w:p>
        </w:tc>
        <w:tc>
          <w:tcPr>
            <w:tcW w:w="475" w:type="pct"/>
            <w:vAlign w:val="bottom"/>
          </w:tcPr>
          <w:p w14:paraId="3D26BF19" w14:textId="77777777" w:rsidR="00DA3C9E" w:rsidRPr="000D7729" w:rsidRDefault="00DA3C9E" w:rsidP="00B20A65">
            <w:pPr>
              <w:spacing w:before="60" w:after="60"/>
              <w:jc w:val="center"/>
              <w:rPr>
                <w:rFonts w:ascii="Times New Roman" w:hAnsi="Times New Roman"/>
                <w:color w:val="000000"/>
                <w:sz w:val="18"/>
                <w:szCs w:val="18"/>
              </w:rPr>
            </w:pPr>
            <w:r w:rsidRPr="000D7729">
              <w:rPr>
                <w:rFonts w:ascii="Times New Roman" w:hAnsi="Times New Roman"/>
                <w:color w:val="000000"/>
                <w:sz w:val="18"/>
                <w:szCs w:val="18"/>
              </w:rPr>
              <w:t>454800</w:t>
            </w:r>
          </w:p>
        </w:tc>
        <w:tc>
          <w:tcPr>
            <w:tcW w:w="475" w:type="pct"/>
            <w:vAlign w:val="bottom"/>
          </w:tcPr>
          <w:p w14:paraId="127DF927" w14:textId="77777777" w:rsidR="00DA3C9E" w:rsidRPr="000D7729" w:rsidRDefault="00DA3C9E" w:rsidP="00B20A65">
            <w:pPr>
              <w:spacing w:before="60" w:after="60"/>
              <w:jc w:val="center"/>
              <w:rPr>
                <w:rFonts w:ascii="Times New Roman" w:hAnsi="Times New Roman"/>
                <w:color w:val="000000"/>
                <w:sz w:val="18"/>
                <w:szCs w:val="18"/>
              </w:rPr>
            </w:pPr>
            <w:r w:rsidRPr="000D7729">
              <w:rPr>
                <w:rFonts w:ascii="Times New Roman" w:hAnsi="Times New Roman"/>
                <w:color w:val="000000"/>
                <w:sz w:val="18"/>
                <w:szCs w:val="18"/>
              </w:rPr>
              <w:t>417600</w:t>
            </w:r>
          </w:p>
        </w:tc>
      </w:tr>
      <w:tr w:rsidR="00DA3C9E" w:rsidRPr="00E27566" w14:paraId="0C0C4521" w14:textId="77777777" w:rsidTr="00EF6F89">
        <w:trPr>
          <w:trHeight w:val="113"/>
        </w:trPr>
        <w:tc>
          <w:tcPr>
            <w:tcW w:w="807" w:type="pct"/>
            <w:vAlign w:val="bottom"/>
          </w:tcPr>
          <w:p w14:paraId="7EA34736" w14:textId="77777777" w:rsidR="00DA3C9E" w:rsidRPr="00E27566" w:rsidRDefault="00DA3C9E" w:rsidP="00B20A65">
            <w:pPr>
              <w:tabs>
                <w:tab w:val="left" w:pos="1899"/>
              </w:tabs>
              <w:spacing w:before="60" w:after="60"/>
              <w:rPr>
                <w:rFonts w:ascii="Times New Roman" w:eastAsia="Arial Unicode MS" w:hAnsi="Times New Roman"/>
                <w:sz w:val="18"/>
                <w:szCs w:val="18"/>
              </w:rPr>
            </w:pPr>
            <w:r w:rsidRPr="00E27566">
              <w:rPr>
                <w:rFonts w:ascii="Times New Roman" w:hAnsi="Times New Roman"/>
                <w:sz w:val="18"/>
                <w:szCs w:val="18"/>
              </w:rPr>
              <w:t>Herav skoleverket</w:t>
            </w:r>
          </w:p>
        </w:tc>
        <w:tc>
          <w:tcPr>
            <w:tcW w:w="271" w:type="pct"/>
            <w:vAlign w:val="bottom"/>
          </w:tcPr>
          <w:p w14:paraId="58EFEFB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86,2</w:t>
            </w:r>
          </w:p>
        </w:tc>
        <w:tc>
          <w:tcPr>
            <w:tcW w:w="288" w:type="pct"/>
            <w:vAlign w:val="bottom"/>
          </w:tcPr>
          <w:p w14:paraId="07CBCDCC" w14:textId="77777777" w:rsidR="00DA3C9E" w:rsidRPr="00E27566" w:rsidRDefault="00DA3C9E" w:rsidP="00B20A65">
            <w:pPr>
              <w:spacing w:before="60" w:after="60"/>
              <w:jc w:val="right"/>
              <w:rPr>
                <w:rFonts w:ascii="Times New Roman" w:hAnsi="Times New Roman"/>
                <w:sz w:val="18"/>
                <w:szCs w:val="18"/>
                <w:vertAlign w:val="superscript"/>
              </w:rPr>
            </w:pPr>
            <w:r w:rsidRPr="00E27566">
              <w:rPr>
                <w:rFonts w:ascii="Times New Roman" w:hAnsi="Times New Roman"/>
                <w:sz w:val="18"/>
                <w:szCs w:val="18"/>
              </w:rPr>
              <w:t>86,3</w:t>
            </w:r>
            <w:r w:rsidRPr="00E27566">
              <w:rPr>
                <w:rFonts w:ascii="Times New Roman" w:hAnsi="Times New Roman"/>
                <w:sz w:val="18"/>
                <w:szCs w:val="18"/>
                <w:vertAlign w:val="superscript"/>
              </w:rPr>
              <w:t>3</w:t>
            </w:r>
          </w:p>
        </w:tc>
        <w:tc>
          <w:tcPr>
            <w:tcW w:w="288" w:type="pct"/>
            <w:vAlign w:val="bottom"/>
          </w:tcPr>
          <w:p w14:paraId="30A2B2D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91,6</w:t>
            </w:r>
          </w:p>
        </w:tc>
        <w:tc>
          <w:tcPr>
            <w:tcW w:w="288" w:type="pct"/>
            <w:tcBorders>
              <w:right w:val="single" w:sz="4" w:space="0" w:color="auto"/>
            </w:tcBorders>
            <w:vAlign w:val="bottom"/>
          </w:tcPr>
          <w:p w14:paraId="6CB3067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91,6</w:t>
            </w:r>
          </w:p>
        </w:tc>
        <w:tc>
          <w:tcPr>
            <w:tcW w:w="288" w:type="pct"/>
            <w:tcBorders>
              <w:left w:val="single" w:sz="4" w:space="0" w:color="auto"/>
            </w:tcBorders>
            <w:vAlign w:val="bottom"/>
          </w:tcPr>
          <w:p w14:paraId="2B0BFDD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91,7</w:t>
            </w:r>
          </w:p>
        </w:tc>
        <w:tc>
          <w:tcPr>
            <w:tcW w:w="289" w:type="pct"/>
            <w:vAlign w:val="bottom"/>
          </w:tcPr>
          <w:p w14:paraId="0614F4B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91,1</w:t>
            </w:r>
          </w:p>
        </w:tc>
        <w:tc>
          <w:tcPr>
            <w:tcW w:w="289" w:type="pct"/>
            <w:vAlign w:val="bottom"/>
          </w:tcPr>
          <w:p w14:paraId="6CFC2C3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90,4</w:t>
            </w:r>
          </w:p>
        </w:tc>
        <w:tc>
          <w:tcPr>
            <w:tcW w:w="289" w:type="pct"/>
            <w:vAlign w:val="bottom"/>
          </w:tcPr>
          <w:p w14:paraId="2139859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92,2</w:t>
            </w:r>
          </w:p>
        </w:tc>
        <w:tc>
          <w:tcPr>
            <w:tcW w:w="289" w:type="pct"/>
            <w:vAlign w:val="bottom"/>
          </w:tcPr>
          <w:p w14:paraId="36C5ACB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91,3</w:t>
            </w:r>
          </w:p>
        </w:tc>
        <w:tc>
          <w:tcPr>
            <w:tcW w:w="289" w:type="pct"/>
            <w:vAlign w:val="bottom"/>
          </w:tcPr>
          <w:p w14:paraId="587FECA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92,1</w:t>
            </w:r>
          </w:p>
        </w:tc>
        <w:tc>
          <w:tcPr>
            <w:tcW w:w="376" w:type="pct"/>
            <w:vAlign w:val="bottom"/>
          </w:tcPr>
          <w:p w14:paraId="3EA6AC64"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91,5</w:t>
            </w:r>
          </w:p>
        </w:tc>
        <w:tc>
          <w:tcPr>
            <w:tcW w:w="475" w:type="pct"/>
            <w:vAlign w:val="bottom"/>
          </w:tcPr>
          <w:p w14:paraId="1B305D7C"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493 200</w:t>
            </w:r>
          </w:p>
        </w:tc>
        <w:tc>
          <w:tcPr>
            <w:tcW w:w="475" w:type="pct"/>
            <w:vAlign w:val="bottom"/>
          </w:tcPr>
          <w:p w14:paraId="297F19C4"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451 200</w:t>
            </w:r>
          </w:p>
        </w:tc>
      </w:tr>
      <w:tr w:rsidR="00DA3C9E" w:rsidRPr="00E27566" w14:paraId="095DD518" w14:textId="77777777" w:rsidTr="00EF6F89">
        <w:trPr>
          <w:trHeight w:val="113"/>
        </w:trPr>
        <w:tc>
          <w:tcPr>
            <w:tcW w:w="807" w:type="pct"/>
            <w:vAlign w:val="bottom"/>
          </w:tcPr>
          <w:p w14:paraId="4DC4BD0F" w14:textId="77777777" w:rsidR="00DA3C9E" w:rsidRPr="00E27566" w:rsidRDefault="00DA3C9E" w:rsidP="00B20A65">
            <w:pPr>
              <w:tabs>
                <w:tab w:val="left" w:pos="1899"/>
              </w:tabs>
              <w:spacing w:before="60" w:after="60"/>
              <w:rPr>
                <w:rFonts w:ascii="Times New Roman" w:hAnsi="Times New Roman"/>
                <w:sz w:val="18"/>
                <w:szCs w:val="18"/>
              </w:rPr>
            </w:pPr>
            <w:r w:rsidRPr="00E27566">
              <w:rPr>
                <w:rFonts w:ascii="Times New Roman" w:hAnsi="Times New Roman"/>
                <w:sz w:val="18"/>
                <w:szCs w:val="18"/>
              </w:rPr>
              <w:t>Helseforetak</w:t>
            </w:r>
          </w:p>
        </w:tc>
        <w:tc>
          <w:tcPr>
            <w:tcW w:w="271" w:type="pct"/>
            <w:vAlign w:val="bottom"/>
          </w:tcPr>
          <w:p w14:paraId="0F95B98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87,7</w:t>
            </w:r>
          </w:p>
        </w:tc>
        <w:tc>
          <w:tcPr>
            <w:tcW w:w="288" w:type="pct"/>
            <w:vAlign w:val="bottom"/>
          </w:tcPr>
          <w:p w14:paraId="7DFB11A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87,1</w:t>
            </w:r>
          </w:p>
        </w:tc>
        <w:tc>
          <w:tcPr>
            <w:tcW w:w="288" w:type="pct"/>
            <w:vAlign w:val="bottom"/>
          </w:tcPr>
          <w:p w14:paraId="23E255C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85,7 </w:t>
            </w:r>
          </w:p>
        </w:tc>
        <w:tc>
          <w:tcPr>
            <w:tcW w:w="288" w:type="pct"/>
            <w:tcBorders>
              <w:right w:val="single" w:sz="4" w:space="0" w:color="auto"/>
            </w:tcBorders>
            <w:vAlign w:val="bottom"/>
          </w:tcPr>
          <w:p w14:paraId="3D012F5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85,2</w:t>
            </w:r>
          </w:p>
        </w:tc>
        <w:tc>
          <w:tcPr>
            <w:tcW w:w="288" w:type="pct"/>
            <w:tcBorders>
              <w:left w:val="single" w:sz="4" w:space="0" w:color="auto"/>
            </w:tcBorders>
            <w:vAlign w:val="bottom"/>
          </w:tcPr>
          <w:p w14:paraId="718144F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85,1</w:t>
            </w:r>
          </w:p>
        </w:tc>
        <w:tc>
          <w:tcPr>
            <w:tcW w:w="289" w:type="pct"/>
            <w:vAlign w:val="bottom"/>
          </w:tcPr>
          <w:p w14:paraId="073E977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86,9</w:t>
            </w:r>
          </w:p>
        </w:tc>
        <w:tc>
          <w:tcPr>
            <w:tcW w:w="289" w:type="pct"/>
            <w:vAlign w:val="bottom"/>
          </w:tcPr>
          <w:p w14:paraId="07454F7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86,1</w:t>
            </w:r>
          </w:p>
        </w:tc>
        <w:tc>
          <w:tcPr>
            <w:tcW w:w="289" w:type="pct"/>
            <w:vAlign w:val="bottom"/>
          </w:tcPr>
          <w:p w14:paraId="0906CB5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87,6</w:t>
            </w:r>
          </w:p>
        </w:tc>
        <w:tc>
          <w:tcPr>
            <w:tcW w:w="289" w:type="pct"/>
            <w:vAlign w:val="bottom"/>
          </w:tcPr>
          <w:p w14:paraId="64B3C88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86,7</w:t>
            </w:r>
          </w:p>
        </w:tc>
        <w:tc>
          <w:tcPr>
            <w:tcW w:w="289" w:type="pct"/>
            <w:vAlign w:val="bottom"/>
          </w:tcPr>
          <w:p w14:paraId="601FFF6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88,0</w:t>
            </w:r>
          </w:p>
        </w:tc>
        <w:tc>
          <w:tcPr>
            <w:tcW w:w="376" w:type="pct"/>
            <w:vAlign w:val="bottom"/>
          </w:tcPr>
          <w:p w14:paraId="469562D7"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85,9</w:t>
            </w:r>
          </w:p>
        </w:tc>
        <w:tc>
          <w:tcPr>
            <w:tcW w:w="475" w:type="pct"/>
            <w:vAlign w:val="bottom"/>
          </w:tcPr>
          <w:p w14:paraId="6BFD9ED4"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466 800</w:t>
            </w:r>
          </w:p>
        </w:tc>
        <w:tc>
          <w:tcPr>
            <w:tcW w:w="475" w:type="pct"/>
            <w:vAlign w:val="bottom"/>
          </w:tcPr>
          <w:p w14:paraId="7BC32B37"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400 800</w:t>
            </w:r>
          </w:p>
        </w:tc>
      </w:tr>
      <w:tr w:rsidR="00DA3C9E" w:rsidRPr="00E27566" w14:paraId="52149F7A" w14:textId="77777777" w:rsidTr="00EF6F89">
        <w:trPr>
          <w:trHeight w:val="799"/>
        </w:trPr>
        <w:tc>
          <w:tcPr>
            <w:tcW w:w="807" w:type="pct"/>
            <w:vAlign w:val="bottom"/>
          </w:tcPr>
          <w:p w14:paraId="6FC4B3C9" w14:textId="77777777" w:rsidR="00DA3C9E" w:rsidRPr="00E27566" w:rsidRDefault="00DA3C9E" w:rsidP="00B20A65">
            <w:pPr>
              <w:spacing w:before="60" w:after="60"/>
              <w:rPr>
                <w:rFonts w:ascii="Times New Roman" w:eastAsia="Arial Unicode MS" w:hAnsi="Times New Roman"/>
                <w:bCs/>
                <w:i/>
                <w:sz w:val="18"/>
                <w:szCs w:val="18"/>
              </w:rPr>
            </w:pPr>
            <w:r w:rsidRPr="00E27566">
              <w:rPr>
                <w:rFonts w:ascii="Times New Roman" w:hAnsi="Times New Roman"/>
                <w:bCs/>
                <w:i/>
                <w:sz w:val="18"/>
                <w:szCs w:val="18"/>
              </w:rPr>
              <w:t>Universitets- eller høgskoleutdanning, til og med 4 år</w:t>
            </w:r>
          </w:p>
        </w:tc>
        <w:tc>
          <w:tcPr>
            <w:tcW w:w="271" w:type="pct"/>
            <w:vAlign w:val="bottom"/>
          </w:tcPr>
          <w:p w14:paraId="68321D74"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80,7</w:t>
            </w:r>
          </w:p>
        </w:tc>
        <w:tc>
          <w:tcPr>
            <w:tcW w:w="288" w:type="pct"/>
            <w:vAlign w:val="bottom"/>
          </w:tcPr>
          <w:p w14:paraId="65A0D9A8"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79,9</w:t>
            </w:r>
          </w:p>
        </w:tc>
        <w:tc>
          <w:tcPr>
            <w:tcW w:w="288" w:type="pct"/>
            <w:vAlign w:val="bottom"/>
          </w:tcPr>
          <w:p w14:paraId="66CAFF29"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79,5</w:t>
            </w:r>
          </w:p>
        </w:tc>
        <w:tc>
          <w:tcPr>
            <w:tcW w:w="288" w:type="pct"/>
            <w:tcBorders>
              <w:right w:val="single" w:sz="4" w:space="0" w:color="auto"/>
            </w:tcBorders>
            <w:vAlign w:val="bottom"/>
          </w:tcPr>
          <w:p w14:paraId="14ABAEC6"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79,1</w:t>
            </w:r>
          </w:p>
        </w:tc>
        <w:tc>
          <w:tcPr>
            <w:tcW w:w="288" w:type="pct"/>
            <w:tcBorders>
              <w:left w:val="single" w:sz="4" w:space="0" w:color="auto"/>
            </w:tcBorders>
            <w:vAlign w:val="bottom"/>
          </w:tcPr>
          <w:p w14:paraId="195CA478" w14:textId="77777777" w:rsidR="00DA3C9E" w:rsidRPr="00E27566" w:rsidRDefault="00DA3C9E" w:rsidP="00B20A65">
            <w:pPr>
              <w:spacing w:before="60" w:after="60"/>
              <w:jc w:val="right"/>
              <w:rPr>
                <w:rFonts w:ascii="Times New Roman" w:eastAsia="Arial Unicode MS" w:hAnsi="Times New Roman"/>
                <w:b/>
                <w:sz w:val="18"/>
                <w:szCs w:val="18"/>
              </w:rPr>
            </w:pPr>
            <w:r w:rsidRPr="00E27566">
              <w:rPr>
                <w:rFonts w:ascii="Times New Roman" w:hAnsi="Times New Roman"/>
                <w:color w:val="000000"/>
                <w:sz w:val="18"/>
                <w:szCs w:val="18"/>
              </w:rPr>
              <w:t>78,7</w:t>
            </w:r>
          </w:p>
        </w:tc>
        <w:tc>
          <w:tcPr>
            <w:tcW w:w="289" w:type="pct"/>
            <w:vAlign w:val="bottom"/>
          </w:tcPr>
          <w:p w14:paraId="121E4E76" w14:textId="77777777" w:rsidR="00DA3C9E" w:rsidRPr="00E27566" w:rsidRDefault="00DA3C9E" w:rsidP="00B20A65">
            <w:pPr>
              <w:spacing w:before="60" w:after="60"/>
              <w:jc w:val="right"/>
              <w:rPr>
                <w:rFonts w:ascii="Times New Roman" w:eastAsia="Arial Unicode MS" w:hAnsi="Times New Roman"/>
                <w:b/>
                <w:sz w:val="18"/>
                <w:szCs w:val="18"/>
              </w:rPr>
            </w:pPr>
            <w:r w:rsidRPr="00E27566">
              <w:rPr>
                <w:rFonts w:ascii="Times New Roman" w:hAnsi="Times New Roman"/>
                <w:color w:val="000000"/>
                <w:sz w:val="18"/>
                <w:szCs w:val="18"/>
              </w:rPr>
              <w:t>79,5</w:t>
            </w:r>
          </w:p>
        </w:tc>
        <w:tc>
          <w:tcPr>
            <w:tcW w:w="289" w:type="pct"/>
            <w:vAlign w:val="bottom"/>
          </w:tcPr>
          <w:p w14:paraId="2FB4C78E"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79,8</w:t>
            </w:r>
          </w:p>
        </w:tc>
        <w:tc>
          <w:tcPr>
            <w:tcW w:w="289" w:type="pct"/>
            <w:vAlign w:val="bottom"/>
          </w:tcPr>
          <w:p w14:paraId="45585F63"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79,6</w:t>
            </w:r>
          </w:p>
        </w:tc>
        <w:tc>
          <w:tcPr>
            <w:tcW w:w="289" w:type="pct"/>
            <w:vAlign w:val="bottom"/>
          </w:tcPr>
          <w:p w14:paraId="6A5039C5"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80,5</w:t>
            </w:r>
          </w:p>
        </w:tc>
        <w:tc>
          <w:tcPr>
            <w:tcW w:w="289" w:type="pct"/>
            <w:vAlign w:val="bottom"/>
          </w:tcPr>
          <w:p w14:paraId="22C52E7C"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80,0</w:t>
            </w:r>
          </w:p>
        </w:tc>
        <w:tc>
          <w:tcPr>
            <w:tcW w:w="376" w:type="pct"/>
            <w:vAlign w:val="bottom"/>
          </w:tcPr>
          <w:p w14:paraId="0194FE7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80,4</w:t>
            </w:r>
          </w:p>
        </w:tc>
        <w:tc>
          <w:tcPr>
            <w:tcW w:w="475" w:type="pct"/>
            <w:vAlign w:val="bottom"/>
          </w:tcPr>
          <w:p w14:paraId="4BF24C7B" w14:textId="77777777" w:rsidR="00DA3C9E" w:rsidRPr="00E27566" w:rsidRDefault="00DA3C9E" w:rsidP="00B20A65">
            <w:pPr>
              <w:spacing w:before="60" w:after="60"/>
              <w:jc w:val="center"/>
              <w:rPr>
                <w:rFonts w:ascii="Times New Roman" w:hAnsi="Times New Roman"/>
                <w:sz w:val="18"/>
                <w:szCs w:val="18"/>
              </w:rPr>
            </w:pPr>
            <w:r w:rsidRPr="00E27566">
              <w:rPr>
                <w:rFonts w:ascii="Times New Roman" w:hAnsi="Times New Roman"/>
                <w:sz w:val="18"/>
                <w:szCs w:val="18"/>
              </w:rPr>
              <w:t>642 000</w:t>
            </w:r>
          </w:p>
        </w:tc>
        <w:tc>
          <w:tcPr>
            <w:tcW w:w="475" w:type="pct"/>
            <w:vAlign w:val="bottom"/>
          </w:tcPr>
          <w:p w14:paraId="296CE832" w14:textId="77777777" w:rsidR="00DA3C9E" w:rsidRPr="00E27566" w:rsidRDefault="00DA3C9E" w:rsidP="00B20A65">
            <w:pPr>
              <w:spacing w:before="60" w:after="60"/>
              <w:jc w:val="center"/>
              <w:rPr>
                <w:rFonts w:ascii="Times New Roman" w:hAnsi="Times New Roman"/>
                <w:sz w:val="18"/>
                <w:szCs w:val="18"/>
              </w:rPr>
            </w:pPr>
            <w:r w:rsidRPr="00E27566">
              <w:rPr>
                <w:rFonts w:ascii="Times New Roman" w:hAnsi="Times New Roman"/>
                <w:sz w:val="18"/>
                <w:szCs w:val="18"/>
              </w:rPr>
              <w:t>516 000</w:t>
            </w:r>
          </w:p>
        </w:tc>
      </w:tr>
      <w:tr w:rsidR="00DA3C9E" w:rsidRPr="00E27566" w14:paraId="34C0BE75" w14:textId="77777777" w:rsidTr="00EF6F89">
        <w:trPr>
          <w:trHeight w:val="113"/>
        </w:trPr>
        <w:tc>
          <w:tcPr>
            <w:tcW w:w="807" w:type="pct"/>
            <w:vAlign w:val="bottom"/>
          </w:tcPr>
          <w:p w14:paraId="7C36F8F0"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Industri i alt</w:t>
            </w:r>
          </w:p>
        </w:tc>
        <w:tc>
          <w:tcPr>
            <w:tcW w:w="271" w:type="pct"/>
            <w:vAlign w:val="bottom"/>
          </w:tcPr>
          <w:p w14:paraId="63F9056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82,7</w:t>
            </w:r>
          </w:p>
        </w:tc>
        <w:tc>
          <w:tcPr>
            <w:tcW w:w="288" w:type="pct"/>
            <w:vAlign w:val="bottom"/>
          </w:tcPr>
          <w:p w14:paraId="6351F25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82,0</w:t>
            </w:r>
          </w:p>
        </w:tc>
        <w:tc>
          <w:tcPr>
            <w:tcW w:w="288" w:type="pct"/>
            <w:vAlign w:val="bottom"/>
          </w:tcPr>
          <w:p w14:paraId="59CB32A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81,9</w:t>
            </w:r>
          </w:p>
        </w:tc>
        <w:tc>
          <w:tcPr>
            <w:tcW w:w="288" w:type="pct"/>
            <w:tcBorders>
              <w:right w:val="single" w:sz="4" w:space="0" w:color="auto"/>
            </w:tcBorders>
            <w:vAlign w:val="bottom"/>
          </w:tcPr>
          <w:p w14:paraId="6363D15D"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83,4</w:t>
            </w:r>
          </w:p>
        </w:tc>
        <w:tc>
          <w:tcPr>
            <w:tcW w:w="288" w:type="pct"/>
            <w:tcBorders>
              <w:left w:val="single" w:sz="4" w:space="0" w:color="auto"/>
            </w:tcBorders>
            <w:vAlign w:val="bottom"/>
          </w:tcPr>
          <w:p w14:paraId="0763D7A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83,1</w:t>
            </w:r>
          </w:p>
        </w:tc>
        <w:tc>
          <w:tcPr>
            <w:tcW w:w="289" w:type="pct"/>
            <w:vAlign w:val="bottom"/>
          </w:tcPr>
          <w:p w14:paraId="1C5590C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82,4</w:t>
            </w:r>
          </w:p>
        </w:tc>
        <w:tc>
          <w:tcPr>
            <w:tcW w:w="289" w:type="pct"/>
            <w:vAlign w:val="bottom"/>
          </w:tcPr>
          <w:p w14:paraId="199F7A4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83,2</w:t>
            </w:r>
          </w:p>
        </w:tc>
        <w:tc>
          <w:tcPr>
            <w:tcW w:w="289" w:type="pct"/>
            <w:vAlign w:val="bottom"/>
          </w:tcPr>
          <w:p w14:paraId="1622F62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82,4</w:t>
            </w:r>
          </w:p>
        </w:tc>
        <w:tc>
          <w:tcPr>
            <w:tcW w:w="289" w:type="pct"/>
            <w:vAlign w:val="bottom"/>
          </w:tcPr>
          <w:p w14:paraId="5649C90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83,2</w:t>
            </w:r>
          </w:p>
        </w:tc>
        <w:tc>
          <w:tcPr>
            <w:tcW w:w="289" w:type="pct"/>
            <w:vAlign w:val="bottom"/>
          </w:tcPr>
          <w:p w14:paraId="67B2C8DE"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84,2</w:t>
            </w:r>
          </w:p>
        </w:tc>
        <w:tc>
          <w:tcPr>
            <w:tcW w:w="376" w:type="pct"/>
            <w:vAlign w:val="bottom"/>
          </w:tcPr>
          <w:p w14:paraId="50D0E1FC"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82,5</w:t>
            </w:r>
          </w:p>
        </w:tc>
        <w:tc>
          <w:tcPr>
            <w:tcW w:w="475" w:type="pct"/>
            <w:vAlign w:val="bottom"/>
          </w:tcPr>
          <w:p w14:paraId="787A6B9E"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673 200</w:t>
            </w:r>
          </w:p>
        </w:tc>
        <w:tc>
          <w:tcPr>
            <w:tcW w:w="475" w:type="pct"/>
            <w:vAlign w:val="bottom"/>
          </w:tcPr>
          <w:p w14:paraId="0B7F7BE5"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555 600</w:t>
            </w:r>
          </w:p>
        </w:tc>
      </w:tr>
      <w:tr w:rsidR="00DA3C9E" w:rsidRPr="00E27566" w14:paraId="289B10D0" w14:textId="77777777" w:rsidTr="00EF6F89">
        <w:trPr>
          <w:trHeight w:val="113"/>
        </w:trPr>
        <w:tc>
          <w:tcPr>
            <w:tcW w:w="807" w:type="pct"/>
            <w:vAlign w:val="bottom"/>
          </w:tcPr>
          <w:p w14:paraId="6157662B"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Bygge- og anleggsvirksomhet i alt</w:t>
            </w:r>
          </w:p>
        </w:tc>
        <w:tc>
          <w:tcPr>
            <w:tcW w:w="271" w:type="pct"/>
            <w:vAlign w:val="bottom"/>
          </w:tcPr>
          <w:p w14:paraId="70F76D6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83,2</w:t>
            </w:r>
          </w:p>
        </w:tc>
        <w:tc>
          <w:tcPr>
            <w:tcW w:w="288" w:type="pct"/>
            <w:vAlign w:val="bottom"/>
          </w:tcPr>
          <w:p w14:paraId="5F2C732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83,8</w:t>
            </w:r>
          </w:p>
        </w:tc>
        <w:tc>
          <w:tcPr>
            <w:tcW w:w="288" w:type="pct"/>
            <w:vAlign w:val="bottom"/>
          </w:tcPr>
          <w:p w14:paraId="4749EF7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86,2</w:t>
            </w:r>
          </w:p>
        </w:tc>
        <w:tc>
          <w:tcPr>
            <w:tcW w:w="288" w:type="pct"/>
            <w:tcBorders>
              <w:right w:val="single" w:sz="4" w:space="0" w:color="auto"/>
            </w:tcBorders>
            <w:vAlign w:val="bottom"/>
          </w:tcPr>
          <w:p w14:paraId="7A7380D6"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84,5</w:t>
            </w:r>
          </w:p>
        </w:tc>
        <w:tc>
          <w:tcPr>
            <w:tcW w:w="288" w:type="pct"/>
            <w:tcBorders>
              <w:left w:val="single" w:sz="4" w:space="0" w:color="auto"/>
            </w:tcBorders>
            <w:vAlign w:val="bottom"/>
          </w:tcPr>
          <w:p w14:paraId="3C229A3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81,8</w:t>
            </w:r>
          </w:p>
        </w:tc>
        <w:tc>
          <w:tcPr>
            <w:tcW w:w="289" w:type="pct"/>
            <w:vAlign w:val="bottom"/>
          </w:tcPr>
          <w:p w14:paraId="1681F47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82,3</w:t>
            </w:r>
          </w:p>
        </w:tc>
        <w:tc>
          <w:tcPr>
            <w:tcW w:w="289" w:type="pct"/>
            <w:vAlign w:val="bottom"/>
          </w:tcPr>
          <w:p w14:paraId="128B2DB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84,5</w:t>
            </w:r>
          </w:p>
        </w:tc>
        <w:tc>
          <w:tcPr>
            <w:tcW w:w="289" w:type="pct"/>
            <w:vAlign w:val="bottom"/>
          </w:tcPr>
          <w:p w14:paraId="0066058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82,8</w:t>
            </w:r>
          </w:p>
        </w:tc>
        <w:tc>
          <w:tcPr>
            <w:tcW w:w="289" w:type="pct"/>
            <w:vAlign w:val="bottom"/>
          </w:tcPr>
          <w:p w14:paraId="64EEAE0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86,5 </w:t>
            </w:r>
          </w:p>
        </w:tc>
        <w:tc>
          <w:tcPr>
            <w:tcW w:w="289" w:type="pct"/>
            <w:vAlign w:val="bottom"/>
          </w:tcPr>
          <w:p w14:paraId="33986120"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87,5</w:t>
            </w:r>
          </w:p>
        </w:tc>
        <w:tc>
          <w:tcPr>
            <w:tcW w:w="376" w:type="pct"/>
            <w:vAlign w:val="bottom"/>
          </w:tcPr>
          <w:p w14:paraId="77D2CB29"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86,4</w:t>
            </w:r>
          </w:p>
        </w:tc>
        <w:tc>
          <w:tcPr>
            <w:tcW w:w="475" w:type="pct"/>
            <w:vAlign w:val="bottom"/>
          </w:tcPr>
          <w:p w14:paraId="6CC8C91F"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651 600</w:t>
            </w:r>
          </w:p>
        </w:tc>
        <w:tc>
          <w:tcPr>
            <w:tcW w:w="475" w:type="pct"/>
            <w:vAlign w:val="bottom"/>
          </w:tcPr>
          <w:p w14:paraId="6DD89362"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562 800</w:t>
            </w:r>
          </w:p>
        </w:tc>
      </w:tr>
      <w:tr w:rsidR="00DA3C9E" w:rsidRPr="00E27566" w14:paraId="11D3E664" w14:textId="77777777" w:rsidTr="00EF6F89">
        <w:trPr>
          <w:trHeight w:val="113"/>
        </w:trPr>
        <w:tc>
          <w:tcPr>
            <w:tcW w:w="807" w:type="pct"/>
            <w:vAlign w:val="bottom"/>
          </w:tcPr>
          <w:p w14:paraId="5FE0B8ED"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Varehandel i alt</w:t>
            </w:r>
          </w:p>
        </w:tc>
        <w:tc>
          <w:tcPr>
            <w:tcW w:w="271" w:type="pct"/>
            <w:vAlign w:val="bottom"/>
          </w:tcPr>
          <w:p w14:paraId="4B23533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79,8</w:t>
            </w:r>
          </w:p>
        </w:tc>
        <w:tc>
          <w:tcPr>
            <w:tcW w:w="288" w:type="pct"/>
            <w:vAlign w:val="bottom"/>
          </w:tcPr>
          <w:p w14:paraId="253CF74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79,9</w:t>
            </w:r>
          </w:p>
        </w:tc>
        <w:tc>
          <w:tcPr>
            <w:tcW w:w="288" w:type="pct"/>
            <w:vAlign w:val="bottom"/>
          </w:tcPr>
          <w:p w14:paraId="2EE7D19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77,0</w:t>
            </w:r>
          </w:p>
        </w:tc>
        <w:tc>
          <w:tcPr>
            <w:tcW w:w="288" w:type="pct"/>
            <w:tcBorders>
              <w:right w:val="single" w:sz="4" w:space="0" w:color="auto"/>
            </w:tcBorders>
            <w:vAlign w:val="bottom"/>
          </w:tcPr>
          <w:p w14:paraId="0E5F4893"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78,4</w:t>
            </w:r>
          </w:p>
        </w:tc>
        <w:tc>
          <w:tcPr>
            <w:tcW w:w="288" w:type="pct"/>
            <w:tcBorders>
              <w:left w:val="single" w:sz="4" w:space="0" w:color="auto"/>
            </w:tcBorders>
            <w:vAlign w:val="bottom"/>
          </w:tcPr>
          <w:p w14:paraId="786FD8E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77,3</w:t>
            </w:r>
          </w:p>
        </w:tc>
        <w:tc>
          <w:tcPr>
            <w:tcW w:w="289" w:type="pct"/>
            <w:vAlign w:val="bottom"/>
          </w:tcPr>
          <w:p w14:paraId="75E1549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79,5</w:t>
            </w:r>
          </w:p>
        </w:tc>
        <w:tc>
          <w:tcPr>
            <w:tcW w:w="289" w:type="pct"/>
            <w:vAlign w:val="bottom"/>
          </w:tcPr>
          <w:p w14:paraId="6077C92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78,0</w:t>
            </w:r>
          </w:p>
        </w:tc>
        <w:tc>
          <w:tcPr>
            <w:tcW w:w="289" w:type="pct"/>
            <w:vAlign w:val="bottom"/>
          </w:tcPr>
          <w:p w14:paraId="6E6CA6F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80,5</w:t>
            </w:r>
          </w:p>
        </w:tc>
        <w:tc>
          <w:tcPr>
            <w:tcW w:w="289" w:type="pct"/>
            <w:vAlign w:val="bottom"/>
          </w:tcPr>
          <w:p w14:paraId="594E751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77,9 </w:t>
            </w:r>
          </w:p>
        </w:tc>
        <w:tc>
          <w:tcPr>
            <w:tcW w:w="289" w:type="pct"/>
            <w:vAlign w:val="bottom"/>
          </w:tcPr>
          <w:p w14:paraId="31EE32D8"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77,3</w:t>
            </w:r>
          </w:p>
        </w:tc>
        <w:tc>
          <w:tcPr>
            <w:tcW w:w="376" w:type="pct"/>
            <w:vAlign w:val="bottom"/>
          </w:tcPr>
          <w:p w14:paraId="1A215340"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79,5</w:t>
            </w:r>
          </w:p>
        </w:tc>
        <w:tc>
          <w:tcPr>
            <w:tcW w:w="475" w:type="pct"/>
            <w:vAlign w:val="bottom"/>
          </w:tcPr>
          <w:p w14:paraId="0B837C5E"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638 400</w:t>
            </w:r>
          </w:p>
        </w:tc>
        <w:tc>
          <w:tcPr>
            <w:tcW w:w="475" w:type="pct"/>
            <w:vAlign w:val="bottom"/>
          </w:tcPr>
          <w:p w14:paraId="4E46EBE1"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507 600</w:t>
            </w:r>
          </w:p>
        </w:tc>
      </w:tr>
      <w:tr w:rsidR="00DA3C9E" w:rsidRPr="00E27566" w14:paraId="03B29AA5" w14:textId="77777777" w:rsidTr="00EF6F89">
        <w:trPr>
          <w:trHeight w:val="113"/>
        </w:trPr>
        <w:tc>
          <w:tcPr>
            <w:tcW w:w="807" w:type="pct"/>
            <w:vAlign w:val="bottom"/>
          </w:tcPr>
          <w:p w14:paraId="093A4108"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Finanstjenester i alt</w:t>
            </w:r>
          </w:p>
        </w:tc>
        <w:tc>
          <w:tcPr>
            <w:tcW w:w="271" w:type="pct"/>
            <w:vAlign w:val="bottom"/>
          </w:tcPr>
          <w:p w14:paraId="1ADD73F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73,7</w:t>
            </w:r>
          </w:p>
        </w:tc>
        <w:tc>
          <w:tcPr>
            <w:tcW w:w="288" w:type="pct"/>
            <w:vAlign w:val="bottom"/>
          </w:tcPr>
          <w:p w14:paraId="3CB5F2E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71,0</w:t>
            </w:r>
          </w:p>
        </w:tc>
        <w:tc>
          <w:tcPr>
            <w:tcW w:w="288" w:type="pct"/>
            <w:vAlign w:val="bottom"/>
          </w:tcPr>
          <w:p w14:paraId="2B34D95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69,5</w:t>
            </w:r>
          </w:p>
        </w:tc>
        <w:tc>
          <w:tcPr>
            <w:tcW w:w="288" w:type="pct"/>
            <w:tcBorders>
              <w:right w:val="single" w:sz="4" w:space="0" w:color="auto"/>
            </w:tcBorders>
            <w:vAlign w:val="bottom"/>
          </w:tcPr>
          <w:p w14:paraId="2582D2BF"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66,5</w:t>
            </w:r>
          </w:p>
        </w:tc>
        <w:tc>
          <w:tcPr>
            <w:tcW w:w="288" w:type="pct"/>
            <w:tcBorders>
              <w:left w:val="single" w:sz="4" w:space="0" w:color="auto"/>
            </w:tcBorders>
            <w:vAlign w:val="bottom"/>
          </w:tcPr>
          <w:p w14:paraId="26DBB1B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65,3</w:t>
            </w:r>
          </w:p>
        </w:tc>
        <w:tc>
          <w:tcPr>
            <w:tcW w:w="289" w:type="pct"/>
            <w:vAlign w:val="bottom"/>
          </w:tcPr>
          <w:p w14:paraId="553CB80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69,8</w:t>
            </w:r>
          </w:p>
        </w:tc>
        <w:tc>
          <w:tcPr>
            <w:tcW w:w="289" w:type="pct"/>
            <w:vAlign w:val="bottom"/>
          </w:tcPr>
          <w:p w14:paraId="156BDD0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70,0</w:t>
            </w:r>
          </w:p>
        </w:tc>
        <w:tc>
          <w:tcPr>
            <w:tcW w:w="289" w:type="pct"/>
            <w:vAlign w:val="bottom"/>
          </w:tcPr>
          <w:p w14:paraId="660A0C4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67,7</w:t>
            </w:r>
          </w:p>
        </w:tc>
        <w:tc>
          <w:tcPr>
            <w:tcW w:w="289" w:type="pct"/>
            <w:vAlign w:val="bottom"/>
          </w:tcPr>
          <w:p w14:paraId="2A862AB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70,2 </w:t>
            </w:r>
          </w:p>
        </w:tc>
        <w:tc>
          <w:tcPr>
            <w:tcW w:w="289" w:type="pct"/>
            <w:vAlign w:val="bottom"/>
          </w:tcPr>
          <w:p w14:paraId="78212197"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71,2</w:t>
            </w:r>
          </w:p>
        </w:tc>
        <w:tc>
          <w:tcPr>
            <w:tcW w:w="376" w:type="pct"/>
            <w:vAlign w:val="bottom"/>
          </w:tcPr>
          <w:p w14:paraId="2A1294C5"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70,3</w:t>
            </w:r>
          </w:p>
        </w:tc>
        <w:tc>
          <w:tcPr>
            <w:tcW w:w="475" w:type="pct"/>
            <w:vAlign w:val="bottom"/>
          </w:tcPr>
          <w:p w14:paraId="25E2073C"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879 600</w:t>
            </w:r>
          </w:p>
        </w:tc>
        <w:tc>
          <w:tcPr>
            <w:tcW w:w="475" w:type="pct"/>
            <w:vAlign w:val="bottom"/>
          </w:tcPr>
          <w:p w14:paraId="6B3C4F14"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618 000</w:t>
            </w:r>
          </w:p>
        </w:tc>
      </w:tr>
      <w:tr w:rsidR="00DA3C9E" w:rsidRPr="00E27566" w14:paraId="6FCE70DA" w14:textId="77777777" w:rsidTr="00EF6F89">
        <w:trPr>
          <w:trHeight w:val="113"/>
        </w:trPr>
        <w:tc>
          <w:tcPr>
            <w:tcW w:w="807" w:type="pct"/>
            <w:vAlign w:val="bottom"/>
          </w:tcPr>
          <w:p w14:paraId="75E36077"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Staten i alt</w:t>
            </w:r>
          </w:p>
        </w:tc>
        <w:tc>
          <w:tcPr>
            <w:tcW w:w="271" w:type="pct"/>
            <w:vAlign w:val="bottom"/>
          </w:tcPr>
          <w:p w14:paraId="2EF89BB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94,8</w:t>
            </w:r>
          </w:p>
        </w:tc>
        <w:tc>
          <w:tcPr>
            <w:tcW w:w="288" w:type="pct"/>
            <w:vAlign w:val="bottom"/>
          </w:tcPr>
          <w:p w14:paraId="127B415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94,1</w:t>
            </w:r>
          </w:p>
        </w:tc>
        <w:tc>
          <w:tcPr>
            <w:tcW w:w="288" w:type="pct"/>
            <w:vAlign w:val="bottom"/>
          </w:tcPr>
          <w:p w14:paraId="1D87138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94,0</w:t>
            </w:r>
          </w:p>
        </w:tc>
        <w:tc>
          <w:tcPr>
            <w:tcW w:w="288" w:type="pct"/>
            <w:tcBorders>
              <w:right w:val="single" w:sz="4" w:space="0" w:color="auto"/>
            </w:tcBorders>
            <w:vAlign w:val="bottom"/>
          </w:tcPr>
          <w:p w14:paraId="62050938"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93,8</w:t>
            </w:r>
          </w:p>
        </w:tc>
        <w:tc>
          <w:tcPr>
            <w:tcW w:w="288" w:type="pct"/>
            <w:tcBorders>
              <w:left w:val="single" w:sz="4" w:space="0" w:color="auto"/>
            </w:tcBorders>
            <w:vAlign w:val="bottom"/>
          </w:tcPr>
          <w:p w14:paraId="763F87C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93,9</w:t>
            </w:r>
          </w:p>
        </w:tc>
        <w:tc>
          <w:tcPr>
            <w:tcW w:w="289" w:type="pct"/>
            <w:vAlign w:val="bottom"/>
          </w:tcPr>
          <w:p w14:paraId="7E47CBD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92,6</w:t>
            </w:r>
          </w:p>
        </w:tc>
        <w:tc>
          <w:tcPr>
            <w:tcW w:w="289" w:type="pct"/>
            <w:vAlign w:val="bottom"/>
          </w:tcPr>
          <w:p w14:paraId="23647B2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92,3</w:t>
            </w:r>
          </w:p>
        </w:tc>
        <w:tc>
          <w:tcPr>
            <w:tcW w:w="289" w:type="pct"/>
            <w:vAlign w:val="bottom"/>
          </w:tcPr>
          <w:p w14:paraId="60D67FD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92,3</w:t>
            </w:r>
          </w:p>
        </w:tc>
        <w:tc>
          <w:tcPr>
            <w:tcW w:w="289" w:type="pct"/>
            <w:vAlign w:val="bottom"/>
          </w:tcPr>
          <w:p w14:paraId="1FF2EC5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92,4</w:t>
            </w:r>
          </w:p>
        </w:tc>
        <w:tc>
          <w:tcPr>
            <w:tcW w:w="289" w:type="pct"/>
            <w:vAlign w:val="bottom"/>
          </w:tcPr>
          <w:p w14:paraId="456196E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91,3</w:t>
            </w:r>
          </w:p>
        </w:tc>
        <w:tc>
          <w:tcPr>
            <w:tcW w:w="376" w:type="pct"/>
            <w:vAlign w:val="bottom"/>
          </w:tcPr>
          <w:p w14:paraId="4BE6F8D4"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91,1</w:t>
            </w:r>
          </w:p>
        </w:tc>
        <w:tc>
          <w:tcPr>
            <w:tcW w:w="475" w:type="pct"/>
            <w:vAlign w:val="bottom"/>
          </w:tcPr>
          <w:p w14:paraId="76E4BFD8"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555 600</w:t>
            </w:r>
          </w:p>
        </w:tc>
        <w:tc>
          <w:tcPr>
            <w:tcW w:w="475" w:type="pct"/>
            <w:vAlign w:val="bottom"/>
          </w:tcPr>
          <w:p w14:paraId="40A0B1B6"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506 400</w:t>
            </w:r>
          </w:p>
        </w:tc>
      </w:tr>
      <w:tr w:rsidR="00DA3C9E" w:rsidRPr="00E27566" w14:paraId="390FE1F2" w14:textId="77777777" w:rsidTr="00EF6F89">
        <w:trPr>
          <w:trHeight w:val="113"/>
        </w:trPr>
        <w:tc>
          <w:tcPr>
            <w:tcW w:w="807" w:type="pct"/>
            <w:vAlign w:val="bottom"/>
          </w:tcPr>
          <w:p w14:paraId="5DCC3DF3"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Kommune og fylkeskommune i alt</w:t>
            </w:r>
            <w:r w:rsidRPr="00E27566">
              <w:rPr>
                <w:rFonts w:ascii="Times New Roman" w:hAnsi="Times New Roman"/>
                <w:sz w:val="18"/>
                <w:szCs w:val="18"/>
                <w:vertAlign w:val="superscript"/>
              </w:rPr>
              <w:t>2</w:t>
            </w:r>
          </w:p>
        </w:tc>
        <w:tc>
          <w:tcPr>
            <w:tcW w:w="271" w:type="pct"/>
            <w:vAlign w:val="bottom"/>
          </w:tcPr>
          <w:p w14:paraId="7F717CB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93,8</w:t>
            </w:r>
          </w:p>
        </w:tc>
        <w:tc>
          <w:tcPr>
            <w:tcW w:w="288" w:type="pct"/>
            <w:vAlign w:val="bottom"/>
          </w:tcPr>
          <w:p w14:paraId="3FC9CEA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94,4</w:t>
            </w:r>
          </w:p>
        </w:tc>
        <w:tc>
          <w:tcPr>
            <w:tcW w:w="288" w:type="pct"/>
            <w:vAlign w:val="bottom"/>
          </w:tcPr>
          <w:p w14:paraId="3C0A68D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94,0</w:t>
            </w:r>
          </w:p>
        </w:tc>
        <w:tc>
          <w:tcPr>
            <w:tcW w:w="288" w:type="pct"/>
            <w:tcBorders>
              <w:right w:val="single" w:sz="4" w:space="0" w:color="auto"/>
            </w:tcBorders>
            <w:vAlign w:val="bottom"/>
          </w:tcPr>
          <w:p w14:paraId="7664B71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94,1</w:t>
            </w:r>
          </w:p>
        </w:tc>
        <w:tc>
          <w:tcPr>
            <w:tcW w:w="288" w:type="pct"/>
            <w:tcBorders>
              <w:left w:val="single" w:sz="4" w:space="0" w:color="auto"/>
            </w:tcBorders>
            <w:vAlign w:val="bottom"/>
          </w:tcPr>
          <w:p w14:paraId="10D146B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94,1</w:t>
            </w:r>
          </w:p>
        </w:tc>
        <w:tc>
          <w:tcPr>
            <w:tcW w:w="289" w:type="pct"/>
            <w:vAlign w:val="bottom"/>
          </w:tcPr>
          <w:p w14:paraId="4792FEC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94,3</w:t>
            </w:r>
          </w:p>
        </w:tc>
        <w:tc>
          <w:tcPr>
            <w:tcW w:w="289" w:type="pct"/>
            <w:vAlign w:val="bottom"/>
          </w:tcPr>
          <w:p w14:paraId="6D45BEE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94,3</w:t>
            </w:r>
          </w:p>
        </w:tc>
        <w:tc>
          <w:tcPr>
            <w:tcW w:w="289" w:type="pct"/>
            <w:vAlign w:val="bottom"/>
          </w:tcPr>
          <w:p w14:paraId="27B9D29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94,2</w:t>
            </w:r>
          </w:p>
        </w:tc>
        <w:tc>
          <w:tcPr>
            <w:tcW w:w="289" w:type="pct"/>
            <w:vAlign w:val="bottom"/>
          </w:tcPr>
          <w:p w14:paraId="1ED03AD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94,3</w:t>
            </w:r>
          </w:p>
        </w:tc>
        <w:tc>
          <w:tcPr>
            <w:tcW w:w="289" w:type="pct"/>
            <w:vAlign w:val="bottom"/>
          </w:tcPr>
          <w:p w14:paraId="356DA04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94,1</w:t>
            </w:r>
          </w:p>
        </w:tc>
        <w:tc>
          <w:tcPr>
            <w:tcW w:w="376" w:type="pct"/>
            <w:vAlign w:val="bottom"/>
          </w:tcPr>
          <w:p w14:paraId="49AB4FD0" w14:textId="77777777" w:rsidR="00DA3C9E" w:rsidRPr="004B4C82" w:rsidRDefault="00DA3C9E" w:rsidP="00B20A65">
            <w:pPr>
              <w:spacing w:before="60" w:after="60"/>
              <w:jc w:val="right"/>
              <w:rPr>
                <w:rFonts w:ascii="Times New Roman" w:hAnsi="Times New Roman"/>
                <w:color w:val="000000"/>
                <w:sz w:val="18"/>
                <w:szCs w:val="18"/>
              </w:rPr>
            </w:pPr>
            <w:r w:rsidRPr="004B4C82">
              <w:rPr>
                <w:rFonts w:ascii="Times New Roman" w:hAnsi="Times New Roman"/>
                <w:color w:val="000000"/>
                <w:sz w:val="18"/>
                <w:szCs w:val="18"/>
              </w:rPr>
              <w:t>94,1</w:t>
            </w:r>
          </w:p>
        </w:tc>
        <w:tc>
          <w:tcPr>
            <w:tcW w:w="475" w:type="pct"/>
            <w:vAlign w:val="bottom"/>
          </w:tcPr>
          <w:p w14:paraId="4C21ADFC" w14:textId="77777777" w:rsidR="00DA3C9E" w:rsidRPr="004B4C82" w:rsidRDefault="00DA3C9E" w:rsidP="00B20A65">
            <w:pPr>
              <w:spacing w:before="60" w:after="60"/>
              <w:jc w:val="center"/>
              <w:rPr>
                <w:rFonts w:ascii="Times New Roman" w:hAnsi="Times New Roman"/>
                <w:color w:val="000000"/>
                <w:sz w:val="18"/>
                <w:szCs w:val="18"/>
              </w:rPr>
            </w:pPr>
            <w:r w:rsidRPr="004B4C82">
              <w:rPr>
                <w:rFonts w:ascii="Times New Roman" w:hAnsi="Times New Roman"/>
                <w:color w:val="000000"/>
                <w:sz w:val="18"/>
                <w:szCs w:val="18"/>
              </w:rPr>
              <w:t>532</w:t>
            </w:r>
            <w:r>
              <w:rPr>
                <w:rFonts w:ascii="Times New Roman" w:hAnsi="Times New Roman"/>
                <w:color w:val="000000"/>
                <w:sz w:val="18"/>
                <w:szCs w:val="18"/>
              </w:rPr>
              <w:t xml:space="preserve"> </w:t>
            </w:r>
            <w:r w:rsidRPr="004B4C82">
              <w:rPr>
                <w:rFonts w:ascii="Times New Roman" w:hAnsi="Times New Roman"/>
                <w:color w:val="000000"/>
                <w:sz w:val="18"/>
                <w:szCs w:val="18"/>
              </w:rPr>
              <w:t>800</w:t>
            </w:r>
          </w:p>
        </w:tc>
        <w:tc>
          <w:tcPr>
            <w:tcW w:w="475" w:type="pct"/>
            <w:vAlign w:val="bottom"/>
          </w:tcPr>
          <w:p w14:paraId="431C8B11" w14:textId="77777777" w:rsidR="00DA3C9E" w:rsidRPr="004B4C82" w:rsidRDefault="00DA3C9E" w:rsidP="00B20A65">
            <w:pPr>
              <w:spacing w:before="60" w:after="60"/>
              <w:jc w:val="center"/>
              <w:rPr>
                <w:rFonts w:ascii="Times New Roman" w:hAnsi="Times New Roman"/>
                <w:color w:val="000000"/>
                <w:sz w:val="18"/>
                <w:szCs w:val="18"/>
              </w:rPr>
            </w:pPr>
            <w:r w:rsidRPr="004B4C82">
              <w:rPr>
                <w:rFonts w:ascii="Times New Roman" w:hAnsi="Times New Roman"/>
                <w:color w:val="000000"/>
                <w:sz w:val="18"/>
                <w:szCs w:val="18"/>
              </w:rPr>
              <w:t>501</w:t>
            </w:r>
            <w:r>
              <w:rPr>
                <w:rFonts w:ascii="Times New Roman" w:hAnsi="Times New Roman"/>
                <w:color w:val="000000"/>
                <w:sz w:val="18"/>
                <w:szCs w:val="18"/>
              </w:rPr>
              <w:t xml:space="preserve"> </w:t>
            </w:r>
            <w:r w:rsidRPr="004B4C82">
              <w:rPr>
                <w:rFonts w:ascii="Times New Roman" w:hAnsi="Times New Roman"/>
                <w:color w:val="000000"/>
                <w:sz w:val="18"/>
                <w:szCs w:val="18"/>
              </w:rPr>
              <w:t>600</w:t>
            </w:r>
          </w:p>
        </w:tc>
      </w:tr>
      <w:tr w:rsidR="00DA3C9E" w:rsidRPr="00E27566" w14:paraId="52D091C9" w14:textId="77777777" w:rsidTr="00EF6F89">
        <w:trPr>
          <w:trHeight w:val="113"/>
        </w:trPr>
        <w:tc>
          <w:tcPr>
            <w:tcW w:w="807" w:type="pct"/>
            <w:vAlign w:val="bottom"/>
          </w:tcPr>
          <w:p w14:paraId="315BC16E"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Herav skoleverket</w:t>
            </w:r>
          </w:p>
        </w:tc>
        <w:tc>
          <w:tcPr>
            <w:tcW w:w="271" w:type="pct"/>
            <w:vAlign w:val="bottom"/>
          </w:tcPr>
          <w:p w14:paraId="28185B8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97,9</w:t>
            </w:r>
          </w:p>
        </w:tc>
        <w:tc>
          <w:tcPr>
            <w:tcW w:w="288" w:type="pct"/>
            <w:vAlign w:val="bottom"/>
          </w:tcPr>
          <w:p w14:paraId="497AFC5D" w14:textId="77777777" w:rsidR="00DA3C9E" w:rsidRPr="00E27566" w:rsidRDefault="00DA3C9E" w:rsidP="00B20A65">
            <w:pPr>
              <w:spacing w:before="60" w:after="60"/>
              <w:jc w:val="right"/>
              <w:rPr>
                <w:rFonts w:ascii="Times New Roman" w:hAnsi="Times New Roman"/>
                <w:sz w:val="18"/>
                <w:szCs w:val="18"/>
                <w:vertAlign w:val="superscript"/>
              </w:rPr>
            </w:pPr>
            <w:r w:rsidRPr="00E27566">
              <w:rPr>
                <w:rFonts w:ascii="Times New Roman" w:hAnsi="Times New Roman"/>
                <w:sz w:val="18"/>
                <w:szCs w:val="18"/>
              </w:rPr>
              <w:t>97,7</w:t>
            </w:r>
            <w:r w:rsidRPr="00E27566">
              <w:rPr>
                <w:rFonts w:ascii="Times New Roman" w:hAnsi="Times New Roman"/>
                <w:sz w:val="18"/>
                <w:szCs w:val="18"/>
                <w:vertAlign w:val="superscript"/>
              </w:rPr>
              <w:t>3</w:t>
            </w:r>
          </w:p>
        </w:tc>
        <w:tc>
          <w:tcPr>
            <w:tcW w:w="288" w:type="pct"/>
            <w:vAlign w:val="bottom"/>
          </w:tcPr>
          <w:p w14:paraId="0E3064D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97,9</w:t>
            </w:r>
          </w:p>
        </w:tc>
        <w:tc>
          <w:tcPr>
            <w:tcW w:w="288" w:type="pct"/>
            <w:tcBorders>
              <w:right w:val="single" w:sz="4" w:space="0" w:color="auto"/>
            </w:tcBorders>
            <w:vAlign w:val="bottom"/>
          </w:tcPr>
          <w:p w14:paraId="7199328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97,9</w:t>
            </w:r>
          </w:p>
        </w:tc>
        <w:tc>
          <w:tcPr>
            <w:tcW w:w="288" w:type="pct"/>
            <w:tcBorders>
              <w:left w:val="single" w:sz="4" w:space="0" w:color="auto"/>
            </w:tcBorders>
            <w:vAlign w:val="bottom"/>
          </w:tcPr>
          <w:p w14:paraId="1D34DF4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97,7</w:t>
            </w:r>
          </w:p>
        </w:tc>
        <w:tc>
          <w:tcPr>
            <w:tcW w:w="289" w:type="pct"/>
            <w:vAlign w:val="bottom"/>
          </w:tcPr>
          <w:p w14:paraId="106780E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98,1</w:t>
            </w:r>
          </w:p>
        </w:tc>
        <w:tc>
          <w:tcPr>
            <w:tcW w:w="289" w:type="pct"/>
            <w:vAlign w:val="bottom"/>
          </w:tcPr>
          <w:p w14:paraId="6DC85E3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98,2</w:t>
            </w:r>
          </w:p>
        </w:tc>
        <w:tc>
          <w:tcPr>
            <w:tcW w:w="289" w:type="pct"/>
            <w:vAlign w:val="bottom"/>
          </w:tcPr>
          <w:p w14:paraId="3AD3C82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98,2</w:t>
            </w:r>
          </w:p>
        </w:tc>
        <w:tc>
          <w:tcPr>
            <w:tcW w:w="289" w:type="pct"/>
            <w:vAlign w:val="bottom"/>
          </w:tcPr>
          <w:p w14:paraId="69B1C44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98,3</w:t>
            </w:r>
          </w:p>
        </w:tc>
        <w:tc>
          <w:tcPr>
            <w:tcW w:w="289" w:type="pct"/>
            <w:vAlign w:val="bottom"/>
          </w:tcPr>
          <w:p w14:paraId="63C492C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98,6</w:t>
            </w:r>
          </w:p>
        </w:tc>
        <w:tc>
          <w:tcPr>
            <w:tcW w:w="376" w:type="pct"/>
            <w:vAlign w:val="bottom"/>
          </w:tcPr>
          <w:p w14:paraId="074040E7"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98,2</w:t>
            </w:r>
          </w:p>
        </w:tc>
        <w:tc>
          <w:tcPr>
            <w:tcW w:w="475" w:type="pct"/>
            <w:vAlign w:val="bottom"/>
          </w:tcPr>
          <w:p w14:paraId="47069883"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524 400</w:t>
            </w:r>
          </w:p>
        </w:tc>
        <w:tc>
          <w:tcPr>
            <w:tcW w:w="475" w:type="pct"/>
            <w:vAlign w:val="bottom"/>
          </w:tcPr>
          <w:p w14:paraId="6315B513"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514 800</w:t>
            </w:r>
          </w:p>
        </w:tc>
      </w:tr>
      <w:tr w:rsidR="00DA3C9E" w:rsidRPr="00E27566" w14:paraId="7002559B" w14:textId="77777777" w:rsidTr="00EF6F89">
        <w:trPr>
          <w:trHeight w:val="113"/>
        </w:trPr>
        <w:tc>
          <w:tcPr>
            <w:tcW w:w="807" w:type="pct"/>
            <w:vAlign w:val="bottom"/>
          </w:tcPr>
          <w:p w14:paraId="2675BDD6" w14:textId="77777777" w:rsidR="00DA3C9E" w:rsidRPr="00E27566" w:rsidRDefault="00DA3C9E" w:rsidP="00B20A65">
            <w:pPr>
              <w:spacing w:before="60" w:after="60"/>
              <w:rPr>
                <w:rFonts w:ascii="Times New Roman" w:hAnsi="Times New Roman"/>
                <w:sz w:val="18"/>
                <w:szCs w:val="18"/>
              </w:rPr>
            </w:pPr>
            <w:r w:rsidRPr="00E27566">
              <w:rPr>
                <w:rFonts w:ascii="Times New Roman" w:hAnsi="Times New Roman"/>
                <w:sz w:val="18"/>
                <w:szCs w:val="18"/>
              </w:rPr>
              <w:t>Helseforetak</w:t>
            </w:r>
          </w:p>
        </w:tc>
        <w:tc>
          <w:tcPr>
            <w:tcW w:w="271" w:type="pct"/>
            <w:vAlign w:val="bottom"/>
          </w:tcPr>
          <w:p w14:paraId="0E00913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93,6</w:t>
            </w:r>
          </w:p>
        </w:tc>
        <w:tc>
          <w:tcPr>
            <w:tcW w:w="288" w:type="pct"/>
            <w:vAlign w:val="bottom"/>
          </w:tcPr>
          <w:p w14:paraId="46CF8F9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93,8</w:t>
            </w:r>
          </w:p>
        </w:tc>
        <w:tc>
          <w:tcPr>
            <w:tcW w:w="288" w:type="pct"/>
            <w:vAlign w:val="bottom"/>
          </w:tcPr>
          <w:p w14:paraId="23C599C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94,3</w:t>
            </w:r>
          </w:p>
        </w:tc>
        <w:tc>
          <w:tcPr>
            <w:tcW w:w="288" w:type="pct"/>
            <w:tcBorders>
              <w:right w:val="single" w:sz="4" w:space="0" w:color="auto"/>
            </w:tcBorders>
            <w:vAlign w:val="bottom"/>
          </w:tcPr>
          <w:p w14:paraId="6EA97162"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93,7</w:t>
            </w:r>
          </w:p>
        </w:tc>
        <w:tc>
          <w:tcPr>
            <w:tcW w:w="288" w:type="pct"/>
            <w:tcBorders>
              <w:left w:val="single" w:sz="4" w:space="0" w:color="auto"/>
            </w:tcBorders>
            <w:vAlign w:val="bottom"/>
          </w:tcPr>
          <w:p w14:paraId="756FB3B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93,5</w:t>
            </w:r>
          </w:p>
        </w:tc>
        <w:tc>
          <w:tcPr>
            <w:tcW w:w="289" w:type="pct"/>
            <w:vAlign w:val="bottom"/>
          </w:tcPr>
          <w:p w14:paraId="594F2C4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94,2</w:t>
            </w:r>
          </w:p>
        </w:tc>
        <w:tc>
          <w:tcPr>
            <w:tcW w:w="289" w:type="pct"/>
            <w:vAlign w:val="bottom"/>
          </w:tcPr>
          <w:p w14:paraId="4D6393A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94,7</w:t>
            </w:r>
          </w:p>
        </w:tc>
        <w:tc>
          <w:tcPr>
            <w:tcW w:w="289" w:type="pct"/>
            <w:vAlign w:val="bottom"/>
          </w:tcPr>
          <w:p w14:paraId="0024A6B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94,6</w:t>
            </w:r>
          </w:p>
        </w:tc>
        <w:tc>
          <w:tcPr>
            <w:tcW w:w="289" w:type="pct"/>
            <w:vAlign w:val="bottom"/>
          </w:tcPr>
          <w:p w14:paraId="191D938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94,8</w:t>
            </w:r>
          </w:p>
        </w:tc>
        <w:tc>
          <w:tcPr>
            <w:tcW w:w="289" w:type="pct"/>
            <w:vAlign w:val="bottom"/>
          </w:tcPr>
          <w:p w14:paraId="1EB166F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94,2</w:t>
            </w:r>
          </w:p>
        </w:tc>
        <w:tc>
          <w:tcPr>
            <w:tcW w:w="376" w:type="pct"/>
            <w:vAlign w:val="bottom"/>
          </w:tcPr>
          <w:p w14:paraId="16C8713A"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94,2</w:t>
            </w:r>
          </w:p>
        </w:tc>
        <w:tc>
          <w:tcPr>
            <w:tcW w:w="475" w:type="pct"/>
            <w:vAlign w:val="bottom"/>
          </w:tcPr>
          <w:p w14:paraId="22AC730C"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520 800</w:t>
            </w:r>
          </w:p>
        </w:tc>
        <w:tc>
          <w:tcPr>
            <w:tcW w:w="475" w:type="pct"/>
            <w:vAlign w:val="bottom"/>
          </w:tcPr>
          <w:p w14:paraId="4CC656F2"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490 800</w:t>
            </w:r>
          </w:p>
        </w:tc>
      </w:tr>
      <w:tr w:rsidR="00DA3C9E" w:rsidRPr="00E27566" w14:paraId="5DFD205C" w14:textId="77777777" w:rsidTr="00EF6F89">
        <w:trPr>
          <w:trHeight w:val="857"/>
        </w:trPr>
        <w:tc>
          <w:tcPr>
            <w:tcW w:w="807" w:type="pct"/>
            <w:vAlign w:val="bottom"/>
          </w:tcPr>
          <w:p w14:paraId="249B1764" w14:textId="77777777" w:rsidR="00DA3C9E" w:rsidRPr="00E27566" w:rsidRDefault="00DA3C9E" w:rsidP="00B20A65">
            <w:pPr>
              <w:spacing w:before="60" w:after="60"/>
              <w:rPr>
                <w:rFonts w:ascii="Times New Roman" w:eastAsia="Arial Unicode MS" w:hAnsi="Times New Roman"/>
                <w:bCs/>
                <w:i/>
                <w:sz w:val="18"/>
                <w:szCs w:val="18"/>
              </w:rPr>
            </w:pPr>
            <w:r w:rsidRPr="00E27566">
              <w:rPr>
                <w:rFonts w:ascii="Times New Roman" w:hAnsi="Times New Roman"/>
                <w:bCs/>
                <w:i/>
                <w:sz w:val="18"/>
                <w:szCs w:val="18"/>
              </w:rPr>
              <w:t>Universitets- eller høgskoleutdanning, lengre enn 4 år</w:t>
            </w:r>
          </w:p>
        </w:tc>
        <w:tc>
          <w:tcPr>
            <w:tcW w:w="271" w:type="pct"/>
            <w:vAlign w:val="bottom"/>
          </w:tcPr>
          <w:p w14:paraId="6CDD295F"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82,9</w:t>
            </w:r>
          </w:p>
        </w:tc>
        <w:tc>
          <w:tcPr>
            <w:tcW w:w="288" w:type="pct"/>
            <w:vAlign w:val="bottom"/>
          </w:tcPr>
          <w:p w14:paraId="7B891DBD"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82,5</w:t>
            </w:r>
          </w:p>
        </w:tc>
        <w:tc>
          <w:tcPr>
            <w:tcW w:w="288" w:type="pct"/>
            <w:vAlign w:val="bottom"/>
          </w:tcPr>
          <w:p w14:paraId="5646E228"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81,6</w:t>
            </w:r>
          </w:p>
        </w:tc>
        <w:tc>
          <w:tcPr>
            <w:tcW w:w="288" w:type="pct"/>
            <w:tcBorders>
              <w:right w:val="single" w:sz="4" w:space="0" w:color="auto"/>
            </w:tcBorders>
            <w:vAlign w:val="bottom"/>
          </w:tcPr>
          <w:p w14:paraId="785EF42A" w14:textId="77777777" w:rsidR="00DA3C9E" w:rsidRPr="00E27566" w:rsidRDefault="00DA3C9E" w:rsidP="00B20A65">
            <w:pPr>
              <w:spacing w:before="60" w:after="60"/>
              <w:jc w:val="right"/>
              <w:rPr>
                <w:rFonts w:ascii="Times New Roman" w:hAnsi="Times New Roman"/>
                <w:b/>
                <w:sz w:val="18"/>
                <w:szCs w:val="18"/>
              </w:rPr>
            </w:pPr>
            <w:r w:rsidRPr="00E27566">
              <w:rPr>
                <w:rFonts w:ascii="Times New Roman" w:hAnsi="Times New Roman"/>
                <w:color w:val="000000"/>
                <w:sz w:val="18"/>
                <w:szCs w:val="18"/>
              </w:rPr>
              <w:t>80,9</w:t>
            </w:r>
          </w:p>
        </w:tc>
        <w:tc>
          <w:tcPr>
            <w:tcW w:w="288" w:type="pct"/>
            <w:tcBorders>
              <w:left w:val="single" w:sz="4" w:space="0" w:color="auto"/>
            </w:tcBorders>
            <w:vAlign w:val="bottom"/>
          </w:tcPr>
          <w:p w14:paraId="6DC9F514" w14:textId="77777777" w:rsidR="00DA3C9E" w:rsidRPr="00E27566" w:rsidRDefault="00DA3C9E" w:rsidP="00B20A65">
            <w:pPr>
              <w:spacing w:before="60" w:after="60"/>
              <w:jc w:val="right"/>
              <w:rPr>
                <w:rFonts w:ascii="Times New Roman" w:eastAsia="Arial Unicode MS" w:hAnsi="Times New Roman"/>
                <w:b/>
                <w:sz w:val="18"/>
                <w:szCs w:val="18"/>
              </w:rPr>
            </w:pPr>
            <w:r w:rsidRPr="00E27566">
              <w:rPr>
                <w:rFonts w:ascii="Times New Roman" w:hAnsi="Times New Roman"/>
                <w:color w:val="000000"/>
                <w:sz w:val="18"/>
                <w:szCs w:val="18"/>
              </w:rPr>
              <w:t>80,8</w:t>
            </w:r>
          </w:p>
        </w:tc>
        <w:tc>
          <w:tcPr>
            <w:tcW w:w="289" w:type="pct"/>
            <w:vAlign w:val="bottom"/>
          </w:tcPr>
          <w:p w14:paraId="77CBE9FD" w14:textId="77777777" w:rsidR="00DA3C9E" w:rsidRPr="00E27566" w:rsidRDefault="00DA3C9E" w:rsidP="00B20A65">
            <w:pPr>
              <w:spacing w:before="60" w:after="60"/>
              <w:jc w:val="right"/>
              <w:rPr>
                <w:rFonts w:ascii="Times New Roman" w:eastAsia="Arial Unicode MS" w:hAnsi="Times New Roman"/>
                <w:b/>
                <w:sz w:val="18"/>
                <w:szCs w:val="18"/>
              </w:rPr>
            </w:pPr>
            <w:r w:rsidRPr="00E27566">
              <w:rPr>
                <w:rFonts w:ascii="Times New Roman" w:hAnsi="Times New Roman"/>
                <w:color w:val="000000"/>
                <w:sz w:val="18"/>
                <w:szCs w:val="18"/>
              </w:rPr>
              <w:t>81,4</w:t>
            </w:r>
          </w:p>
        </w:tc>
        <w:tc>
          <w:tcPr>
            <w:tcW w:w="289" w:type="pct"/>
            <w:vAlign w:val="bottom"/>
          </w:tcPr>
          <w:p w14:paraId="64DC7423"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81,8</w:t>
            </w:r>
          </w:p>
        </w:tc>
        <w:tc>
          <w:tcPr>
            <w:tcW w:w="289" w:type="pct"/>
            <w:vAlign w:val="bottom"/>
          </w:tcPr>
          <w:p w14:paraId="78604BD6"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81,4</w:t>
            </w:r>
          </w:p>
        </w:tc>
        <w:tc>
          <w:tcPr>
            <w:tcW w:w="289" w:type="pct"/>
            <w:vAlign w:val="bottom"/>
          </w:tcPr>
          <w:p w14:paraId="214A4AE1"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81,5</w:t>
            </w:r>
          </w:p>
        </w:tc>
        <w:tc>
          <w:tcPr>
            <w:tcW w:w="289" w:type="pct"/>
            <w:vAlign w:val="bottom"/>
          </w:tcPr>
          <w:p w14:paraId="3A275036"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81,7</w:t>
            </w:r>
          </w:p>
        </w:tc>
        <w:tc>
          <w:tcPr>
            <w:tcW w:w="376" w:type="pct"/>
            <w:vAlign w:val="bottom"/>
          </w:tcPr>
          <w:p w14:paraId="113D037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81,4</w:t>
            </w:r>
          </w:p>
        </w:tc>
        <w:tc>
          <w:tcPr>
            <w:tcW w:w="475" w:type="pct"/>
            <w:vAlign w:val="bottom"/>
          </w:tcPr>
          <w:p w14:paraId="6CBB53AE" w14:textId="77777777" w:rsidR="00DA3C9E" w:rsidRPr="00E27566" w:rsidRDefault="00DA3C9E" w:rsidP="00B20A65">
            <w:pPr>
              <w:spacing w:before="60" w:after="60"/>
              <w:jc w:val="center"/>
              <w:rPr>
                <w:rFonts w:ascii="Times New Roman" w:hAnsi="Times New Roman"/>
                <w:sz w:val="18"/>
                <w:szCs w:val="18"/>
              </w:rPr>
            </w:pPr>
            <w:r w:rsidRPr="00E27566">
              <w:rPr>
                <w:rFonts w:ascii="Times New Roman" w:hAnsi="Times New Roman"/>
                <w:sz w:val="18"/>
                <w:szCs w:val="18"/>
              </w:rPr>
              <w:t>769 200</w:t>
            </w:r>
          </w:p>
        </w:tc>
        <w:tc>
          <w:tcPr>
            <w:tcW w:w="475" w:type="pct"/>
            <w:vAlign w:val="bottom"/>
          </w:tcPr>
          <w:p w14:paraId="69863DC8" w14:textId="77777777" w:rsidR="00DA3C9E" w:rsidRPr="00E27566" w:rsidRDefault="00DA3C9E" w:rsidP="00B20A65">
            <w:pPr>
              <w:spacing w:before="60" w:after="60"/>
              <w:jc w:val="center"/>
              <w:rPr>
                <w:rFonts w:ascii="Times New Roman" w:hAnsi="Times New Roman"/>
                <w:sz w:val="18"/>
                <w:szCs w:val="18"/>
              </w:rPr>
            </w:pPr>
            <w:r w:rsidRPr="00E27566">
              <w:rPr>
                <w:rFonts w:ascii="Times New Roman" w:hAnsi="Times New Roman"/>
                <w:sz w:val="18"/>
                <w:szCs w:val="18"/>
              </w:rPr>
              <w:t>626 400</w:t>
            </w:r>
          </w:p>
        </w:tc>
      </w:tr>
      <w:tr w:rsidR="00DA3C9E" w:rsidRPr="00E27566" w14:paraId="3643A954" w14:textId="77777777" w:rsidTr="00EF6F89">
        <w:trPr>
          <w:trHeight w:val="113"/>
        </w:trPr>
        <w:tc>
          <w:tcPr>
            <w:tcW w:w="807" w:type="pct"/>
            <w:vAlign w:val="bottom"/>
          </w:tcPr>
          <w:p w14:paraId="52CF492E"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Industri i alt</w:t>
            </w:r>
          </w:p>
        </w:tc>
        <w:tc>
          <w:tcPr>
            <w:tcW w:w="271" w:type="pct"/>
            <w:vAlign w:val="bottom"/>
          </w:tcPr>
          <w:p w14:paraId="753748C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82,0</w:t>
            </w:r>
          </w:p>
        </w:tc>
        <w:tc>
          <w:tcPr>
            <w:tcW w:w="288" w:type="pct"/>
            <w:vAlign w:val="bottom"/>
          </w:tcPr>
          <w:p w14:paraId="64F080D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81,5</w:t>
            </w:r>
          </w:p>
        </w:tc>
        <w:tc>
          <w:tcPr>
            <w:tcW w:w="288" w:type="pct"/>
            <w:vAlign w:val="bottom"/>
          </w:tcPr>
          <w:p w14:paraId="798BA3E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81,6</w:t>
            </w:r>
          </w:p>
        </w:tc>
        <w:tc>
          <w:tcPr>
            <w:tcW w:w="288" w:type="pct"/>
            <w:tcBorders>
              <w:right w:val="single" w:sz="4" w:space="0" w:color="auto"/>
            </w:tcBorders>
            <w:vAlign w:val="bottom"/>
          </w:tcPr>
          <w:p w14:paraId="7D1CA38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81,0</w:t>
            </w:r>
          </w:p>
        </w:tc>
        <w:tc>
          <w:tcPr>
            <w:tcW w:w="288" w:type="pct"/>
            <w:tcBorders>
              <w:left w:val="single" w:sz="4" w:space="0" w:color="auto"/>
            </w:tcBorders>
            <w:vAlign w:val="bottom"/>
          </w:tcPr>
          <w:p w14:paraId="4EBB13C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83,9</w:t>
            </w:r>
          </w:p>
        </w:tc>
        <w:tc>
          <w:tcPr>
            <w:tcW w:w="289" w:type="pct"/>
            <w:vAlign w:val="bottom"/>
          </w:tcPr>
          <w:p w14:paraId="79F315C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83,4</w:t>
            </w:r>
          </w:p>
        </w:tc>
        <w:tc>
          <w:tcPr>
            <w:tcW w:w="289" w:type="pct"/>
            <w:vAlign w:val="bottom"/>
          </w:tcPr>
          <w:p w14:paraId="7D986F7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83,7</w:t>
            </w:r>
          </w:p>
        </w:tc>
        <w:tc>
          <w:tcPr>
            <w:tcW w:w="289" w:type="pct"/>
            <w:vAlign w:val="bottom"/>
          </w:tcPr>
          <w:p w14:paraId="5BF98E0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82,7</w:t>
            </w:r>
          </w:p>
        </w:tc>
        <w:tc>
          <w:tcPr>
            <w:tcW w:w="289" w:type="pct"/>
            <w:vAlign w:val="bottom"/>
          </w:tcPr>
          <w:p w14:paraId="0FCACCB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82,1</w:t>
            </w:r>
          </w:p>
        </w:tc>
        <w:tc>
          <w:tcPr>
            <w:tcW w:w="289" w:type="pct"/>
            <w:vAlign w:val="bottom"/>
          </w:tcPr>
          <w:p w14:paraId="721C02A2"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83,2</w:t>
            </w:r>
          </w:p>
        </w:tc>
        <w:tc>
          <w:tcPr>
            <w:tcW w:w="376" w:type="pct"/>
            <w:vAlign w:val="bottom"/>
          </w:tcPr>
          <w:p w14:paraId="379DFA9C"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82,3</w:t>
            </w:r>
          </w:p>
        </w:tc>
        <w:tc>
          <w:tcPr>
            <w:tcW w:w="475" w:type="pct"/>
            <w:vAlign w:val="bottom"/>
          </w:tcPr>
          <w:p w14:paraId="42A412F4"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813 600</w:t>
            </w:r>
          </w:p>
        </w:tc>
        <w:tc>
          <w:tcPr>
            <w:tcW w:w="475" w:type="pct"/>
            <w:vAlign w:val="bottom"/>
          </w:tcPr>
          <w:p w14:paraId="2B780424"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669 600</w:t>
            </w:r>
          </w:p>
        </w:tc>
      </w:tr>
      <w:tr w:rsidR="00DA3C9E" w:rsidRPr="00E27566" w14:paraId="598B2931" w14:textId="77777777" w:rsidTr="00EF6F89">
        <w:trPr>
          <w:trHeight w:val="113"/>
        </w:trPr>
        <w:tc>
          <w:tcPr>
            <w:tcW w:w="807" w:type="pct"/>
            <w:vAlign w:val="bottom"/>
          </w:tcPr>
          <w:p w14:paraId="5CC3C398"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Bygge- og anleggsvirksomhet i alt</w:t>
            </w:r>
          </w:p>
        </w:tc>
        <w:tc>
          <w:tcPr>
            <w:tcW w:w="271" w:type="pct"/>
            <w:vAlign w:val="bottom"/>
          </w:tcPr>
          <w:p w14:paraId="5D33946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81,8</w:t>
            </w:r>
          </w:p>
        </w:tc>
        <w:tc>
          <w:tcPr>
            <w:tcW w:w="288" w:type="pct"/>
            <w:vAlign w:val="bottom"/>
          </w:tcPr>
          <w:p w14:paraId="1ED0383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92,3</w:t>
            </w:r>
          </w:p>
        </w:tc>
        <w:tc>
          <w:tcPr>
            <w:tcW w:w="288" w:type="pct"/>
            <w:vAlign w:val="bottom"/>
          </w:tcPr>
          <w:p w14:paraId="350A3E5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83,1</w:t>
            </w:r>
          </w:p>
        </w:tc>
        <w:tc>
          <w:tcPr>
            <w:tcW w:w="288" w:type="pct"/>
            <w:tcBorders>
              <w:right w:val="single" w:sz="4" w:space="0" w:color="auto"/>
            </w:tcBorders>
            <w:vAlign w:val="bottom"/>
          </w:tcPr>
          <w:p w14:paraId="6505B889"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85,5</w:t>
            </w:r>
          </w:p>
        </w:tc>
        <w:tc>
          <w:tcPr>
            <w:tcW w:w="288" w:type="pct"/>
            <w:tcBorders>
              <w:left w:val="single" w:sz="4" w:space="0" w:color="auto"/>
            </w:tcBorders>
            <w:vAlign w:val="bottom"/>
          </w:tcPr>
          <w:p w14:paraId="27855D6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86,1</w:t>
            </w:r>
          </w:p>
        </w:tc>
        <w:tc>
          <w:tcPr>
            <w:tcW w:w="289" w:type="pct"/>
            <w:vAlign w:val="bottom"/>
          </w:tcPr>
          <w:p w14:paraId="425DE98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85,3</w:t>
            </w:r>
          </w:p>
        </w:tc>
        <w:tc>
          <w:tcPr>
            <w:tcW w:w="289" w:type="pct"/>
            <w:vAlign w:val="bottom"/>
          </w:tcPr>
          <w:p w14:paraId="27D4AC1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82,8</w:t>
            </w:r>
          </w:p>
        </w:tc>
        <w:tc>
          <w:tcPr>
            <w:tcW w:w="289" w:type="pct"/>
            <w:vAlign w:val="bottom"/>
          </w:tcPr>
          <w:p w14:paraId="24DAFC9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84,0</w:t>
            </w:r>
          </w:p>
        </w:tc>
        <w:tc>
          <w:tcPr>
            <w:tcW w:w="289" w:type="pct"/>
            <w:vAlign w:val="bottom"/>
          </w:tcPr>
          <w:p w14:paraId="00183D7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  85,1 </w:t>
            </w:r>
          </w:p>
        </w:tc>
        <w:tc>
          <w:tcPr>
            <w:tcW w:w="289" w:type="pct"/>
            <w:vAlign w:val="bottom"/>
          </w:tcPr>
          <w:p w14:paraId="3CF9C7B5"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91,0</w:t>
            </w:r>
          </w:p>
        </w:tc>
        <w:tc>
          <w:tcPr>
            <w:tcW w:w="376" w:type="pct"/>
            <w:vAlign w:val="bottom"/>
          </w:tcPr>
          <w:p w14:paraId="556F3250"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85,4</w:t>
            </w:r>
          </w:p>
        </w:tc>
        <w:tc>
          <w:tcPr>
            <w:tcW w:w="475" w:type="pct"/>
            <w:vAlign w:val="bottom"/>
          </w:tcPr>
          <w:p w14:paraId="25E9FA16"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795 600</w:t>
            </w:r>
          </w:p>
        </w:tc>
        <w:tc>
          <w:tcPr>
            <w:tcW w:w="475" w:type="pct"/>
            <w:vAlign w:val="bottom"/>
          </w:tcPr>
          <w:p w14:paraId="1C2BDB5C"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679 200</w:t>
            </w:r>
          </w:p>
        </w:tc>
      </w:tr>
      <w:tr w:rsidR="00DA3C9E" w:rsidRPr="00E27566" w14:paraId="4133D5CE" w14:textId="77777777" w:rsidTr="00EF6F89">
        <w:trPr>
          <w:trHeight w:val="113"/>
        </w:trPr>
        <w:tc>
          <w:tcPr>
            <w:tcW w:w="807" w:type="pct"/>
            <w:vAlign w:val="bottom"/>
          </w:tcPr>
          <w:p w14:paraId="4AB835A9"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Varehandel i alt</w:t>
            </w:r>
          </w:p>
        </w:tc>
        <w:tc>
          <w:tcPr>
            <w:tcW w:w="271" w:type="pct"/>
            <w:vAlign w:val="bottom"/>
          </w:tcPr>
          <w:p w14:paraId="17EF6DB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91,2</w:t>
            </w:r>
          </w:p>
        </w:tc>
        <w:tc>
          <w:tcPr>
            <w:tcW w:w="288" w:type="pct"/>
            <w:vAlign w:val="bottom"/>
          </w:tcPr>
          <w:p w14:paraId="5750A65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87,3</w:t>
            </w:r>
          </w:p>
        </w:tc>
        <w:tc>
          <w:tcPr>
            <w:tcW w:w="288" w:type="pct"/>
            <w:vAlign w:val="bottom"/>
          </w:tcPr>
          <w:p w14:paraId="4C0B80C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81,5</w:t>
            </w:r>
          </w:p>
        </w:tc>
        <w:tc>
          <w:tcPr>
            <w:tcW w:w="288" w:type="pct"/>
            <w:tcBorders>
              <w:right w:val="single" w:sz="4" w:space="0" w:color="auto"/>
            </w:tcBorders>
            <w:vAlign w:val="bottom"/>
          </w:tcPr>
          <w:p w14:paraId="7057115A"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82,0</w:t>
            </w:r>
          </w:p>
        </w:tc>
        <w:tc>
          <w:tcPr>
            <w:tcW w:w="288" w:type="pct"/>
            <w:tcBorders>
              <w:left w:val="single" w:sz="4" w:space="0" w:color="auto"/>
            </w:tcBorders>
            <w:vAlign w:val="bottom"/>
          </w:tcPr>
          <w:p w14:paraId="57418E1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81,3</w:t>
            </w:r>
          </w:p>
        </w:tc>
        <w:tc>
          <w:tcPr>
            <w:tcW w:w="289" w:type="pct"/>
            <w:vAlign w:val="bottom"/>
          </w:tcPr>
          <w:p w14:paraId="08F53E3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80,2</w:t>
            </w:r>
          </w:p>
        </w:tc>
        <w:tc>
          <w:tcPr>
            <w:tcW w:w="289" w:type="pct"/>
            <w:vAlign w:val="bottom"/>
          </w:tcPr>
          <w:p w14:paraId="43604B0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83,0</w:t>
            </w:r>
          </w:p>
        </w:tc>
        <w:tc>
          <w:tcPr>
            <w:tcW w:w="289" w:type="pct"/>
            <w:vAlign w:val="bottom"/>
          </w:tcPr>
          <w:p w14:paraId="602B01D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82,2</w:t>
            </w:r>
          </w:p>
        </w:tc>
        <w:tc>
          <w:tcPr>
            <w:tcW w:w="289" w:type="pct"/>
            <w:vAlign w:val="bottom"/>
          </w:tcPr>
          <w:p w14:paraId="6CF36F9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80,8 </w:t>
            </w:r>
          </w:p>
        </w:tc>
        <w:tc>
          <w:tcPr>
            <w:tcW w:w="289" w:type="pct"/>
            <w:vAlign w:val="bottom"/>
          </w:tcPr>
          <w:p w14:paraId="520C30A5"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81,2</w:t>
            </w:r>
          </w:p>
        </w:tc>
        <w:tc>
          <w:tcPr>
            <w:tcW w:w="376" w:type="pct"/>
            <w:vAlign w:val="bottom"/>
          </w:tcPr>
          <w:p w14:paraId="38B3067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82,9</w:t>
            </w:r>
          </w:p>
        </w:tc>
        <w:tc>
          <w:tcPr>
            <w:tcW w:w="475" w:type="pct"/>
            <w:vAlign w:val="bottom"/>
          </w:tcPr>
          <w:p w14:paraId="470C5CAC"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748 800</w:t>
            </w:r>
          </w:p>
        </w:tc>
        <w:tc>
          <w:tcPr>
            <w:tcW w:w="475" w:type="pct"/>
            <w:vAlign w:val="bottom"/>
          </w:tcPr>
          <w:p w14:paraId="404C10F8"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620 400</w:t>
            </w:r>
          </w:p>
        </w:tc>
      </w:tr>
      <w:tr w:rsidR="00DA3C9E" w:rsidRPr="00E27566" w14:paraId="4822780F" w14:textId="77777777" w:rsidTr="00EF6F89">
        <w:trPr>
          <w:trHeight w:val="113"/>
        </w:trPr>
        <w:tc>
          <w:tcPr>
            <w:tcW w:w="807" w:type="pct"/>
            <w:vAlign w:val="bottom"/>
          </w:tcPr>
          <w:p w14:paraId="7C9E2642"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Finanstjenester i alt</w:t>
            </w:r>
          </w:p>
        </w:tc>
        <w:tc>
          <w:tcPr>
            <w:tcW w:w="271" w:type="pct"/>
            <w:vAlign w:val="bottom"/>
          </w:tcPr>
          <w:p w14:paraId="5A2EBDC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76,6</w:t>
            </w:r>
          </w:p>
        </w:tc>
        <w:tc>
          <w:tcPr>
            <w:tcW w:w="288" w:type="pct"/>
            <w:vAlign w:val="bottom"/>
          </w:tcPr>
          <w:p w14:paraId="4E33EC7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74,7</w:t>
            </w:r>
          </w:p>
        </w:tc>
        <w:tc>
          <w:tcPr>
            <w:tcW w:w="288" w:type="pct"/>
            <w:vAlign w:val="bottom"/>
          </w:tcPr>
          <w:p w14:paraId="390445C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73,9</w:t>
            </w:r>
          </w:p>
        </w:tc>
        <w:tc>
          <w:tcPr>
            <w:tcW w:w="288" w:type="pct"/>
            <w:tcBorders>
              <w:right w:val="single" w:sz="4" w:space="0" w:color="auto"/>
            </w:tcBorders>
            <w:vAlign w:val="bottom"/>
          </w:tcPr>
          <w:p w14:paraId="73F609B5"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69,1</w:t>
            </w:r>
          </w:p>
        </w:tc>
        <w:tc>
          <w:tcPr>
            <w:tcW w:w="288" w:type="pct"/>
            <w:tcBorders>
              <w:left w:val="single" w:sz="4" w:space="0" w:color="auto"/>
            </w:tcBorders>
            <w:vAlign w:val="bottom"/>
          </w:tcPr>
          <w:p w14:paraId="40DF4ED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68,0</w:t>
            </w:r>
          </w:p>
        </w:tc>
        <w:tc>
          <w:tcPr>
            <w:tcW w:w="289" w:type="pct"/>
            <w:vAlign w:val="bottom"/>
          </w:tcPr>
          <w:p w14:paraId="51E0E2D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73,5</w:t>
            </w:r>
          </w:p>
        </w:tc>
        <w:tc>
          <w:tcPr>
            <w:tcW w:w="289" w:type="pct"/>
            <w:vAlign w:val="bottom"/>
          </w:tcPr>
          <w:p w14:paraId="3B6AAC7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73,9</w:t>
            </w:r>
          </w:p>
        </w:tc>
        <w:tc>
          <w:tcPr>
            <w:tcW w:w="289" w:type="pct"/>
            <w:vAlign w:val="bottom"/>
          </w:tcPr>
          <w:p w14:paraId="0668309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73,7</w:t>
            </w:r>
          </w:p>
        </w:tc>
        <w:tc>
          <w:tcPr>
            <w:tcW w:w="289" w:type="pct"/>
            <w:vAlign w:val="bottom"/>
          </w:tcPr>
          <w:p w14:paraId="661C1FD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 xml:space="preserve">76,0 </w:t>
            </w:r>
          </w:p>
        </w:tc>
        <w:tc>
          <w:tcPr>
            <w:tcW w:w="289" w:type="pct"/>
            <w:vAlign w:val="bottom"/>
          </w:tcPr>
          <w:p w14:paraId="5FFF3E6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77,4</w:t>
            </w:r>
          </w:p>
        </w:tc>
        <w:tc>
          <w:tcPr>
            <w:tcW w:w="376" w:type="pct"/>
            <w:vAlign w:val="bottom"/>
          </w:tcPr>
          <w:p w14:paraId="5E0A869B"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75,9</w:t>
            </w:r>
          </w:p>
        </w:tc>
        <w:tc>
          <w:tcPr>
            <w:tcW w:w="475" w:type="pct"/>
            <w:vAlign w:val="bottom"/>
          </w:tcPr>
          <w:p w14:paraId="54DACC30"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987 600</w:t>
            </w:r>
          </w:p>
        </w:tc>
        <w:tc>
          <w:tcPr>
            <w:tcW w:w="475" w:type="pct"/>
            <w:vAlign w:val="bottom"/>
          </w:tcPr>
          <w:p w14:paraId="68D82C25"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750 000</w:t>
            </w:r>
          </w:p>
        </w:tc>
      </w:tr>
      <w:tr w:rsidR="00DA3C9E" w:rsidRPr="00E27566" w14:paraId="4172990B" w14:textId="77777777" w:rsidTr="00EF6F89">
        <w:trPr>
          <w:trHeight w:val="113"/>
        </w:trPr>
        <w:tc>
          <w:tcPr>
            <w:tcW w:w="807" w:type="pct"/>
            <w:vAlign w:val="bottom"/>
          </w:tcPr>
          <w:p w14:paraId="6D64B183"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Staten i alt</w:t>
            </w:r>
          </w:p>
        </w:tc>
        <w:tc>
          <w:tcPr>
            <w:tcW w:w="271" w:type="pct"/>
            <w:vAlign w:val="bottom"/>
          </w:tcPr>
          <w:p w14:paraId="4AFAD52B"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91,1</w:t>
            </w:r>
          </w:p>
        </w:tc>
        <w:tc>
          <w:tcPr>
            <w:tcW w:w="288" w:type="pct"/>
            <w:vAlign w:val="bottom"/>
          </w:tcPr>
          <w:p w14:paraId="13D09FB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90,9</w:t>
            </w:r>
          </w:p>
        </w:tc>
        <w:tc>
          <w:tcPr>
            <w:tcW w:w="288" w:type="pct"/>
            <w:vAlign w:val="bottom"/>
          </w:tcPr>
          <w:p w14:paraId="458C528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90,4</w:t>
            </w:r>
          </w:p>
        </w:tc>
        <w:tc>
          <w:tcPr>
            <w:tcW w:w="288" w:type="pct"/>
            <w:tcBorders>
              <w:right w:val="single" w:sz="4" w:space="0" w:color="auto"/>
            </w:tcBorders>
            <w:vAlign w:val="bottom"/>
          </w:tcPr>
          <w:p w14:paraId="3346C21C"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90,3</w:t>
            </w:r>
          </w:p>
        </w:tc>
        <w:tc>
          <w:tcPr>
            <w:tcW w:w="288" w:type="pct"/>
            <w:tcBorders>
              <w:left w:val="single" w:sz="4" w:space="0" w:color="auto"/>
            </w:tcBorders>
            <w:vAlign w:val="bottom"/>
          </w:tcPr>
          <w:p w14:paraId="3C91876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90,2</w:t>
            </w:r>
          </w:p>
        </w:tc>
        <w:tc>
          <w:tcPr>
            <w:tcW w:w="289" w:type="pct"/>
            <w:vAlign w:val="bottom"/>
          </w:tcPr>
          <w:p w14:paraId="3605904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89,5</w:t>
            </w:r>
          </w:p>
        </w:tc>
        <w:tc>
          <w:tcPr>
            <w:tcW w:w="289" w:type="pct"/>
            <w:vAlign w:val="bottom"/>
          </w:tcPr>
          <w:p w14:paraId="0E7DD82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90,0</w:t>
            </w:r>
          </w:p>
        </w:tc>
        <w:tc>
          <w:tcPr>
            <w:tcW w:w="289" w:type="pct"/>
            <w:vAlign w:val="bottom"/>
          </w:tcPr>
          <w:p w14:paraId="0CDA258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90,5</w:t>
            </w:r>
          </w:p>
        </w:tc>
        <w:tc>
          <w:tcPr>
            <w:tcW w:w="289" w:type="pct"/>
            <w:vAlign w:val="bottom"/>
          </w:tcPr>
          <w:p w14:paraId="27DDE829"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90,7</w:t>
            </w:r>
          </w:p>
        </w:tc>
        <w:tc>
          <w:tcPr>
            <w:tcW w:w="289" w:type="pct"/>
            <w:vAlign w:val="bottom"/>
          </w:tcPr>
          <w:p w14:paraId="0720310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90,6</w:t>
            </w:r>
          </w:p>
        </w:tc>
        <w:tc>
          <w:tcPr>
            <w:tcW w:w="376" w:type="pct"/>
            <w:vAlign w:val="bottom"/>
          </w:tcPr>
          <w:p w14:paraId="7904D178"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90,5</w:t>
            </w:r>
          </w:p>
        </w:tc>
        <w:tc>
          <w:tcPr>
            <w:tcW w:w="475" w:type="pct"/>
            <w:vAlign w:val="bottom"/>
          </w:tcPr>
          <w:p w14:paraId="48E4EE31"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631 200</w:t>
            </w:r>
          </w:p>
        </w:tc>
        <w:tc>
          <w:tcPr>
            <w:tcW w:w="475" w:type="pct"/>
            <w:vAlign w:val="bottom"/>
          </w:tcPr>
          <w:p w14:paraId="1192A28C"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571 200</w:t>
            </w:r>
          </w:p>
        </w:tc>
      </w:tr>
      <w:tr w:rsidR="00DA3C9E" w:rsidRPr="00E27566" w14:paraId="1109AA19" w14:textId="77777777" w:rsidTr="00EF6F89">
        <w:trPr>
          <w:trHeight w:val="113"/>
        </w:trPr>
        <w:tc>
          <w:tcPr>
            <w:tcW w:w="807" w:type="pct"/>
            <w:vAlign w:val="bottom"/>
          </w:tcPr>
          <w:p w14:paraId="64662013"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Kommune og fylkeskommune ialt</w:t>
            </w:r>
            <w:r w:rsidRPr="00E27566">
              <w:rPr>
                <w:rFonts w:ascii="Times New Roman" w:hAnsi="Times New Roman"/>
                <w:sz w:val="18"/>
                <w:szCs w:val="18"/>
                <w:vertAlign w:val="superscript"/>
              </w:rPr>
              <w:t>2</w:t>
            </w:r>
          </w:p>
        </w:tc>
        <w:tc>
          <w:tcPr>
            <w:tcW w:w="271" w:type="pct"/>
            <w:vAlign w:val="bottom"/>
          </w:tcPr>
          <w:p w14:paraId="3CE9540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93,4</w:t>
            </w:r>
          </w:p>
        </w:tc>
        <w:tc>
          <w:tcPr>
            <w:tcW w:w="288" w:type="pct"/>
            <w:vAlign w:val="bottom"/>
          </w:tcPr>
          <w:p w14:paraId="5E48F27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93,7</w:t>
            </w:r>
          </w:p>
        </w:tc>
        <w:tc>
          <w:tcPr>
            <w:tcW w:w="288" w:type="pct"/>
            <w:vAlign w:val="bottom"/>
          </w:tcPr>
          <w:p w14:paraId="2F8BD23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93,5</w:t>
            </w:r>
          </w:p>
        </w:tc>
        <w:tc>
          <w:tcPr>
            <w:tcW w:w="288" w:type="pct"/>
            <w:tcBorders>
              <w:right w:val="single" w:sz="4" w:space="0" w:color="auto"/>
            </w:tcBorders>
            <w:vAlign w:val="bottom"/>
          </w:tcPr>
          <w:p w14:paraId="220B9CC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93,7</w:t>
            </w:r>
          </w:p>
        </w:tc>
        <w:tc>
          <w:tcPr>
            <w:tcW w:w="288" w:type="pct"/>
            <w:tcBorders>
              <w:left w:val="single" w:sz="4" w:space="0" w:color="auto"/>
            </w:tcBorders>
            <w:vAlign w:val="bottom"/>
          </w:tcPr>
          <w:p w14:paraId="32899B1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93,7</w:t>
            </w:r>
          </w:p>
        </w:tc>
        <w:tc>
          <w:tcPr>
            <w:tcW w:w="289" w:type="pct"/>
            <w:vAlign w:val="bottom"/>
          </w:tcPr>
          <w:p w14:paraId="640F885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93,4</w:t>
            </w:r>
          </w:p>
        </w:tc>
        <w:tc>
          <w:tcPr>
            <w:tcW w:w="289" w:type="pct"/>
            <w:vAlign w:val="bottom"/>
          </w:tcPr>
          <w:p w14:paraId="42ED3F6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93,3</w:t>
            </w:r>
          </w:p>
        </w:tc>
        <w:tc>
          <w:tcPr>
            <w:tcW w:w="289" w:type="pct"/>
            <w:vAlign w:val="bottom"/>
          </w:tcPr>
          <w:p w14:paraId="22A714B0"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93,3</w:t>
            </w:r>
          </w:p>
        </w:tc>
        <w:tc>
          <w:tcPr>
            <w:tcW w:w="289" w:type="pct"/>
            <w:vAlign w:val="bottom"/>
          </w:tcPr>
          <w:p w14:paraId="7ED1607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93,0</w:t>
            </w:r>
          </w:p>
        </w:tc>
        <w:tc>
          <w:tcPr>
            <w:tcW w:w="289" w:type="pct"/>
            <w:vAlign w:val="bottom"/>
          </w:tcPr>
          <w:p w14:paraId="416F1F8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93,1</w:t>
            </w:r>
          </w:p>
        </w:tc>
        <w:tc>
          <w:tcPr>
            <w:tcW w:w="376" w:type="pct"/>
            <w:vAlign w:val="bottom"/>
          </w:tcPr>
          <w:p w14:paraId="5F197DF2" w14:textId="77777777" w:rsidR="00DA3C9E" w:rsidRPr="000B2A78" w:rsidRDefault="00DA3C9E" w:rsidP="00B20A65">
            <w:pPr>
              <w:spacing w:before="60" w:after="60"/>
              <w:jc w:val="right"/>
              <w:rPr>
                <w:rFonts w:ascii="Times New Roman" w:hAnsi="Times New Roman"/>
                <w:color w:val="000000"/>
                <w:sz w:val="18"/>
                <w:szCs w:val="18"/>
              </w:rPr>
            </w:pPr>
            <w:r w:rsidRPr="000B2A78">
              <w:rPr>
                <w:rFonts w:ascii="Times New Roman" w:hAnsi="Times New Roman"/>
                <w:color w:val="000000"/>
                <w:sz w:val="18"/>
                <w:szCs w:val="18"/>
              </w:rPr>
              <w:t>93,0</w:t>
            </w:r>
          </w:p>
        </w:tc>
        <w:tc>
          <w:tcPr>
            <w:tcW w:w="475" w:type="pct"/>
            <w:vAlign w:val="bottom"/>
          </w:tcPr>
          <w:p w14:paraId="70018913" w14:textId="77777777" w:rsidR="00DA3C9E" w:rsidRPr="000B2A78" w:rsidRDefault="00DA3C9E" w:rsidP="00B20A65">
            <w:pPr>
              <w:spacing w:before="60" w:after="60"/>
              <w:jc w:val="center"/>
              <w:rPr>
                <w:rFonts w:ascii="Times New Roman" w:hAnsi="Times New Roman"/>
                <w:color w:val="000000"/>
                <w:sz w:val="18"/>
                <w:szCs w:val="18"/>
              </w:rPr>
            </w:pPr>
            <w:r w:rsidRPr="000B2A78">
              <w:rPr>
                <w:rFonts w:ascii="Times New Roman" w:hAnsi="Times New Roman"/>
                <w:color w:val="000000"/>
                <w:sz w:val="18"/>
                <w:szCs w:val="18"/>
              </w:rPr>
              <w:t>616800</w:t>
            </w:r>
          </w:p>
        </w:tc>
        <w:tc>
          <w:tcPr>
            <w:tcW w:w="475" w:type="pct"/>
            <w:vAlign w:val="bottom"/>
          </w:tcPr>
          <w:p w14:paraId="05F487C8" w14:textId="77777777" w:rsidR="00DA3C9E" w:rsidRPr="000B2A78" w:rsidRDefault="00DA3C9E" w:rsidP="00B20A65">
            <w:pPr>
              <w:spacing w:before="60" w:after="60"/>
              <w:jc w:val="center"/>
              <w:rPr>
                <w:rFonts w:ascii="Times New Roman" w:hAnsi="Times New Roman"/>
                <w:color w:val="000000"/>
                <w:sz w:val="18"/>
                <w:szCs w:val="18"/>
              </w:rPr>
            </w:pPr>
            <w:r w:rsidRPr="000B2A78">
              <w:rPr>
                <w:rFonts w:ascii="Times New Roman" w:hAnsi="Times New Roman"/>
                <w:color w:val="000000"/>
                <w:sz w:val="18"/>
                <w:szCs w:val="18"/>
              </w:rPr>
              <w:t>573600</w:t>
            </w:r>
          </w:p>
        </w:tc>
      </w:tr>
      <w:tr w:rsidR="00DA3C9E" w:rsidRPr="00E27566" w14:paraId="54DB5CFA" w14:textId="77777777" w:rsidTr="00EF6F89">
        <w:trPr>
          <w:trHeight w:val="113"/>
        </w:trPr>
        <w:tc>
          <w:tcPr>
            <w:tcW w:w="807" w:type="pct"/>
            <w:vAlign w:val="bottom"/>
          </w:tcPr>
          <w:p w14:paraId="3ACF3B87" w14:textId="77777777" w:rsidR="00DA3C9E" w:rsidRPr="00E27566" w:rsidRDefault="00DA3C9E" w:rsidP="00B20A65">
            <w:pPr>
              <w:spacing w:before="60" w:after="60"/>
              <w:rPr>
                <w:rFonts w:ascii="Times New Roman" w:eastAsia="Arial Unicode MS" w:hAnsi="Times New Roman"/>
                <w:sz w:val="18"/>
                <w:szCs w:val="18"/>
              </w:rPr>
            </w:pPr>
            <w:r w:rsidRPr="00E27566">
              <w:rPr>
                <w:rFonts w:ascii="Times New Roman" w:hAnsi="Times New Roman"/>
                <w:sz w:val="18"/>
                <w:szCs w:val="18"/>
              </w:rPr>
              <w:t>Herav skoleverket</w:t>
            </w:r>
          </w:p>
        </w:tc>
        <w:tc>
          <w:tcPr>
            <w:tcW w:w="271" w:type="pct"/>
            <w:vAlign w:val="bottom"/>
          </w:tcPr>
          <w:p w14:paraId="3B2B7798"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96,6</w:t>
            </w:r>
          </w:p>
        </w:tc>
        <w:tc>
          <w:tcPr>
            <w:tcW w:w="288" w:type="pct"/>
            <w:vAlign w:val="bottom"/>
          </w:tcPr>
          <w:p w14:paraId="0D97DBFC"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96,6</w:t>
            </w:r>
          </w:p>
        </w:tc>
        <w:tc>
          <w:tcPr>
            <w:tcW w:w="288" w:type="pct"/>
            <w:vAlign w:val="bottom"/>
          </w:tcPr>
          <w:p w14:paraId="15DF1D4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96,5</w:t>
            </w:r>
          </w:p>
        </w:tc>
        <w:tc>
          <w:tcPr>
            <w:tcW w:w="288" w:type="pct"/>
            <w:tcBorders>
              <w:right w:val="single" w:sz="4" w:space="0" w:color="auto"/>
            </w:tcBorders>
            <w:vAlign w:val="bottom"/>
          </w:tcPr>
          <w:p w14:paraId="2B71FDC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97,0</w:t>
            </w:r>
          </w:p>
        </w:tc>
        <w:tc>
          <w:tcPr>
            <w:tcW w:w="288" w:type="pct"/>
            <w:tcBorders>
              <w:left w:val="single" w:sz="4" w:space="0" w:color="auto"/>
            </w:tcBorders>
            <w:vAlign w:val="bottom"/>
          </w:tcPr>
          <w:p w14:paraId="4F20EFB1"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97,0</w:t>
            </w:r>
          </w:p>
        </w:tc>
        <w:tc>
          <w:tcPr>
            <w:tcW w:w="289" w:type="pct"/>
            <w:vAlign w:val="bottom"/>
          </w:tcPr>
          <w:p w14:paraId="3D982893"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97,1</w:t>
            </w:r>
          </w:p>
        </w:tc>
        <w:tc>
          <w:tcPr>
            <w:tcW w:w="289" w:type="pct"/>
            <w:vAlign w:val="bottom"/>
          </w:tcPr>
          <w:p w14:paraId="11596FF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97,2</w:t>
            </w:r>
          </w:p>
        </w:tc>
        <w:tc>
          <w:tcPr>
            <w:tcW w:w="289" w:type="pct"/>
            <w:vAlign w:val="bottom"/>
          </w:tcPr>
          <w:p w14:paraId="2F29F58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97,3</w:t>
            </w:r>
          </w:p>
        </w:tc>
        <w:tc>
          <w:tcPr>
            <w:tcW w:w="289" w:type="pct"/>
            <w:vAlign w:val="bottom"/>
          </w:tcPr>
          <w:p w14:paraId="77BE2EB6"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97,2</w:t>
            </w:r>
          </w:p>
        </w:tc>
        <w:tc>
          <w:tcPr>
            <w:tcW w:w="289" w:type="pct"/>
            <w:vAlign w:val="bottom"/>
          </w:tcPr>
          <w:p w14:paraId="5612EC0F"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97,6</w:t>
            </w:r>
          </w:p>
        </w:tc>
        <w:tc>
          <w:tcPr>
            <w:tcW w:w="376" w:type="pct"/>
            <w:vAlign w:val="bottom"/>
          </w:tcPr>
          <w:p w14:paraId="2EF6E3AD"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98,0</w:t>
            </w:r>
          </w:p>
        </w:tc>
        <w:tc>
          <w:tcPr>
            <w:tcW w:w="475" w:type="pct"/>
            <w:vAlign w:val="bottom"/>
          </w:tcPr>
          <w:p w14:paraId="508930B9"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586 800</w:t>
            </w:r>
          </w:p>
        </w:tc>
        <w:tc>
          <w:tcPr>
            <w:tcW w:w="475" w:type="pct"/>
            <w:vAlign w:val="bottom"/>
          </w:tcPr>
          <w:p w14:paraId="3A1F10FC"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574 800</w:t>
            </w:r>
          </w:p>
        </w:tc>
      </w:tr>
      <w:tr w:rsidR="00DA3C9E" w:rsidRPr="00E27566" w14:paraId="341C4EF2" w14:textId="77777777" w:rsidTr="00EF6F89">
        <w:trPr>
          <w:trHeight w:val="113"/>
        </w:trPr>
        <w:tc>
          <w:tcPr>
            <w:tcW w:w="807" w:type="pct"/>
            <w:tcBorders>
              <w:bottom w:val="single" w:sz="4" w:space="0" w:color="auto"/>
            </w:tcBorders>
            <w:vAlign w:val="bottom"/>
          </w:tcPr>
          <w:p w14:paraId="7E8ABCF5" w14:textId="77777777" w:rsidR="00DA3C9E" w:rsidRPr="00E27566" w:rsidRDefault="00DA3C9E" w:rsidP="00B20A65">
            <w:pPr>
              <w:spacing w:before="60" w:after="60"/>
              <w:rPr>
                <w:rFonts w:ascii="Times New Roman" w:hAnsi="Times New Roman"/>
                <w:sz w:val="18"/>
                <w:szCs w:val="18"/>
                <w:vertAlign w:val="superscript"/>
              </w:rPr>
            </w:pPr>
            <w:r w:rsidRPr="00E27566">
              <w:rPr>
                <w:rFonts w:ascii="Times New Roman" w:hAnsi="Times New Roman"/>
                <w:sz w:val="18"/>
                <w:szCs w:val="18"/>
              </w:rPr>
              <w:t>Helseforetak</w:t>
            </w:r>
          </w:p>
        </w:tc>
        <w:tc>
          <w:tcPr>
            <w:tcW w:w="271" w:type="pct"/>
            <w:tcBorders>
              <w:bottom w:val="single" w:sz="4" w:space="0" w:color="auto"/>
            </w:tcBorders>
            <w:vAlign w:val="bottom"/>
          </w:tcPr>
          <w:p w14:paraId="2B7FF08D"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78,4</w:t>
            </w:r>
          </w:p>
        </w:tc>
        <w:tc>
          <w:tcPr>
            <w:tcW w:w="288" w:type="pct"/>
            <w:tcBorders>
              <w:bottom w:val="single" w:sz="4" w:space="0" w:color="auto"/>
            </w:tcBorders>
            <w:vAlign w:val="bottom"/>
          </w:tcPr>
          <w:p w14:paraId="663C1A4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78,6</w:t>
            </w:r>
          </w:p>
        </w:tc>
        <w:tc>
          <w:tcPr>
            <w:tcW w:w="288" w:type="pct"/>
            <w:tcBorders>
              <w:bottom w:val="single" w:sz="4" w:space="0" w:color="auto"/>
            </w:tcBorders>
            <w:vAlign w:val="bottom"/>
          </w:tcPr>
          <w:p w14:paraId="2AC8F374"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78,5</w:t>
            </w:r>
          </w:p>
        </w:tc>
        <w:tc>
          <w:tcPr>
            <w:tcW w:w="288" w:type="pct"/>
            <w:tcBorders>
              <w:bottom w:val="single" w:sz="4" w:space="0" w:color="auto"/>
              <w:right w:val="single" w:sz="4" w:space="0" w:color="auto"/>
            </w:tcBorders>
            <w:vAlign w:val="bottom"/>
          </w:tcPr>
          <w:p w14:paraId="7A3084ED"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79,4</w:t>
            </w:r>
          </w:p>
        </w:tc>
        <w:tc>
          <w:tcPr>
            <w:tcW w:w="288" w:type="pct"/>
            <w:tcBorders>
              <w:left w:val="single" w:sz="4" w:space="0" w:color="auto"/>
              <w:bottom w:val="single" w:sz="4" w:space="0" w:color="auto"/>
            </w:tcBorders>
            <w:vAlign w:val="bottom"/>
          </w:tcPr>
          <w:p w14:paraId="3268657E"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79,4</w:t>
            </w:r>
          </w:p>
        </w:tc>
        <w:tc>
          <w:tcPr>
            <w:tcW w:w="289" w:type="pct"/>
            <w:tcBorders>
              <w:bottom w:val="single" w:sz="4" w:space="0" w:color="auto"/>
            </w:tcBorders>
            <w:vAlign w:val="bottom"/>
          </w:tcPr>
          <w:p w14:paraId="6A0A741A"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78,8</w:t>
            </w:r>
          </w:p>
        </w:tc>
        <w:tc>
          <w:tcPr>
            <w:tcW w:w="289" w:type="pct"/>
            <w:tcBorders>
              <w:bottom w:val="single" w:sz="4" w:space="0" w:color="auto"/>
            </w:tcBorders>
            <w:vAlign w:val="bottom"/>
          </w:tcPr>
          <w:p w14:paraId="2E1507C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79,0</w:t>
            </w:r>
          </w:p>
        </w:tc>
        <w:tc>
          <w:tcPr>
            <w:tcW w:w="289" w:type="pct"/>
            <w:tcBorders>
              <w:bottom w:val="single" w:sz="4" w:space="0" w:color="auto"/>
            </w:tcBorders>
            <w:vAlign w:val="bottom"/>
          </w:tcPr>
          <w:p w14:paraId="77D81A35"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79,9</w:t>
            </w:r>
          </w:p>
        </w:tc>
        <w:tc>
          <w:tcPr>
            <w:tcW w:w="289" w:type="pct"/>
            <w:tcBorders>
              <w:bottom w:val="single" w:sz="4" w:space="0" w:color="auto"/>
            </w:tcBorders>
            <w:vAlign w:val="bottom"/>
          </w:tcPr>
          <w:p w14:paraId="387256F2"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80,7</w:t>
            </w:r>
          </w:p>
        </w:tc>
        <w:tc>
          <w:tcPr>
            <w:tcW w:w="289" w:type="pct"/>
            <w:tcBorders>
              <w:bottom w:val="single" w:sz="4" w:space="0" w:color="auto"/>
            </w:tcBorders>
            <w:vAlign w:val="bottom"/>
          </w:tcPr>
          <w:p w14:paraId="157E46C7" w14:textId="77777777" w:rsidR="00DA3C9E" w:rsidRPr="00E27566" w:rsidRDefault="00DA3C9E" w:rsidP="00B20A65">
            <w:pPr>
              <w:spacing w:before="60" w:after="60"/>
              <w:jc w:val="right"/>
              <w:rPr>
                <w:rFonts w:ascii="Times New Roman" w:hAnsi="Times New Roman"/>
                <w:sz w:val="18"/>
                <w:szCs w:val="18"/>
              </w:rPr>
            </w:pPr>
            <w:r w:rsidRPr="00E27566">
              <w:rPr>
                <w:rFonts w:ascii="Times New Roman" w:hAnsi="Times New Roman"/>
                <w:sz w:val="18"/>
                <w:szCs w:val="18"/>
              </w:rPr>
              <w:t>80,4</w:t>
            </w:r>
          </w:p>
        </w:tc>
        <w:tc>
          <w:tcPr>
            <w:tcW w:w="376" w:type="pct"/>
            <w:tcBorders>
              <w:bottom w:val="single" w:sz="4" w:space="0" w:color="auto"/>
            </w:tcBorders>
            <w:vAlign w:val="bottom"/>
          </w:tcPr>
          <w:p w14:paraId="286DF100" w14:textId="77777777" w:rsidR="00DA3C9E" w:rsidRPr="00E27566" w:rsidRDefault="00DA3C9E" w:rsidP="00B20A65">
            <w:pPr>
              <w:spacing w:before="60" w:after="60"/>
              <w:jc w:val="right"/>
              <w:rPr>
                <w:rFonts w:ascii="Times New Roman" w:hAnsi="Times New Roman"/>
                <w:color w:val="000000"/>
                <w:sz w:val="18"/>
                <w:szCs w:val="18"/>
              </w:rPr>
            </w:pPr>
            <w:r w:rsidRPr="00E27566">
              <w:rPr>
                <w:rFonts w:ascii="Times New Roman" w:hAnsi="Times New Roman"/>
                <w:color w:val="000000"/>
                <w:sz w:val="18"/>
                <w:szCs w:val="18"/>
              </w:rPr>
              <w:t>80,7</w:t>
            </w:r>
          </w:p>
        </w:tc>
        <w:tc>
          <w:tcPr>
            <w:tcW w:w="475" w:type="pct"/>
            <w:tcBorders>
              <w:bottom w:val="single" w:sz="4" w:space="0" w:color="auto"/>
            </w:tcBorders>
            <w:vAlign w:val="bottom"/>
          </w:tcPr>
          <w:p w14:paraId="1CC34307"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841 200</w:t>
            </w:r>
          </w:p>
        </w:tc>
        <w:tc>
          <w:tcPr>
            <w:tcW w:w="475" w:type="pct"/>
            <w:tcBorders>
              <w:bottom w:val="single" w:sz="4" w:space="0" w:color="auto"/>
            </w:tcBorders>
            <w:vAlign w:val="bottom"/>
          </w:tcPr>
          <w:p w14:paraId="09EF1599" w14:textId="77777777" w:rsidR="00DA3C9E" w:rsidRPr="00E27566" w:rsidRDefault="00DA3C9E" w:rsidP="00B20A65">
            <w:pPr>
              <w:spacing w:before="60" w:after="60"/>
              <w:jc w:val="center"/>
              <w:rPr>
                <w:rFonts w:ascii="Times New Roman" w:hAnsi="Times New Roman"/>
                <w:color w:val="000000"/>
                <w:sz w:val="18"/>
                <w:szCs w:val="18"/>
              </w:rPr>
            </w:pPr>
            <w:r w:rsidRPr="00E27566">
              <w:rPr>
                <w:rFonts w:ascii="Times New Roman" w:hAnsi="Times New Roman"/>
                <w:color w:val="000000"/>
                <w:sz w:val="18"/>
                <w:szCs w:val="18"/>
              </w:rPr>
              <w:t>679 200</w:t>
            </w:r>
          </w:p>
        </w:tc>
      </w:tr>
    </w:tbl>
    <w:p w14:paraId="3D0D74E1" w14:textId="77777777" w:rsidR="00DA3C9E" w:rsidRPr="00574AD5" w:rsidRDefault="00DA3C9E" w:rsidP="006E305B">
      <w:pPr>
        <w:pStyle w:val="Nummerertliste"/>
        <w:numPr>
          <w:ilvl w:val="0"/>
          <w:numId w:val="42"/>
        </w:numPr>
        <w:spacing w:after="0"/>
        <w:rPr>
          <w:sz w:val="20"/>
        </w:rPr>
      </w:pPr>
      <w:r w:rsidRPr="00574AD5">
        <w:rPr>
          <w:sz w:val="20"/>
        </w:rPr>
        <w:t>Endrede definisjoner på utdanningsnivåene fra og med 2005. I forhold til tidligere statistikk er det noen flere som har grunnskole og noen færre som har videregående skole som høyeste utdanning.</w:t>
      </w:r>
    </w:p>
    <w:p w14:paraId="4849A2D8" w14:textId="77777777" w:rsidR="00DA3C9E" w:rsidRPr="00574AD5" w:rsidRDefault="00DA3C9E" w:rsidP="006E305B">
      <w:pPr>
        <w:pStyle w:val="Nummerertliste"/>
        <w:numPr>
          <w:ilvl w:val="0"/>
          <w:numId w:val="42"/>
        </w:numPr>
        <w:rPr>
          <w:sz w:val="20"/>
        </w:rPr>
      </w:pPr>
      <w:r w:rsidRPr="00574AD5">
        <w:rPr>
          <w:sz w:val="20"/>
        </w:rPr>
        <w:t xml:space="preserve">Ansatte i kraftforsyning og vann og avløp er ikke med i statistikkgrunnlaget. </w:t>
      </w:r>
    </w:p>
    <w:p w14:paraId="4BF920C5" w14:textId="77777777" w:rsidR="00DA3C9E" w:rsidRPr="00574AD5" w:rsidRDefault="00DA3C9E" w:rsidP="006E305B">
      <w:pPr>
        <w:pStyle w:val="Nummerertliste"/>
        <w:numPr>
          <w:ilvl w:val="0"/>
          <w:numId w:val="42"/>
        </w:numPr>
        <w:rPr>
          <w:sz w:val="20"/>
        </w:rPr>
      </w:pPr>
      <w:r w:rsidRPr="00574AD5">
        <w:rPr>
          <w:sz w:val="20"/>
        </w:rPr>
        <w:t>Tallene er beregnet etter ny næringsstandard fra og med 2008.</w:t>
      </w:r>
    </w:p>
    <w:p w14:paraId="2F6AF96A" w14:textId="77777777" w:rsidR="00DA3C9E" w:rsidRDefault="00DA3C9E" w:rsidP="006E305B">
      <w:pPr>
        <w:pStyle w:val="Nummerertliste"/>
        <w:numPr>
          <w:ilvl w:val="0"/>
          <w:numId w:val="42"/>
        </w:numPr>
        <w:rPr>
          <w:sz w:val="20"/>
        </w:rPr>
      </w:pPr>
      <w:r w:rsidRPr="00574AD5">
        <w:rPr>
          <w:sz w:val="20"/>
        </w:rPr>
        <w:t xml:space="preserve">Tallene for 2012 </w:t>
      </w:r>
      <w:r>
        <w:rPr>
          <w:sz w:val="20"/>
        </w:rPr>
        <w:t>-</w:t>
      </w:r>
      <w:r w:rsidRPr="00574AD5">
        <w:rPr>
          <w:sz w:val="20"/>
        </w:rPr>
        <w:t xml:space="preserve"> 201</w:t>
      </w:r>
      <w:r>
        <w:rPr>
          <w:sz w:val="20"/>
        </w:rPr>
        <w:t>4</w:t>
      </w:r>
      <w:r w:rsidRPr="00574AD5">
        <w:rPr>
          <w:sz w:val="20"/>
        </w:rPr>
        <w:t xml:space="preserve"> inkluderer nye opplysninger fra </w:t>
      </w:r>
      <w:r w:rsidR="00573205">
        <w:rPr>
          <w:sz w:val="20"/>
        </w:rPr>
        <w:t>Statistisk sentralbyrå</w:t>
      </w:r>
      <w:r w:rsidRPr="00574AD5">
        <w:rPr>
          <w:sz w:val="20"/>
        </w:rPr>
        <w:t>s spørreundersøkelse om innvandreres utdanningslengde. Det er et brudd i tallserien mellom 2011 og 2012.</w:t>
      </w:r>
    </w:p>
    <w:p w14:paraId="35EF14CD" w14:textId="77777777" w:rsidR="00FA152E" w:rsidRPr="00FA152E" w:rsidRDefault="00FA152E" w:rsidP="00FA152E">
      <w:pPr>
        <w:rPr>
          <w:sz w:val="20"/>
        </w:rPr>
      </w:pPr>
      <w:r w:rsidRPr="00FA152E">
        <w:rPr>
          <w:sz w:val="20"/>
        </w:rPr>
        <w:t>Kilde: Statistisk sentralbyrå</w:t>
      </w:r>
      <w:r w:rsidRPr="00FA152E">
        <w:rPr>
          <w:sz w:val="20"/>
        </w:rPr>
        <w:br w:type="page"/>
      </w:r>
    </w:p>
    <w:p w14:paraId="2FFDC647" w14:textId="5F44F068" w:rsidR="00DA3C9E" w:rsidRPr="00371D17" w:rsidRDefault="00DA3C9E" w:rsidP="00DA3C9E">
      <w:r>
        <w:t>T</w:t>
      </w:r>
      <w:r w:rsidRPr="00371D17">
        <w:t xml:space="preserve">abell </w:t>
      </w:r>
      <w:r w:rsidR="0009043D">
        <w:t>2.4</w:t>
      </w:r>
      <w:r w:rsidRPr="00371D17">
        <w:t xml:space="preserve"> Kvinners gjennomsnittslønn per dato</w:t>
      </w:r>
      <w:r w:rsidRPr="00371D17">
        <w:rPr>
          <w:sz w:val="18"/>
          <w:szCs w:val="18"/>
          <w:vertAlign w:val="superscript"/>
        </w:rPr>
        <w:t>1</w:t>
      </w:r>
      <w:r w:rsidRPr="00371D17">
        <w:t xml:space="preserve">i forhold til menns etter lengste utdanning per 1.9/1.10/1.12. Heltids- og deltidsansatte hvor deltid er omgjort til heltidsekvivalenter </w:t>
      </w:r>
    </w:p>
    <w:tbl>
      <w:tblPr>
        <w:tblW w:w="4620" w:type="pct"/>
        <w:tblLayout w:type="fixed"/>
        <w:tblCellMar>
          <w:left w:w="28" w:type="dxa"/>
          <w:right w:w="28" w:type="dxa"/>
        </w:tblCellMar>
        <w:tblLook w:val="0000" w:firstRow="0" w:lastRow="0" w:firstColumn="0" w:lastColumn="0" w:noHBand="0" w:noVBand="0"/>
      </w:tblPr>
      <w:tblGrid>
        <w:gridCol w:w="1579"/>
        <w:gridCol w:w="422"/>
        <w:gridCol w:w="432"/>
        <w:gridCol w:w="501"/>
        <w:gridCol w:w="500"/>
        <w:gridCol w:w="501"/>
        <w:gridCol w:w="500"/>
        <w:gridCol w:w="501"/>
        <w:gridCol w:w="500"/>
        <w:gridCol w:w="501"/>
        <w:gridCol w:w="500"/>
        <w:gridCol w:w="501"/>
        <w:gridCol w:w="704"/>
        <w:gridCol w:w="739"/>
      </w:tblGrid>
      <w:tr w:rsidR="00FA152E" w:rsidRPr="00EE118B" w14:paraId="32B5BE5E" w14:textId="77777777" w:rsidTr="00E9117A">
        <w:trPr>
          <w:trHeight w:val="291"/>
        </w:trPr>
        <w:tc>
          <w:tcPr>
            <w:tcW w:w="942" w:type="pct"/>
            <w:tcBorders>
              <w:top w:val="single" w:sz="4" w:space="0" w:color="auto"/>
            </w:tcBorders>
            <w:vAlign w:val="bottom"/>
          </w:tcPr>
          <w:p w14:paraId="35AC6869" w14:textId="77777777" w:rsidR="00FA152E" w:rsidRPr="00EE118B" w:rsidRDefault="00FA152E" w:rsidP="00B20A65">
            <w:pPr>
              <w:spacing w:after="0"/>
              <w:rPr>
                <w:sz w:val="18"/>
                <w:szCs w:val="18"/>
              </w:rPr>
            </w:pPr>
          </w:p>
        </w:tc>
        <w:tc>
          <w:tcPr>
            <w:tcW w:w="252" w:type="pct"/>
            <w:tcBorders>
              <w:top w:val="single" w:sz="4" w:space="0" w:color="auto"/>
            </w:tcBorders>
            <w:vAlign w:val="bottom"/>
          </w:tcPr>
          <w:p w14:paraId="322E5D16" w14:textId="77777777" w:rsidR="00FA152E" w:rsidRPr="00EE118B" w:rsidRDefault="00FA152E" w:rsidP="00B20A65">
            <w:pPr>
              <w:spacing w:after="0"/>
              <w:ind w:right="-71"/>
              <w:rPr>
                <w:sz w:val="18"/>
                <w:szCs w:val="18"/>
              </w:rPr>
            </w:pPr>
          </w:p>
        </w:tc>
        <w:tc>
          <w:tcPr>
            <w:tcW w:w="258" w:type="pct"/>
            <w:tcBorders>
              <w:top w:val="single" w:sz="4" w:space="0" w:color="auto"/>
            </w:tcBorders>
            <w:vAlign w:val="bottom"/>
          </w:tcPr>
          <w:p w14:paraId="37B5DFC5" w14:textId="77777777" w:rsidR="00FA152E" w:rsidRPr="00EE118B" w:rsidRDefault="00FA152E" w:rsidP="00B20A65">
            <w:pPr>
              <w:spacing w:after="0"/>
              <w:rPr>
                <w:sz w:val="18"/>
                <w:szCs w:val="18"/>
              </w:rPr>
            </w:pPr>
          </w:p>
        </w:tc>
        <w:tc>
          <w:tcPr>
            <w:tcW w:w="299" w:type="pct"/>
            <w:tcBorders>
              <w:top w:val="single" w:sz="4" w:space="0" w:color="auto"/>
            </w:tcBorders>
            <w:vAlign w:val="bottom"/>
          </w:tcPr>
          <w:p w14:paraId="57566D0B" w14:textId="77777777" w:rsidR="00FA152E" w:rsidRPr="00EE118B" w:rsidRDefault="00FA152E" w:rsidP="00B20A65">
            <w:pPr>
              <w:spacing w:after="0"/>
              <w:rPr>
                <w:sz w:val="18"/>
                <w:szCs w:val="18"/>
              </w:rPr>
            </w:pPr>
          </w:p>
        </w:tc>
        <w:tc>
          <w:tcPr>
            <w:tcW w:w="298" w:type="pct"/>
            <w:tcBorders>
              <w:top w:val="single" w:sz="4" w:space="0" w:color="auto"/>
            </w:tcBorders>
            <w:vAlign w:val="bottom"/>
          </w:tcPr>
          <w:p w14:paraId="29A22F17" w14:textId="77777777" w:rsidR="00FA152E" w:rsidRPr="00EE118B" w:rsidRDefault="00FA152E" w:rsidP="00B20A65">
            <w:pPr>
              <w:spacing w:after="0"/>
              <w:rPr>
                <w:sz w:val="18"/>
                <w:szCs w:val="18"/>
              </w:rPr>
            </w:pPr>
          </w:p>
        </w:tc>
        <w:tc>
          <w:tcPr>
            <w:tcW w:w="299" w:type="pct"/>
            <w:tcBorders>
              <w:top w:val="single" w:sz="4" w:space="0" w:color="auto"/>
            </w:tcBorders>
            <w:vAlign w:val="bottom"/>
          </w:tcPr>
          <w:p w14:paraId="4DF55501" w14:textId="77777777" w:rsidR="00FA152E" w:rsidRPr="00EE118B" w:rsidRDefault="00FA152E" w:rsidP="00B20A65">
            <w:pPr>
              <w:spacing w:after="0"/>
              <w:ind w:right="-212"/>
              <w:jc w:val="center"/>
              <w:rPr>
                <w:sz w:val="18"/>
                <w:szCs w:val="18"/>
              </w:rPr>
            </w:pPr>
          </w:p>
        </w:tc>
        <w:tc>
          <w:tcPr>
            <w:tcW w:w="298" w:type="pct"/>
            <w:tcBorders>
              <w:top w:val="single" w:sz="4" w:space="0" w:color="auto"/>
            </w:tcBorders>
            <w:vAlign w:val="bottom"/>
          </w:tcPr>
          <w:p w14:paraId="57CAE46C" w14:textId="77777777" w:rsidR="00FA152E" w:rsidRPr="00EE118B" w:rsidRDefault="00FA152E" w:rsidP="00B20A65">
            <w:pPr>
              <w:spacing w:after="0"/>
              <w:rPr>
                <w:sz w:val="18"/>
                <w:szCs w:val="18"/>
              </w:rPr>
            </w:pPr>
          </w:p>
        </w:tc>
        <w:tc>
          <w:tcPr>
            <w:tcW w:w="299" w:type="pct"/>
            <w:tcBorders>
              <w:top w:val="single" w:sz="4" w:space="0" w:color="auto"/>
            </w:tcBorders>
            <w:vAlign w:val="bottom"/>
          </w:tcPr>
          <w:p w14:paraId="1DA9F401" w14:textId="77777777" w:rsidR="00FA152E" w:rsidRPr="00EE118B" w:rsidRDefault="00FA152E" w:rsidP="00B20A65">
            <w:pPr>
              <w:spacing w:after="0"/>
              <w:rPr>
                <w:sz w:val="18"/>
                <w:szCs w:val="18"/>
              </w:rPr>
            </w:pPr>
          </w:p>
        </w:tc>
        <w:tc>
          <w:tcPr>
            <w:tcW w:w="298" w:type="pct"/>
            <w:tcBorders>
              <w:top w:val="single" w:sz="4" w:space="0" w:color="auto"/>
            </w:tcBorders>
            <w:vAlign w:val="bottom"/>
          </w:tcPr>
          <w:p w14:paraId="1C028C01" w14:textId="77777777" w:rsidR="00FA152E" w:rsidRPr="00EE118B" w:rsidRDefault="00FA152E" w:rsidP="00B20A65">
            <w:pPr>
              <w:spacing w:after="0"/>
              <w:rPr>
                <w:sz w:val="18"/>
                <w:szCs w:val="18"/>
              </w:rPr>
            </w:pPr>
          </w:p>
        </w:tc>
        <w:tc>
          <w:tcPr>
            <w:tcW w:w="299" w:type="pct"/>
            <w:tcBorders>
              <w:top w:val="single" w:sz="4" w:space="0" w:color="auto"/>
            </w:tcBorders>
            <w:vAlign w:val="bottom"/>
          </w:tcPr>
          <w:p w14:paraId="28C1BA56" w14:textId="77777777" w:rsidR="00FA152E" w:rsidRPr="00EE118B" w:rsidRDefault="00FA152E" w:rsidP="00B20A65">
            <w:pPr>
              <w:spacing w:after="0"/>
              <w:ind w:left="-79" w:right="-79" w:firstLine="79"/>
              <w:jc w:val="center"/>
              <w:rPr>
                <w:sz w:val="18"/>
                <w:szCs w:val="18"/>
              </w:rPr>
            </w:pPr>
          </w:p>
        </w:tc>
        <w:tc>
          <w:tcPr>
            <w:tcW w:w="298" w:type="pct"/>
            <w:tcBorders>
              <w:top w:val="single" w:sz="4" w:space="0" w:color="auto"/>
            </w:tcBorders>
          </w:tcPr>
          <w:p w14:paraId="2B164305" w14:textId="77777777" w:rsidR="00FA152E" w:rsidRPr="00EE118B" w:rsidRDefault="00FA152E" w:rsidP="00B20A65">
            <w:pPr>
              <w:spacing w:after="0"/>
              <w:ind w:left="-79" w:right="-79" w:firstLine="79"/>
              <w:jc w:val="center"/>
              <w:rPr>
                <w:sz w:val="18"/>
                <w:szCs w:val="18"/>
              </w:rPr>
            </w:pPr>
          </w:p>
        </w:tc>
        <w:tc>
          <w:tcPr>
            <w:tcW w:w="299" w:type="pct"/>
            <w:tcBorders>
              <w:top w:val="single" w:sz="4" w:space="0" w:color="auto"/>
            </w:tcBorders>
            <w:vAlign w:val="bottom"/>
          </w:tcPr>
          <w:p w14:paraId="1015DF20" w14:textId="77777777" w:rsidR="00FA152E" w:rsidRPr="00EE118B" w:rsidRDefault="00FA152E" w:rsidP="00B20A65">
            <w:pPr>
              <w:spacing w:after="0"/>
              <w:ind w:left="-79" w:right="-79" w:firstLine="79"/>
              <w:jc w:val="center"/>
              <w:rPr>
                <w:sz w:val="18"/>
                <w:szCs w:val="18"/>
              </w:rPr>
            </w:pPr>
          </w:p>
        </w:tc>
        <w:tc>
          <w:tcPr>
            <w:tcW w:w="861" w:type="pct"/>
            <w:gridSpan w:val="2"/>
            <w:tcBorders>
              <w:top w:val="single" w:sz="4" w:space="0" w:color="auto"/>
            </w:tcBorders>
            <w:vAlign w:val="bottom"/>
          </w:tcPr>
          <w:p w14:paraId="321D8CF7" w14:textId="77777777" w:rsidR="00FA152E" w:rsidRPr="00EE118B" w:rsidRDefault="00FA152E" w:rsidP="00B20A65">
            <w:pPr>
              <w:spacing w:after="0"/>
              <w:ind w:left="-79" w:right="-79" w:firstLine="79"/>
              <w:jc w:val="center"/>
              <w:rPr>
                <w:sz w:val="18"/>
                <w:szCs w:val="18"/>
              </w:rPr>
            </w:pPr>
            <w:r w:rsidRPr="00EE118B">
              <w:rPr>
                <w:sz w:val="18"/>
                <w:szCs w:val="18"/>
              </w:rPr>
              <w:t xml:space="preserve">Månedslønn per </w:t>
            </w:r>
            <w:r w:rsidRPr="00EE118B">
              <w:rPr>
                <w:sz w:val="18"/>
                <w:szCs w:val="18"/>
                <w:u w:val="single"/>
              </w:rPr>
              <w:t>dato</w:t>
            </w:r>
            <w:r w:rsidRPr="00EE118B">
              <w:rPr>
                <w:sz w:val="18"/>
                <w:szCs w:val="18"/>
                <w:u w:val="single"/>
                <w:vertAlign w:val="superscript"/>
              </w:rPr>
              <w:t>1</w:t>
            </w:r>
            <w:r w:rsidRPr="00EE118B">
              <w:rPr>
                <w:sz w:val="18"/>
                <w:szCs w:val="18"/>
                <w:u w:val="single"/>
              </w:rPr>
              <w:t>*12</w:t>
            </w:r>
          </w:p>
        </w:tc>
      </w:tr>
      <w:tr w:rsidR="00FA152E" w:rsidRPr="00EE118B" w14:paraId="375F5B31" w14:textId="77777777" w:rsidTr="00E9117A">
        <w:trPr>
          <w:trHeight w:val="282"/>
        </w:trPr>
        <w:tc>
          <w:tcPr>
            <w:tcW w:w="942" w:type="pct"/>
            <w:tcBorders>
              <w:bottom w:val="single" w:sz="4" w:space="0" w:color="auto"/>
            </w:tcBorders>
            <w:vAlign w:val="bottom"/>
          </w:tcPr>
          <w:p w14:paraId="0154DF70" w14:textId="77777777" w:rsidR="00FA152E" w:rsidRPr="00EE118B" w:rsidRDefault="00FA152E" w:rsidP="00B20A65">
            <w:pPr>
              <w:spacing w:after="0"/>
              <w:rPr>
                <w:sz w:val="18"/>
                <w:szCs w:val="18"/>
              </w:rPr>
            </w:pPr>
          </w:p>
        </w:tc>
        <w:tc>
          <w:tcPr>
            <w:tcW w:w="252" w:type="pct"/>
            <w:tcBorders>
              <w:bottom w:val="single" w:sz="4" w:space="0" w:color="auto"/>
            </w:tcBorders>
            <w:vAlign w:val="bottom"/>
          </w:tcPr>
          <w:p w14:paraId="300C8383" w14:textId="77777777" w:rsidR="00FA152E" w:rsidRPr="00EE118B" w:rsidRDefault="00FA152E" w:rsidP="00B20A65">
            <w:pPr>
              <w:spacing w:after="0"/>
              <w:ind w:right="-71"/>
              <w:rPr>
                <w:sz w:val="18"/>
                <w:szCs w:val="18"/>
              </w:rPr>
            </w:pPr>
          </w:p>
        </w:tc>
        <w:tc>
          <w:tcPr>
            <w:tcW w:w="258" w:type="pct"/>
            <w:tcBorders>
              <w:bottom w:val="single" w:sz="4" w:space="0" w:color="auto"/>
            </w:tcBorders>
            <w:vAlign w:val="bottom"/>
          </w:tcPr>
          <w:p w14:paraId="6B1DF86D" w14:textId="77777777" w:rsidR="00FA152E" w:rsidRPr="00EE118B" w:rsidRDefault="00FA152E" w:rsidP="00B20A65">
            <w:pPr>
              <w:spacing w:after="0"/>
              <w:rPr>
                <w:sz w:val="18"/>
                <w:szCs w:val="18"/>
              </w:rPr>
            </w:pPr>
          </w:p>
        </w:tc>
        <w:tc>
          <w:tcPr>
            <w:tcW w:w="299" w:type="pct"/>
            <w:tcBorders>
              <w:bottom w:val="single" w:sz="4" w:space="0" w:color="auto"/>
            </w:tcBorders>
            <w:vAlign w:val="bottom"/>
          </w:tcPr>
          <w:p w14:paraId="77D07002" w14:textId="77777777" w:rsidR="00FA152E" w:rsidRPr="00EE118B" w:rsidRDefault="00FA152E" w:rsidP="00B20A65">
            <w:pPr>
              <w:spacing w:after="0"/>
              <w:rPr>
                <w:sz w:val="18"/>
                <w:szCs w:val="18"/>
              </w:rPr>
            </w:pPr>
          </w:p>
        </w:tc>
        <w:tc>
          <w:tcPr>
            <w:tcW w:w="298" w:type="pct"/>
            <w:tcBorders>
              <w:bottom w:val="single" w:sz="4" w:space="0" w:color="auto"/>
            </w:tcBorders>
            <w:vAlign w:val="bottom"/>
          </w:tcPr>
          <w:p w14:paraId="1265EF72" w14:textId="77777777" w:rsidR="00FA152E" w:rsidRPr="00EE118B" w:rsidRDefault="00FA152E" w:rsidP="00B20A65">
            <w:pPr>
              <w:spacing w:after="0"/>
              <w:rPr>
                <w:sz w:val="18"/>
                <w:szCs w:val="18"/>
              </w:rPr>
            </w:pPr>
          </w:p>
        </w:tc>
        <w:tc>
          <w:tcPr>
            <w:tcW w:w="299" w:type="pct"/>
            <w:tcBorders>
              <w:bottom w:val="single" w:sz="4" w:space="0" w:color="auto"/>
            </w:tcBorders>
            <w:vAlign w:val="bottom"/>
          </w:tcPr>
          <w:p w14:paraId="6B9F9F7C" w14:textId="77777777" w:rsidR="00FA152E" w:rsidRPr="00EE118B" w:rsidRDefault="00FA152E" w:rsidP="00B20A65">
            <w:pPr>
              <w:spacing w:after="0"/>
              <w:ind w:right="-212"/>
              <w:jc w:val="center"/>
              <w:rPr>
                <w:sz w:val="18"/>
                <w:szCs w:val="18"/>
              </w:rPr>
            </w:pPr>
          </w:p>
        </w:tc>
        <w:tc>
          <w:tcPr>
            <w:tcW w:w="298" w:type="pct"/>
            <w:tcBorders>
              <w:bottom w:val="single" w:sz="4" w:space="0" w:color="auto"/>
            </w:tcBorders>
            <w:vAlign w:val="bottom"/>
          </w:tcPr>
          <w:p w14:paraId="65B6454A" w14:textId="77777777" w:rsidR="00FA152E" w:rsidRPr="00EE118B" w:rsidRDefault="00FA152E" w:rsidP="00B20A65">
            <w:pPr>
              <w:spacing w:after="0"/>
              <w:rPr>
                <w:sz w:val="18"/>
                <w:szCs w:val="18"/>
              </w:rPr>
            </w:pPr>
          </w:p>
        </w:tc>
        <w:tc>
          <w:tcPr>
            <w:tcW w:w="299" w:type="pct"/>
            <w:tcBorders>
              <w:bottom w:val="single" w:sz="4" w:space="0" w:color="auto"/>
            </w:tcBorders>
            <w:vAlign w:val="bottom"/>
          </w:tcPr>
          <w:p w14:paraId="1C8D21CB" w14:textId="77777777" w:rsidR="00FA152E" w:rsidRPr="00EE118B" w:rsidRDefault="00FA152E" w:rsidP="00B20A65">
            <w:pPr>
              <w:spacing w:after="0"/>
              <w:rPr>
                <w:sz w:val="18"/>
                <w:szCs w:val="18"/>
              </w:rPr>
            </w:pPr>
          </w:p>
        </w:tc>
        <w:tc>
          <w:tcPr>
            <w:tcW w:w="298" w:type="pct"/>
            <w:tcBorders>
              <w:bottom w:val="single" w:sz="4" w:space="0" w:color="auto"/>
            </w:tcBorders>
            <w:vAlign w:val="bottom"/>
          </w:tcPr>
          <w:p w14:paraId="6D563086" w14:textId="77777777" w:rsidR="00FA152E" w:rsidRPr="00EE118B" w:rsidRDefault="00FA152E" w:rsidP="00B20A65">
            <w:pPr>
              <w:spacing w:after="0"/>
              <w:rPr>
                <w:sz w:val="18"/>
                <w:szCs w:val="18"/>
              </w:rPr>
            </w:pPr>
          </w:p>
        </w:tc>
        <w:tc>
          <w:tcPr>
            <w:tcW w:w="299" w:type="pct"/>
            <w:tcBorders>
              <w:bottom w:val="single" w:sz="4" w:space="0" w:color="auto"/>
            </w:tcBorders>
            <w:vAlign w:val="bottom"/>
          </w:tcPr>
          <w:p w14:paraId="1E908555" w14:textId="77777777" w:rsidR="00FA152E" w:rsidRPr="00EE118B" w:rsidRDefault="00FA152E" w:rsidP="00B20A65">
            <w:pPr>
              <w:spacing w:after="0"/>
              <w:ind w:left="-79" w:right="-79" w:firstLine="79"/>
              <w:rPr>
                <w:sz w:val="18"/>
                <w:szCs w:val="18"/>
              </w:rPr>
            </w:pPr>
          </w:p>
        </w:tc>
        <w:tc>
          <w:tcPr>
            <w:tcW w:w="298" w:type="pct"/>
            <w:tcBorders>
              <w:bottom w:val="single" w:sz="4" w:space="0" w:color="auto"/>
            </w:tcBorders>
          </w:tcPr>
          <w:p w14:paraId="2957E313" w14:textId="77777777" w:rsidR="00FA152E" w:rsidRPr="00EE118B" w:rsidRDefault="00FA152E" w:rsidP="00B20A65">
            <w:pPr>
              <w:spacing w:after="0"/>
              <w:ind w:left="-79" w:right="-79" w:firstLine="79"/>
              <w:rPr>
                <w:sz w:val="18"/>
                <w:szCs w:val="18"/>
              </w:rPr>
            </w:pPr>
          </w:p>
        </w:tc>
        <w:tc>
          <w:tcPr>
            <w:tcW w:w="299" w:type="pct"/>
            <w:tcBorders>
              <w:bottom w:val="single" w:sz="4" w:space="0" w:color="auto"/>
            </w:tcBorders>
            <w:vAlign w:val="bottom"/>
          </w:tcPr>
          <w:p w14:paraId="2BAF1789" w14:textId="77777777" w:rsidR="00FA152E" w:rsidRPr="00EE118B" w:rsidRDefault="00FA152E" w:rsidP="00B20A65">
            <w:pPr>
              <w:spacing w:after="0"/>
              <w:ind w:left="-79" w:right="-79" w:firstLine="79"/>
              <w:rPr>
                <w:sz w:val="18"/>
                <w:szCs w:val="18"/>
              </w:rPr>
            </w:pPr>
          </w:p>
        </w:tc>
        <w:tc>
          <w:tcPr>
            <w:tcW w:w="420" w:type="pct"/>
            <w:tcBorders>
              <w:bottom w:val="single" w:sz="4" w:space="0" w:color="auto"/>
            </w:tcBorders>
            <w:vAlign w:val="bottom"/>
          </w:tcPr>
          <w:p w14:paraId="7726AF1E" w14:textId="77777777" w:rsidR="00FA152E" w:rsidRPr="00EE118B" w:rsidRDefault="00FA152E" w:rsidP="00B20A65">
            <w:pPr>
              <w:spacing w:after="0"/>
              <w:ind w:left="-79" w:right="-79"/>
              <w:jc w:val="center"/>
              <w:rPr>
                <w:sz w:val="18"/>
                <w:szCs w:val="18"/>
              </w:rPr>
            </w:pPr>
            <w:r w:rsidRPr="00EE118B">
              <w:rPr>
                <w:sz w:val="18"/>
                <w:szCs w:val="18"/>
              </w:rPr>
              <w:t>Menn</w:t>
            </w:r>
          </w:p>
        </w:tc>
        <w:tc>
          <w:tcPr>
            <w:tcW w:w="441" w:type="pct"/>
            <w:tcBorders>
              <w:bottom w:val="single" w:sz="4" w:space="0" w:color="auto"/>
            </w:tcBorders>
            <w:vAlign w:val="bottom"/>
          </w:tcPr>
          <w:p w14:paraId="221915A0" w14:textId="77777777" w:rsidR="00FA152E" w:rsidRPr="00EE118B" w:rsidRDefault="00FA152E" w:rsidP="00B20A65">
            <w:pPr>
              <w:spacing w:after="0"/>
              <w:ind w:left="-79" w:right="-79"/>
              <w:jc w:val="center"/>
              <w:rPr>
                <w:sz w:val="18"/>
                <w:szCs w:val="18"/>
              </w:rPr>
            </w:pPr>
            <w:r w:rsidRPr="00EE118B">
              <w:rPr>
                <w:sz w:val="18"/>
                <w:szCs w:val="18"/>
              </w:rPr>
              <w:t>Kvinner</w:t>
            </w:r>
          </w:p>
        </w:tc>
      </w:tr>
      <w:tr w:rsidR="00FA152E" w:rsidRPr="00EE118B" w14:paraId="357173FB" w14:textId="77777777" w:rsidTr="00E9117A">
        <w:trPr>
          <w:trHeight w:val="325"/>
        </w:trPr>
        <w:tc>
          <w:tcPr>
            <w:tcW w:w="942" w:type="pct"/>
            <w:tcBorders>
              <w:top w:val="single" w:sz="4" w:space="0" w:color="auto"/>
              <w:bottom w:val="single" w:sz="4" w:space="0" w:color="auto"/>
            </w:tcBorders>
            <w:vAlign w:val="bottom"/>
          </w:tcPr>
          <w:p w14:paraId="603A25E4" w14:textId="77777777" w:rsidR="00FA152E" w:rsidRPr="00EE118B" w:rsidRDefault="00FA152E" w:rsidP="00B20A65">
            <w:pPr>
              <w:spacing w:after="0"/>
              <w:jc w:val="right"/>
              <w:rPr>
                <w:sz w:val="18"/>
                <w:szCs w:val="18"/>
              </w:rPr>
            </w:pPr>
          </w:p>
        </w:tc>
        <w:tc>
          <w:tcPr>
            <w:tcW w:w="252" w:type="pct"/>
            <w:tcBorders>
              <w:top w:val="single" w:sz="4" w:space="0" w:color="auto"/>
              <w:bottom w:val="single" w:sz="4" w:space="0" w:color="auto"/>
            </w:tcBorders>
            <w:vAlign w:val="bottom"/>
          </w:tcPr>
          <w:p w14:paraId="31CC736C" w14:textId="77777777" w:rsidR="00FA152E" w:rsidRPr="00EE118B" w:rsidRDefault="00FA152E" w:rsidP="00B20A65">
            <w:pPr>
              <w:spacing w:after="0"/>
              <w:ind w:right="-71"/>
              <w:jc w:val="right"/>
              <w:rPr>
                <w:sz w:val="18"/>
                <w:szCs w:val="18"/>
                <w:vertAlign w:val="superscript"/>
              </w:rPr>
            </w:pPr>
            <w:r w:rsidRPr="00EE118B">
              <w:rPr>
                <w:sz w:val="18"/>
                <w:szCs w:val="18"/>
              </w:rPr>
              <w:t>2005</w:t>
            </w:r>
            <w:r w:rsidRPr="00EE118B">
              <w:rPr>
                <w:sz w:val="18"/>
                <w:szCs w:val="18"/>
                <w:vertAlign w:val="superscript"/>
              </w:rPr>
              <w:t>3</w:t>
            </w:r>
          </w:p>
        </w:tc>
        <w:tc>
          <w:tcPr>
            <w:tcW w:w="258" w:type="pct"/>
            <w:tcBorders>
              <w:top w:val="single" w:sz="4" w:space="0" w:color="auto"/>
              <w:bottom w:val="single" w:sz="4" w:space="0" w:color="auto"/>
            </w:tcBorders>
            <w:vAlign w:val="bottom"/>
          </w:tcPr>
          <w:p w14:paraId="0B74B6AD" w14:textId="77777777" w:rsidR="00FA152E" w:rsidRPr="00EE118B" w:rsidRDefault="00FA152E" w:rsidP="00B20A65">
            <w:pPr>
              <w:spacing w:after="0"/>
              <w:jc w:val="right"/>
              <w:rPr>
                <w:sz w:val="18"/>
                <w:szCs w:val="18"/>
                <w:vertAlign w:val="superscript"/>
              </w:rPr>
            </w:pPr>
            <w:r w:rsidRPr="00EE118B">
              <w:rPr>
                <w:sz w:val="18"/>
                <w:szCs w:val="18"/>
              </w:rPr>
              <w:t>2006</w:t>
            </w:r>
          </w:p>
        </w:tc>
        <w:tc>
          <w:tcPr>
            <w:tcW w:w="299" w:type="pct"/>
            <w:tcBorders>
              <w:top w:val="single" w:sz="4" w:space="0" w:color="auto"/>
              <w:bottom w:val="single" w:sz="4" w:space="0" w:color="auto"/>
            </w:tcBorders>
            <w:vAlign w:val="bottom"/>
          </w:tcPr>
          <w:p w14:paraId="1790C66B" w14:textId="77777777" w:rsidR="00FA152E" w:rsidRPr="00EE118B" w:rsidRDefault="00FA152E" w:rsidP="00B20A65">
            <w:pPr>
              <w:spacing w:after="0"/>
              <w:jc w:val="right"/>
              <w:rPr>
                <w:sz w:val="18"/>
                <w:szCs w:val="18"/>
                <w:vertAlign w:val="superscript"/>
              </w:rPr>
            </w:pPr>
            <w:r w:rsidRPr="00EE118B">
              <w:rPr>
                <w:sz w:val="18"/>
                <w:szCs w:val="18"/>
              </w:rPr>
              <w:t>2007</w:t>
            </w:r>
          </w:p>
        </w:tc>
        <w:tc>
          <w:tcPr>
            <w:tcW w:w="298" w:type="pct"/>
            <w:tcBorders>
              <w:top w:val="single" w:sz="4" w:space="0" w:color="auto"/>
              <w:bottom w:val="single" w:sz="4" w:space="0" w:color="auto"/>
              <w:right w:val="single" w:sz="4" w:space="0" w:color="auto"/>
            </w:tcBorders>
            <w:vAlign w:val="bottom"/>
          </w:tcPr>
          <w:p w14:paraId="2818B9DC" w14:textId="77777777" w:rsidR="00FA152E" w:rsidRPr="00EE118B" w:rsidRDefault="00FA152E" w:rsidP="00B20A65">
            <w:pPr>
              <w:spacing w:after="0"/>
              <w:jc w:val="right"/>
              <w:rPr>
                <w:sz w:val="18"/>
                <w:szCs w:val="18"/>
                <w:vertAlign w:val="superscript"/>
              </w:rPr>
            </w:pPr>
            <w:r w:rsidRPr="00EE118B">
              <w:rPr>
                <w:sz w:val="18"/>
                <w:szCs w:val="18"/>
              </w:rPr>
              <w:t>2008</w:t>
            </w:r>
          </w:p>
        </w:tc>
        <w:tc>
          <w:tcPr>
            <w:tcW w:w="299" w:type="pct"/>
            <w:tcBorders>
              <w:top w:val="single" w:sz="4" w:space="0" w:color="auto"/>
              <w:left w:val="single" w:sz="4" w:space="0" w:color="auto"/>
              <w:bottom w:val="single" w:sz="4" w:space="0" w:color="auto"/>
            </w:tcBorders>
            <w:vAlign w:val="bottom"/>
          </w:tcPr>
          <w:p w14:paraId="579EEF3B" w14:textId="77777777" w:rsidR="00FA152E" w:rsidRPr="00EE118B" w:rsidRDefault="00FA152E" w:rsidP="00B20A65">
            <w:pPr>
              <w:spacing w:after="0"/>
              <w:ind w:right="-212"/>
              <w:rPr>
                <w:sz w:val="18"/>
                <w:szCs w:val="18"/>
                <w:vertAlign w:val="superscript"/>
              </w:rPr>
            </w:pPr>
            <w:r w:rsidRPr="00EE118B">
              <w:rPr>
                <w:sz w:val="18"/>
                <w:szCs w:val="18"/>
              </w:rPr>
              <w:t>2008</w:t>
            </w:r>
            <w:r>
              <w:rPr>
                <w:sz w:val="18"/>
                <w:szCs w:val="18"/>
                <w:vertAlign w:val="superscript"/>
              </w:rPr>
              <w:t>2</w:t>
            </w:r>
          </w:p>
        </w:tc>
        <w:tc>
          <w:tcPr>
            <w:tcW w:w="298" w:type="pct"/>
            <w:tcBorders>
              <w:top w:val="single" w:sz="4" w:space="0" w:color="auto"/>
              <w:bottom w:val="single" w:sz="4" w:space="0" w:color="auto"/>
            </w:tcBorders>
            <w:vAlign w:val="bottom"/>
          </w:tcPr>
          <w:p w14:paraId="074CA120" w14:textId="77777777" w:rsidR="00FA152E" w:rsidRPr="00EE118B" w:rsidRDefault="00FA152E" w:rsidP="00B20A65">
            <w:pPr>
              <w:spacing w:after="0"/>
              <w:jc w:val="right"/>
              <w:rPr>
                <w:sz w:val="18"/>
                <w:szCs w:val="18"/>
                <w:vertAlign w:val="superscript"/>
              </w:rPr>
            </w:pPr>
            <w:r w:rsidRPr="00EE118B">
              <w:rPr>
                <w:sz w:val="18"/>
                <w:szCs w:val="18"/>
              </w:rPr>
              <w:t>2009</w:t>
            </w:r>
          </w:p>
        </w:tc>
        <w:tc>
          <w:tcPr>
            <w:tcW w:w="299" w:type="pct"/>
            <w:tcBorders>
              <w:top w:val="single" w:sz="4" w:space="0" w:color="auto"/>
              <w:bottom w:val="single" w:sz="4" w:space="0" w:color="auto"/>
            </w:tcBorders>
            <w:vAlign w:val="bottom"/>
          </w:tcPr>
          <w:p w14:paraId="21CDF150" w14:textId="77777777" w:rsidR="00FA152E" w:rsidRPr="00EE118B" w:rsidRDefault="00FA152E" w:rsidP="00B20A65">
            <w:pPr>
              <w:spacing w:after="0"/>
              <w:jc w:val="right"/>
              <w:rPr>
                <w:sz w:val="18"/>
                <w:szCs w:val="18"/>
                <w:vertAlign w:val="superscript"/>
              </w:rPr>
            </w:pPr>
            <w:r w:rsidRPr="00EE118B">
              <w:rPr>
                <w:sz w:val="18"/>
                <w:szCs w:val="18"/>
              </w:rPr>
              <w:t>2010</w:t>
            </w:r>
          </w:p>
        </w:tc>
        <w:tc>
          <w:tcPr>
            <w:tcW w:w="298" w:type="pct"/>
            <w:tcBorders>
              <w:top w:val="single" w:sz="4" w:space="0" w:color="auto"/>
              <w:bottom w:val="single" w:sz="4" w:space="0" w:color="auto"/>
            </w:tcBorders>
            <w:vAlign w:val="bottom"/>
          </w:tcPr>
          <w:p w14:paraId="74AF55BD" w14:textId="77777777" w:rsidR="00FA152E" w:rsidRPr="00EE118B" w:rsidRDefault="00FA152E" w:rsidP="00B20A65">
            <w:pPr>
              <w:spacing w:after="0"/>
              <w:jc w:val="right"/>
              <w:rPr>
                <w:sz w:val="18"/>
                <w:szCs w:val="18"/>
                <w:vertAlign w:val="superscript"/>
              </w:rPr>
            </w:pPr>
            <w:r w:rsidRPr="00EE118B">
              <w:rPr>
                <w:sz w:val="18"/>
                <w:szCs w:val="18"/>
              </w:rPr>
              <w:t>2011</w:t>
            </w:r>
          </w:p>
        </w:tc>
        <w:tc>
          <w:tcPr>
            <w:tcW w:w="299" w:type="pct"/>
            <w:tcBorders>
              <w:top w:val="single" w:sz="4" w:space="0" w:color="auto"/>
              <w:bottom w:val="single" w:sz="4" w:space="0" w:color="auto"/>
            </w:tcBorders>
            <w:vAlign w:val="bottom"/>
          </w:tcPr>
          <w:p w14:paraId="05791F09" w14:textId="77777777" w:rsidR="00FA152E" w:rsidRPr="00EE118B" w:rsidRDefault="00FA152E" w:rsidP="00F442AE">
            <w:pPr>
              <w:spacing w:after="0"/>
              <w:ind w:left="-79" w:right="-79" w:firstLine="79"/>
              <w:jc w:val="center"/>
              <w:rPr>
                <w:sz w:val="18"/>
                <w:szCs w:val="18"/>
              </w:rPr>
            </w:pPr>
            <w:r w:rsidRPr="00EE118B">
              <w:rPr>
                <w:sz w:val="18"/>
                <w:szCs w:val="18"/>
              </w:rPr>
              <w:t>2012</w:t>
            </w:r>
            <w:r w:rsidR="00F442AE">
              <w:rPr>
                <w:sz w:val="18"/>
                <w:szCs w:val="18"/>
                <w:vertAlign w:val="superscript"/>
              </w:rPr>
              <w:t>3</w:t>
            </w:r>
          </w:p>
        </w:tc>
        <w:tc>
          <w:tcPr>
            <w:tcW w:w="298" w:type="pct"/>
            <w:tcBorders>
              <w:top w:val="single" w:sz="4" w:space="0" w:color="auto"/>
              <w:bottom w:val="single" w:sz="4" w:space="0" w:color="auto"/>
            </w:tcBorders>
            <w:vAlign w:val="bottom"/>
          </w:tcPr>
          <w:p w14:paraId="12A85AFD" w14:textId="77777777" w:rsidR="00FA152E" w:rsidRPr="00EE118B" w:rsidRDefault="00FA152E" w:rsidP="00B20A65">
            <w:pPr>
              <w:spacing w:after="0"/>
              <w:ind w:left="-79" w:right="-79" w:firstLine="79"/>
              <w:jc w:val="center"/>
              <w:rPr>
                <w:sz w:val="18"/>
                <w:szCs w:val="18"/>
              </w:rPr>
            </w:pPr>
            <w:r w:rsidRPr="00EE118B">
              <w:rPr>
                <w:sz w:val="18"/>
                <w:szCs w:val="18"/>
              </w:rPr>
              <w:t>2013</w:t>
            </w:r>
          </w:p>
        </w:tc>
        <w:tc>
          <w:tcPr>
            <w:tcW w:w="299" w:type="pct"/>
            <w:tcBorders>
              <w:top w:val="single" w:sz="4" w:space="0" w:color="auto"/>
              <w:bottom w:val="single" w:sz="4" w:space="0" w:color="auto"/>
            </w:tcBorders>
            <w:vAlign w:val="bottom"/>
          </w:tcPr>
          <w:p w14:paraId="5FB750A8" w14:textId="77777777" w:rsidR="00FA152E" w:rsidRPr="00EE118B" w:rsidRDefault="00FA152E" w:rsidP="00B20A65">
            <w:pPr>
              <w:spacing w:after="0"/>
              <w:ind w:left="-79" w:right="-79" w:firstLine="79"/>
              <w:jc w:val="center"/>
              <w:rPr>
                <w:sz w:val="18"/>
                <w:szCs w:val="18"/>
              </w:rPr>
            </w:pPr>
            <w:r w:rsidRPr="00EE118B">
              <w:rPr>
                <w:sz w:val="18"/>
                <w:szCs w:val="18"/>
              </w:rPr>
              <w:t>2014</w:t>
            </w:r>
          </w:p>
        </w:tc>
        <w:tc>
          <w:tcPr>
            <w:tcW w:w="420" w:type="pct"/>
            <w:tcBorders>
              <w:top w:val="single" w:sz="4" w:space="0" w:color="auto"/>
              <w:bottom w:val="single" w:sz="4" w:space="0" w:color="auto"/>
            </w:tcBorders>
            <w:vAlign w:val="bottom"/>
          </w:tcPr>
          <w:p w14:paraId="169E3871" w14:textId="77777777" w:rsidR="00FA152E" w:rsidRPr="00EE118B" w:rsidRDefault="00FA152E" w:rsidP="00B20A65">
            <w:pPr>
              <w:spacing w:after="0"/>
              <w:ind w:left="-79" w:right="-79" w:firstLine="79"/>
              <w:jc w:val="center"/>
              <w:rPr>
                <w:sz w:val="18"/>
                <w:szCs w:val="18"/>
              </w:rPr>
            </w:pPr>
            <w:r w:rsidRPr="00EE118B">
              <w:rPr>
                <w:sz w:val="18"/>
                <w:szCs w:val="18"/>
              </w:rPr>
              <w:t>2014</w:t>
            </w:r>
          </w:p>
        </w:tc>
        <w:tc>
          <w:tcPr>
            <w:tcW w:w="441" w:type="pct"/>
            <w:tcBorders>
              <w:top w:val="single" w:sz="4" w:space="0" w:color="auto"/>
              <w:bottom w:val="single" w:sz="4" w:space="0" w:color="auto"/>
            </w:tcBorders>
            <w:vAlign w:val="bottom"/>
          </w:tcPr>
          <w:p w14:paraId="4EE800BF" w14:textId="77777777" w:rsidR="00FA152E" w:rsidRPr="00EE118B" w:rsidRDefault="00FA152E" w:rsidP="00B20A65">
            <w:pPr>
              <w:spacing w:after="0"/>
              <w:ind w:left="-79" w:right="-79" w:firstLine="79"/>
              <w:jc w:val="center"/>
              <w:rPr>
                <w:sz w:val="18"/>
                <w:szCs w:val="18"/>
              </w:rPr>
            </w:pPr>
            <w:r w:rsidRPr="00EE118B">
              <w:rPr>
                <w:sz w:val="18"/>
                <w:szCs w:val="18"/>
              </w:rPr>
              <w:t>2014</w:t>
            </w:r>
          </w:p>
        </w:tc>
      </w:tr>
      <w:tr w:rsidR="00FA152E" w:rsidRPr="00EE118B" w14:paraId="3F69ED36" w14:textId="77777777" w:rsidTr="00E9117A">
        <w:tc>
          <w:tcPr>
            <w:tcW w:w="942" w:type="pct"/>
            <w:tcBorders>
              <w:top w:val="single" w:sz="4" w:space="0" w:color="auto"/>
            </w:tcBorders>
            <w:vAlign w:val="bottom"/>
          </w:tcPr>
          <w:p w14:paraId="5C7B40CB" w14:textId="77777777" w:rsidR="00FA152E" w:rsidRPr="00EE118B" w:rsidRDefault="00FA152E" w:rsidP="00B20A65">
            <w:pPr>
              <w:spacing w:after="0"/>
              <w:rPr>
                <w:sz w:val="18"/>
                <w:szCs w:val="18"/>
              </w:rPr>
            </w:pPr>
            <w:r w:rsidRPr="00EE118B">
              <w:rPr>
                <w:sz w:val="18"/>
                <w:szCs w:val="18"/>
              </w:rPr>
              <w:t>Utdanning på grunnskolenivå</w:t>
            </w:r>
          </w:p>
        </w:tc>
        <w:tc>
          <w:tcPr>
            <w:tcW w:w="252" w:type="pct"/>
            <w:tcBorders>
              <w:top w:val="single" w:sz="4" w:space="0" w:color="auto"/>
            </w:tcBorders>
            <w:vAlign w:val="bottom"/>
          </w:tcPr>
          <w:p w14:paraId="7F719910" w14:textId="77777777" w:rsidR="00FA152E" w:rsidRPr="00EE118B" w:rsidRDefault="00FA152E" w:rsidP="00B20A65">
            <w:pPr>
              <w:spacing w:after="0"/>
              <w:ind w:right="-71"/>
              <w:rPr>
                <w:sz w:val="18"/>
                <w:szCs w:val="18"/>
              </w:rPr>
            </w:pPr>
            <w:r w:rsidRPr="00EE118B">
              <w:rPr>
                <w:color w:val="000000"/>
                <w:sz w:val="18"/>
                <w:szCs w:val="18"/>
              </w:rPr>
              <w:t>89,7</w:t>
            </w:r>
          </w:p>
        </w:tc>
        <w:tc>
          <w:tcPr>
            <w:tcW w:w="258" w:type="pct"/>
            <w:tcBorders>
              <w:top w:val="single" w:sz="4" w:space="0" w:color="auto"/>
            </w:tcBorders>
            <w:vAlign w:val="bottom"/>
          </w:tcPr>
          <w:p w14:paraId="4409FB8A" w14:textId="77777777" w:rsidR="00FA152E" w:rsidRPr="00EE118B" w:rsidRDefault="00FA152E" w:rsidP="00B20A65">
            <w:pPr>
              <w:spacing w:after="0"/>
              <w:rPr>
                <w:sz w:val="18"/>
                <w:szCs w:val="18"/>
              </w:rPr>
            </w:pPr>
            <w:r w:rsidRPr="00EE118B">
              <w:rPr>
                <w:color w:val="000000"/>
                <w:sz w:val="18"/>
                <w:szCs w:val="18"/>
              </w:rPr>
              <w:t>89,2</w:t>
            </w:r>
          </w:p>
        </w:tc>
        <w:tc>
          <w:tcPr>
            <w:tcW w:w="299" w:type="pct"/>
            <w:tcBorders>
              <w:top w:val="single" w:sz="4" w:space="0" w:color="auto"/>
            </w:tcBorders>
            <w:vAlign w:val="bottom"/>
          </w:tcPr>
          <w:p w14:paraId="4E03B95E" w14:textId="77777777" w:rsidR="00FA152E" w:rsidRPr="00EE118B" w:rsidRDefault="00FA152E" w:rsidP="00B20A65">
            <w:pPr>
              <w:spacing w:after="0"/>
              <w:rPr>
                <w:sz w:val="18"/>
                <w:szCs w:val="18"/>
              </w:rPr>
            </w:pPr>
            <w:r w:rsidRPr="00EE118B">
              <w:rPr>
                <w:color w:val="000000"/>
                <w:sz w:val="18"/>
                <w:szCs w:val="18"/>
              </w:rPr>
              <w:t>88,8</w:t>
            </w:r>
          </w:p>
        </w:tc>
        <w:tc>
          <w:tcPr>
            <w:tcW w:w="298" w:type="pct"/>
            <w:tcBorders>
              <w:top w:val="single" w:sz="4" w:space="0" w:color="auto"/>
              <w:right w:val="single" w:sz="4" w:space="0" w:color="auto"/>
            </w:tcBorders>
            <w:vAlign w:val="bottom"/>
          </w:tcPr>
          <w:p w14:paraId="7FEB3BFD" w14:textId="77777777" w:rsidR="00FA152E" w:rsidRPr="00EE118B" w:rsidRDefault="00FA152E" w:rsidP="00B20A65">
            <w:pPr>
              <w:spacing w:after="0"/>
              <w:jc w:val="center"/>
              <w:rPr>
                <w:sz w:val="18"/>
                <w:szCs w:val="18"/>
              </w:rPr>
            </w:pPr>
            <w:r w:rsidRPr="00EE118B">
              <w:rPr>
                <w:sz w:val="18"/>
                <w:szCs w:val="18"/>
              </w:rPr>
              <w:t>89,3</w:t>
            </w:r>
          </w:p>
        </w:tc>
        <w:tc>
          <w:tcPr>
            <w:tcW w:w="299" w:type="pct"/>
            <w:tcBorders>
              <w:top w:val="single" w:sz="4" w:space="0" w:color="auto"/>
              <w:left w:val="single" w:sz="4" w:space="0" w:color="auto"/>
            </w:tcBorders>
            <w:vAlign w:val="bottom"/>
          </w:tcPr>
          <w:p w14:paraId="7E6947E0" w14:textId="77777777" w:rsidR="00FA152E" w:rsidRPr="00EE118B" w:rsidRDefault="00FA152E" w:rsidP="00B20A65">
            <w:pPr>
              <w:spacing w:after="0"/>
              <w:ind w:right="-212"/>
              <w:rPr>
                <w:sz w:val="18"/>
                <w:szCs w:val="18"/>
              </w:rPr>
            </w:pPr>
            <w:r w:rsidRPr="00EE118B">
              <w:rPr>
                <w:sz w:val="18"/>
                <w:szCs w:val="18"/>
              </w:rPr>
              <w:t>88,5</w:t>
            </w:r>
          </w:p>
        </w:tc>
        <w:tc>
          <w:tcPr>
            <w:tcW w:w="298" w:type="pct"/>
            <w:tcBorders>
              <w:top w:val="single" w:sz="4" w:space="0" w:color="auto"/>
            </w:tcBorders>
            <w:vAlign w:val="bottom"/>
          </w:tcPr>
          <w:p w14:paraId="27F75D07" w14:textId="77777777" w:rsidR="00FA152E" w:rsidRPr="00EE118B" w:rsidRDefault="00FA152E" w:rsidP="00B20A65">
            <w:pPr>
              <w:spacing w:after="0"/>
              <w:rPr>
                <w:sz w:val="18"/>
                <w:szCs w:val="18"/>
              </w:rPr>
            </w:pPr>
            <w:r w:rsidRPr="00EE118B">
              <w:rPr>
                <w:sz w:val="18"/>
                <w:szCs w:val="18"/>
              </w:rPr>
              <w:t>88,1</w:t>
            </w:r>
          </w:p>
        </w:tc>
        <w:tc>
          <w:tcPr>
            <w:tcW w:w="299" w:type="pct"/>
            <w:tcBorders>
              <w:top w:val="single" w:sz="4" w:space="0" w:color="auto"/>
            </w:tcBorders>
            <w:vAlign w:val="bottom"/>
          </w:tcPr>
          <w:p w14:paraId="57B8AABC" w14:textId="77777777" w:rsidR="00FA152E" w:rsidRPr="00EE118B" w:rsidRDefault="00FA152E" w:rsidP="00B20A65">
            <w:pPr>
              <w:spacing w:after="0"/>
              <w:rPr>
                <w:rFonts w:ascii="Times New Roman" w:hAnsi="Times New Roman"/>
                <w:sz w:val="18"/>
                <w:szCs w:val="18"/>
              </w:rPr>
            </w:pPr>
            <w:r w:rsidRPr="00EE118B">
              <w:rPr>
                <w:rFonts w:ascii="Times New Roman" w:hAnsi="Times New Roman"/>
                <w:color w:val="000000"/>
                <w:sz w:val="18"/>
                <w:szCs w:val="18"/>
              </w:rPr>
              <w:t>89,4</w:t>
            </w:r>
          </w:p>
        </w:tc>
        <w:tc>
          <w:tcPr>
            <w:tcW w:w="298" w:type="pct"/>
            <w:tcBorders>
              <w:top w:val="single" w:sz="4" w:space="0" w:color="auto"/>
            </w:tcBorders>
            <w:vAlign w:val="bottom"/>
          </w:tcPr>
          <w:p w14:paraId="627ADC4A" w14:textId="77777777" w:rsidR="00FA152E" w:rsidRPr="00EE118B" w:rsidRDefault="00FA152E" w:rsidP="00B20A65">
            <w:pPr>
              <w:spacing w:after="0"/>
              <w:jc w:val="right"/>
              <w:rPr>
                <w:rFonts w:ascii="Times New Roman" w:hAnsi="Times New Roman"/>
                <w:color w:val="000000"/>
                <w:sz w:val="18"/>
                <w:szCs w:val="18"/>
              </w:rPr>
            </w:pPr>
            <w:r w:rsidRPr="00EE118B">
              <w:rPr>
                <w:rFonts w:ascii="Times New Roman" w:hAnsi="Times New Roman"/>
                <w:color w:val="000000"/>
                <w:sz w:val="18"/>
                <w:szCs w:val="18"/>
              </w:rPr>
              <w:t>90,0</w:t>
            </w:r>
          </w:p>
        </w:tc>
        <w:tc>
          <w:tcPr>
            <w:tcW w:w="299" w:type="pct"/>
            <w:tcBorders>
              <w:top w:val="single" w:sz="4" w:space="0" w:color="auto"/>
            </w:tcBorders>
            <w:vAlign w:val="bottom"/>
          </w:tcPr>
          <w:p w14:paraId="1E61F59A" w14:textId="77777777" w:rsidR="00FA152E" w:rsidRPr="00EE118B" w:rsidRDefault="00FA152E" w:rsidP="00B20A65">
            <w:pPr>
              <w:spacing w:after="0"/>
              <w:jc w:val="right"/>
              <w:rPr>
                <w:rFonts w:ascii="Times New Roman" w:hAnsi="Times New Roman"/>
                <w:color w:val="000000"/>
                <w:sz w:val="18"/>
                <w:szCs w:val="18"/>
              </w:rPr>
            </w:pPr>
            <w:r w:rsidRPr="00EE118B">
              <w:rPr>
                <w:rFonts w:ascii="Times New Roman" w:hAnsi="Times New Roman"/>
                <w:color w:val="000000"/>
                <w:sz w:val="18"/>
                <w:szCs w:val="18"/>
              </w:rPr>
              <w:t>90,1</w:t>
            </w:r>
          </w:p>
        </w:tc>
        <w:tc>
          <w:tcPr>
            <w:tcW w:w="298" w:type="pct"/>
            <w:tcBorders>
              <w:top w:val="single" w:sz="4" w:space="0" w:color="auto"/>
            </w:tcBorders>
            <w:vAlign w:val="bottom"/>
          </w:tcPr>
          <w:p w14:paraId="2F17CBF2" w14:textId="77777777" w:rsidR="00FA152E" w:rsidRPr="00EE118B" w:rsidRDefault="00FA152E" w:rsidP="00B20A65">
            <w:pPr>
              <w:spacing w:after="0"/>
              <w:jc w:val="right"/>
              <w:rPr>
                <w:rFonts w:ascii="Times Roman" w:hAnsi="Times Roman"/>
                <w:color w:val="000000"/>
                <w:sz w:val="18"/>
                <w:szCs w:val="18"/>
              </w:rPr>
            </w:pPr>
            <w:r w:rsidRPr="00EE118B">
              <w:rPr>
                <w:rFonts w:ascii="Times Roman" w:hAnsi="Times Roman"/>
                <w:color w:val="000000"/>
                <w:sz w:val="18"/>
                <w:szCs w:val="18"/>
              </w:rPr>
              <w:t>90,1</w:t>
            </w:r>
          </w:p>
        </w:tc>
        <w:tc>
          <w:tcPr>
            <w:tcW w:w="299" w:type="pct"/>
            <w:tcBorders>
              <w:top w:val="single" w:sz="4" w:space="0" w:color="auto"/>
            </w:tcBorders>
            <w:vAlign w:val="bottom"/>
          </w:tcPr>
          <w:p w14:paraId="3EF7C2D4" w14:textId="77777777" w:rsidR="00FA152E" w:rsidRPr="00EE118B" w:rsidRDefault="00FA152E" w:rsidP="00B20A65">
            <w:pPr>
              <w:spacing w:after="0"/>
              <w:jc w:val="right"/>
              <w:rPr>
                <w:rFonts w:ascii="Times Roman" w:hAnsi="Times Roman"/>
                <w:color w:val="000000"/>
                <w:sz w:val="18"/>
                <w:szCs w:val="18"/>
              </w:rPr>
            </w:pPr>
            <w:r w:rsidRPr="00EE118B">
              <w:rPr>
                <w:rFonts w:ascii="Times Roman" w:hAnsi="Times Roman"/>
                <w:color w:val="000000"/>
                <w:sz w:val="18"/>
                <w:szCs w:val="18"/>
              </w:rPr>
              <w:t>90,1</w:t>
            </w:r>
          </w:p>
        </w:tc>
        <w:tc>
          <w:tcPr>
            <w:tcW w:w="420" w:type="pct"/>
            <w:tcBorders>
              <w:top w:val="single" w:sz="4" w:space="0" w:color="auto"/>
            </w:tcBorders>
            <w:vAlign w:val="bottom"/>
          </w:tcPr>
          <w:p w14:paraId="41FA1688" w14:textId="77777777" w:rsidR="00FA152E" w:rsidRPr="00EE118B" w:rsidRDefault="00FA152E" w:rsidP="00B20A65">
            <w:pPr>
              <w:spacing w:after="0"/>
              <w:rPr>
                <w:rFonts w:ascii="Times Roman" w:hAnsi="Times Roman"/>
                <w:color w:val="000000"/>
                <w:sz w:val="18"/>
                <w:szCs w:val="18"/>
              </w:rPr>
            </w:pPr>
            <w:r w:rsidRPr="00EE118B">
              <w:rPr>
                <w:rFonts w:ascii="Times Roman" w:hAnsi="Times Roman"/>
                <w:color w:val="000000"/>
                <w:sz w:val="18"/>
                <w:szCs w:val="18"/>
              </w:rPr>
              <w:t xml:space="preserve">410 400 </w:t>
            </w:r>
          </w:p>
        </w:tc>
        <w:tc>
          <w:tcPr>
            <w:tcW w:w="441" w:type="pct"/>
            <w:tcBorders>
              <w:top w:val="single" w:sz="4" w:space="0" w:color="auto"/>
            </w:tcBorders>
            <w:vAlign w:val="bottom"/>
          </w:tcPr>
          <w:p w14:paraId="323F3F3E" w14:textId="77777777" w:rsidR="00FA152E" w:rsidRPr="00EE118B" w:rsidRDefault="00FA152E" w:rsidP="00B20A65">
            <w:pPr>
              <w:spacing w:after="0"/>
              <w:rPr>
                <w:rFonts w:ascii="Times Roman" w:hAnsi="Times Roman"/>
                <w:color w:val="000000"/>
                <w:sz w:val="18"/>
                <w:szCs w:val="18"/>
              </w:rPr>
            </w:pPr>
            <w:r w:rsidRPr="00EE118B">
              <w:rPr>
                <w:rFonts w:ascii="Times Roman" w:hAnsi="Times Roman"/>
                <w:color w:val="000000"/>
                <w:sz w:val="18"/>
                <w:szCs w:val="18"/>
              </w:rPr>
              <w:t xml:space="preserve">369 600 </w:t>
            </w:r>
          </w:p>
        </w:tc>
      </w:tr>
      <w:tr w:rsidR="00FA152E" w:rsidRPr="00EE118B" w14:paraId="5FE7988F" w14:textId="77777777" w:rsidTr="00E9117A">
        <w:trPr>
          <w:trHeight w:val="319"/>
        </w:trPr>
        <w:tc>
          <w:tcPr>
            <w:tcW w:w="942" w:type="pct"/>
            <w:vAlign w:val="bottom"/>
          </w:tcPr>
          <w:p w14:paraId="5DBE1997" w14:textId="77777777" w:rsidR="00FA152E" w:rsidRPr="00EE118B" w:rsidRDefault="00FA152E" w:rsidP="00B20A65">
            <w:pPr>
              <w:spacing w:after="0"/>
              <w:outlineLvl w:val="5"/>
              <w:rPr>
                <w:sz w:val="18"/>
                <w:szCs w:val="18"/>
              </w:rPr>
            </w:pPr>
            <w:r w:rsidRPr="00EE118B">
              <w:rPr>
                <w:sz w:val="18"/>
                <w:szCs w:val="18"/>
              </w:rPr>
              <w:t>Utdanning på videregående skolenivå</w:t>
            </w:r>
          </w:p>
        </w:tc>
        <w:tc>
          <w:tcPr>
            <w:tcW w:w="252" w:type="pct"/>
            <w:vAlign w:val="bottom"/>
          </w:tcPr>
          <w:p w14:paraId="60E8A20D" w14:textId="77777777" w:rsidR="00FA152E" w:rsidRPr="00EE118B" w:rsidRDefault="00FA152E" w:rsidP="00B20A65">
            <w:pPr>
              <w:spacing w:after="0"/>
              <w:ind w:right="-71"/>
              <w:rPr>
                <w:sz w:val="18"/>
                <w:szCs w:val="18"/>
              </w:rPr>
            </w:pPr>
            <w:r w:rsidRPr="00EE118B">
              <w:rPr>
                <w:color w:val="000000"/>
                <w:sz w:val="18"/>
                <w:szCs w:val="18"/>
              </w:rPr>
              <w:t>83,8</w:t>
            </w:r>
          </w:p>
        </w:tc>
        <w:tc>
          <w:tcPr>
            <w:tcW w:w="258" w:type="pct"/>
            <w:vAlign w:val="bottom"/>
          </w:tcPr>
          <w:p w14:paraId="579DB1A6" w14:textId="77777777" w:rsidR="00FA152E" w:rsidRPr="00EE118B" w:rsidRDefault="00FA152E" w:rsidP="00B20A65">
            <w:pPr>
              <w:spacing w:after="0"/>
              <w:rPr>
                <w:sz w:val="18"/>
                <w:szCs w:val="18"/>
              </w:rPr>
            </w:pPr>
            <w:r w:rsidRPr="00EE118B">
              <w:rPr>
                <w:color w:val="000000"/>
                <w:sz w:val="18"/>
                <w:szCs w:val="18"/>
              </w:rPr>
              <w:t>83,4</w:t>
            </w:r>
          </w:p>
        </w:tc>
        <w:tc>
          <w:tcPr>
            <w:tcW w:w="299" w:type="pct"/>
            <w:vAlign w:val="bottom"/>
          </w:tcPr>
          <w:p w14:paraId="57B520D8" w14:textId="77777777" w:rsidR="00FA152E" w:rsidRPr="00EE118B" w:rsidRDefault="00FA152E" w:rsidP="00B20A65">
            <w:pPr>
              <w:spacing w:after="0"/>
              <w:rPr>
                <w:sz w:val="18"/>
                <w:szCs w:val="18"/>
              </w:rPr>
            </w:pPr>
            <w:r w:rsidRPr="00EE118B">
              <w:rPr>
                <w:color w:val="000000"/>
                <w:sz w:val="18"/>
                <w:szCs w:val="18"/>
              </w:rPr>
              <w:t>82,3</w:t>
            </w:r>
          </w:p>
        </w:tc>
        <w:tc>
          <w:tcPr>
            <w:tcW w:w="298" w:type="pct"/>
            <w:tcBorders>
              <w:right w:val="single" w:sz="4" w:space="0" w:color="auto"/>
            </w:tcBorders>
            <w:vAlign w:val="bottom"/>
          </w:tcPr>
          <w:p w14:paraId="5AB9DBC1" w14:textId="77777777" w:rsidR="00FA152E" w:rsidRPr="00EE118B" w:rsidRDefault="00FA152E" w:rsidP="00B20A65">
            <w:pPr>
              <w:spacing w:after="0"/>
              <w:jc w:val="center"/>
              <w:rPr>
                <w:sz w:val="18"/>
                <w:szCs w:val="18"/>
              </w:rPr>
            </w:pPr>
            <w:r w:rsidRPr="00EE118B">
              <w:rPr>
                <w:sz w:val="18"/>
                <w:szCs w:val="18"/>
              </w:rPr>
              <w:t>82,7</w:t>
            </w:r>
          </w:p>
        </w:tc>
        <w:tc>
          <w:tcPr>
            <w:tcW w:w="299" w:type="pct"/>
            <w:tcBorders>
              <w:left w:val="single" w:sz="4" w:space="0" w:color="auto"/>
            </w:tcBorders>
            <w:vAlign w:val="bottom"/>
          </w:tcPr>
          <w:p w14:paraId="27305A6D" w14:textId="77777777" w:rsidR="00FA152E" w:rsidRPr="00EE118B" w:rsidRDefault="00FA152E" w:rsidP="00B20A65">
            <w:pPr>
              <w:spacing w:after="0"/>
              <w:ind w:right="-212"/>
              <w:rPr>
                <w:sz w:val="18"/>
                <w:szCs w:val="18"/>
              </w:rPr>
            </w:pPr>
            <w:r w:rsidRPr="00EE118B">
              <w:rPr>
                <w:sz w:val="18"/>
                <w:szCs w:val="18"/>
              </w:rPr>
              <w:t>81,8</w:t>
            </w:r>
          </w:p>
        </w:tc>
        <w:tc>
          <w:tcPr>
            <w:tcW w:w="298" w:type="pct"/>
            <w:vAlign w:val="bottom"/>
          </w:tcPr>
          <w:p w14:paraId="0509BCE0" w14:textId="77777777" w:rsidR="00FA152E" w:rsidRPr="00EE118B" w:rsidRDefault="00FA152E" w:rsidP="00B20A65">
            <w:pPr>
              <w:spacing w:after="0"/>
              <w:rPr>
                <w:sz w:val="18"/>
                <w:szCs w:val="18"/>
              </w:rPr>
            </w:pPr>
            <w:r w:rsidRPr="00EE118B">
              <w:rPr>
                <w:sz w:val="18"/>
                <w:szCs w:val="18"/>
              </w:rPr>
              <w:t>82,0</w:t>
            </w:r>
          </w:p>
        </w:tc>
        <w:tc>
          <w:tcPr>
            <w:tcW w:w="299" w:type="pct"/>
            <w:vAlign w:val="bottom"/>
          </w:tcPr>
          <w:p w14:paraId="619F9678" w14:textId="77777777" w:rsidR="00FA152E" w:rsidRPr="00EE118B" w:rsidRDefault="00FA152E" w:rsidP="00B20A65">
            <w:pPr>
              <w:spacing w:after="0"/>
              <w:rPr>
                <w:rFonts w:ascii="Times New Roman" w:hAnsi="Times New Roman"/>
                <w:sz w:val="18"/>
                <w:szCs w:val="18"/>
              </w:rPr>
            </w:pPr>
            <w:r w:rsidRPr="00EE118B">
              <w:rPr>
                <w:rFonts w:ascii="Times New Roman" w:hAnsi="Times New Roman"/>
                <w:color w:val="000000"/>
                <w:sz w:val="18"/>
                <w:szCs w:val="18"/>
              </w:rPr>
              <w:t>82,4</w:t>
            </w:r>
          </w:p>
        </w:tc>
        <w:tc>
          <w:tcPr>
            <w:tcW w:w="298" w:type="pct"/>
            <w:vAlign w:val="bottom"/>
          </w:tcPr>
          <w:p w14:paraId="425C632B" w14:textId="77777777" w:rsidR="00FA152E" w:rsidRPr="00EE118B" w:rsidRDefault="00FA152E" w:rsidP="00B20A65">
            <w:pPr>
              <w:spacing w:after="0"/>
              <w:jc w:val="right"/>
              <w:rPr>
                <w:rFonts w:ascii="Times New Roman" w:hAnsi="Times New Roman"/>
                <w:color w:val="000000"/>
                <w:sz w:val="18"/>
                <w:szCs w:val="18"/>
              </w:rPr>
            </w:pPr>
            <w:r w:rsidRPr="00EE118B">
              <w:rPr>
                <w:rFonts w:ascii="Times New Roman" w:hAnsi="Times New Roman"/>
                <w:color w:val="000000"/>
                <w:sz w:val="18"/>
                <w:szCs w:val="18"/>
              </w:rPr>
              <w:t>82,3</w:t>
            </w:r>
          </w:p>
        </w:tc>
        <w:tc>
          <w:tcPr>
            <w:tcW w:w="299" w:type="pct"/>
            <w:vAlign w:val="bottom"/>
          </w:tcPr>
          <w:p w14:paraId="6D553FD6" w14:textId="77777777" w:rsidR="00FA152E" w:rsidRPr="00EE118B" w:rsidRDefault="00FA152E" w:rsidP="00B20A65">
            <w:pPr>
              <w:spacing w:after="0"/>
              <w:jc w:val="right"/>
              <w:rPr>
                <w:rFonts w:ascii="Times New Roman" w:hAnsi="Times New Roman"/>
                <w:color w:val="000000"/>
                <w:sz w:val="18"/>
                <w:szCs w:val="18"/>
              </w:rPr>
            </w:pPr>
            <w:r w:rsidRPr="00EE118B">
              <w:rPr>
                <w:rFonts w:ascii="Times New Roman" w:hAnsi="Times New Roman"/>
                <w:color w:val="000000"/>
                <w:sz w:val="18"/>
                <w:szCs w:val="18"/>
              </w:rPr>
              <w:t>83,0</w:t>
            </w:r>
          </w:p>
        </w:tc>
        <w:tc>
          <w:tcPr>
            <w:tcW w:w="298" w:type="pct"/>
            <w:vAlign w:val="bottom"/>
          </w:tcPr>
          <w:p w14:paraId="7A7EDF10" w14:textId="77777777" w:rsidR="00FA152E" w:rsidRPr="00EE118B" w:rsidRDefault="00FA152E" w:rsidP="00B20A65">
            <w:pPr>
              <w:spacing w:after="0"/>
              <w:jc w:val="right"/>
              <w:rPr>
                <w:rFonts w:ascii="Times Roman" w:hAnsi="Times Roman"/>
                <w:color w:val="000000"/>
                <w:sz w:val="18"/>
                <w:szCs w:val="18"/>
              </w:rPr>
            </w:pPr>
            <w:r w:rsidRPr="00EE118B">
              <w:rPr>
                <w:rFonts w:ascii="Times Roman" w:hAnsi="Times Roman"/>
                <w:color w:val="000000"/>
                <w:sz w:val="18"/>
                <w:szCs w:val="18"/>
              </w:rPr>
              <w:t>82,7</w:t>
            </w:r>
          </w:p>
        </w:tc>
        <w:tc>
          <w:tcPr>
            <w:tcW w:w="299" w:type="pct"/>
            <w:vAlign w:val="bottom"/>
          </w:tcPr>
          <w:p w14:paraId="70405F6C" w14:textId="77777777" w:rsidR="00FA152E" w:rsidRPr="00EE118B" w:rsidRDefault="00FA152E" w:rsidP="00B20A65">
            <w:pPr>
              <w:spacing w:after="0"/>
              <w:jc w:val="right"/>
              <w:rPr>
                <w:rFonts w:ascii="Times Roman" w:hAnsi="Times Roman"/>
                <w:color w:val="000000"/>
                <w:sz w:val="18"/>
                <w:szCs w:val="18"/>
              </w:rPr>
            </w:pPr>
            <w:r w:rsidRPr="00EE118B">
              <w:rPr>
                <w:rFonts w:ascii="Times Roman" w:hAnsi="Times Roman"/>
                <w:color w:val="000000"/>
                <w:sz w:val="18"/>
                <w:szCs w:val="18"/>
              </w:rPr>
              <w:t>82,3</w:t>
            </w:r>
          </w:p>
        </w:tc>
        <w:tc>
          <w:tcPr>
            <w:tcW w:w="420" w:type="pct"/>
            <w:vAlign w:val="bottom"/>
          </w:tcPr>
          <w:p w14:paraId="7099A0C0" w14:textId="77777777" w:rsidR="00FA152E" w:rsidRPr="00EE118B" w:rsidRDefault="00FA152E" w:rsidP="00B20A65">
            <w:pPr>
              <w:spacing w:after="0"/>
              <w:rPr>
                <w:rFonts w:ascii="Times Roman" w:hAnsi="Times Roman"/>
                <w:color w:val="000000"/>
                <w:sz w:val="18"/>
                <w:szCs w:val="18"/>
              </w:rPr>
            </w:pPr>
            <w:r w:rsidRPr="00EE118B">
              <w:rPr>
                <w:rFonts w:ascii="Times Roman" w:hAnsi="Times Roman"/>
                <w:color w:val="000000"/>
                <w:sz w:val="18"/>
                <w:szCs w:val="18"/>
              </w:rPr>
              <w:t xml:space="preserve">516 000 </w:t>
            </w:r>
          </w:p>
        </w:tc>
        <w:tc>
          <w:tcPr>
            <w:tcW w:w="441" w:type="pct"/>
            <w:vAlign w:val="bottom"/>
          </w:tcPr>
          <w:p w14:paraId="50B8E2F4" w14:textId="77777777" w:rsidR="00FA152E" w:rsidRPr="00EE118B" w:rsidRDefault="00FA152E" w:rsidP="00B20A65">
            <w:pPr>
              <w:spacing w:after="0"/>
              <w:rPr>
                <w:rFonts w:ascii="Times Roman" w:hAnsi="Times Roman"/>
                <w:color w:val="000000"/>
                <w:sz w:val="18"/>
                <w:szCs w:val="18"/>
              </w:rPr>
            </w:pPr>
            <w:r w:rsidRPr="00EE118B">
              <w:rPr>
                <w:rFonts w:ascii="Times Roman" w:hAnsi="Times Roman"/>
                <w:color w:val="000000"/>
                <w:sz w:val="18"/>
                <w:szCs w:val="18"/>
              </w:rPr>
              <w:t xml:space="preserve">424 800 </w:t>
            </w:r>
          </w:p>
        </w:tc>
      </w:tr>
      <w:tr w:rsidR="00FA152E" w:rsidRPr="00EE118B" w14:paraId="7541A816" w14:textId="77777777" w:rsidTr="00E9117A">
        <w:tc>
          <w:tcPr>
            <w:tcW w:w="942" w:type="pct"/>
            <w:vAlign w:val="bottom"/>
          </w:tcPr>
          <w:p w14:paraId="52D491B2" w14:textId="77777777" w:rsidR="00FA152E" w:rsidRPr="00EE118B" w:rsidRDefault="00FA152E" w:rsidP="00B20A65">
            <w:pPr>
              <w:spacing w:after="0"/>
              <w:outlineLvl w:val="5"/>
              <w:rPr>
                <w:sz w:val="18"/>
                <w:szCs w:val="18"/>
              </w:rPr>
            </w:pPr>
            <w:r w:rsidRPr="00EE118B">
              <w:rPr>
                <w:sz w:val="18"/>
                <w:szCs w:val="18"/>
              </w:rPr>
              <w:t>Universitets- eller høgskoleutdanning, tom 4 år</w:t>
            </w:r>
          </w:p>
        </w:tc>
        <w:tc>
          <w:tcPr>
            <w:tcW w:w="252" w:type="pct"/>
            <w:vAlign w:val="bottom"/>
          </w:tcPr>
          <w:p w14:paraId="3FE63B25" w14:textId="77777777" w:rsidR="00FA152E" w:rsidRPr="00EE118B" w:rsidRDefault="00FA152E" w:rsidP="00B20A65">
            <w:pPr>
              <w:spacing w:after="0"/>
              <w:ind w:right="-71"/>
              <w:rPr>
                <w:sz w:val="18"/>
                <w:szCs w:val="18"/>
              </w:rPr>
            </w:pPr>
            <w:r w:rsidRPr="00EE118B">
              <w:rPr>
                <w:color w:val="000000"/>
                <w:sz w:val="18"/>
                <w:szCs w:val="18"/>
              </w:rPr>
              <w:t>80,5</w:t>
            </w:r>
          </w:p>
        </w:tc>
        <w:tc>
          <w:tcPr>
            <w:tcW w:w="258" w:type="pct"/>
            <w:vAlign w:val="bottom"/>
          </w:tcPr>
          <w:p w14:paraId="7E77E057" w14:textId="77777777" w:rsidR="00FA152E" w:rsidRPr="00EE118B" w:rsidRDefault="00FA152E" w:rsidP="00B20A65">
            <w:pPr>
              <w:spacing w:after="0"/>
              <w:rPr>
                <w:sz w:val="18"/>
                <w:szCs w:val="18"/>
              </w:rPr>
            </w:pPr>
            <w:r w:rsidRPr="00EE118B">
              <w:rPr>
                <w:color w:val="000000"/>
                <w:sz w:val="18"/>
                <w:szCs w:val="18"/>
              </w:rPr>
              <w:t>79,6</w:t>
            </w:r>
          </w:p>
        </w:tc>
        <w:tc>
          <w:tcPr>
            <w:tcW w:w="299" w:type="pct"/>
            <w:vAlign w:val="bottom"/>
          </w:tcPr>
          <w:p w14:paraId="57E66B01" w14:textId="77777777" w:rsidR="00FA152E" w:rsidRPr="00EE118B" w:rsidRDefault="00FA152E" w:rsidP="00B20A65">
            <w:pPr>
              <w:spacing w:after="0"/>
              <w:rPr>
                <w:sz w:val="18"/>
                <w:szCs w:val="18"/>
              </w:rPr>
            </w:pPr>
            <w:r w:rsidRPr="00EE118B">
              <w:rPr>
                <w:color w:val="000000"/>
                <w:sz w:val="18"/>
                <w:szCs w:val="18"/>
              </w:rPr>
              <w:t>79,2</w:t>
            </w:r>
          </w:p>
        </w:tc>
        <w:tc>
          <w:tcPr>
            <w:tcW w:w="298" w:type="pct"/>
            <w:tcBorders>
              <w:right w:val="single" w:sz="4" w:space="0" w:color="auto"/>
            </w:tcBorders>
            <w:vAlign w:val="bottom"/>
          </w:tcPr>
          <w:p w14:paraId="3DA3F9E1" w14:textId="77777777" w:rsidR="00FA152E" w:rsidRPr="00EE118B" w:rsidRDefault="00FA152E" w:rsidP="00B20A65">
            <w:pPr>
              <w:spacing w:after="0"/>
              <w:jc w:val="center"/>
              <w:rPr>
                <w:sz w:val="18"/>
                <w:szCs w:val="18"/>
              </w:rPr>
            </w:pPr>
            <w:r w:rsidRPr="00EE118B">
              <w:rPr>
                <w:sz w:val="18"/>
                <w:szCs w:val="18"/>
              </w:rPr>
              <w:t>79,0</w:t>
            </w:r>
          </w:p>
        </w:tc>
        <w:tc>
          <w:tcPr>
            <w:tcW w:w="299" w:type="pct"/>
            <w:tcBorders>
              <w:left w:val="single" w:sz="4" w:space="0" w:color="auto"/>
            </w:tcBorders>
            <w:vAlign w:val="bottom"/>
          </w:tcPr>
          <w:p w14:paraId="56B5F185" w14:textId="77777777" w:rsidR="00FA152E" w:rsidRPr="00EE118B" w:rsidRDefault="00FA152E" w:rsidP="00B20A65">
            <w:pPr>
              <w:spacing w:after="0"/>
              <w:ind w:right="-212"/>
              <w:rPr>
                <w:sz w:val="18"/>
                <w:szCs w:val="18"/>
              </w:rPr>
            </w:pPr>
            <w:r w:rsidRPr="00EE118B">
              <w:rPr>
                <w:sz w:val="18"/>
                <w:szCs w:val="18"/>
              </w:rPr>
              <w:t>78,8</w:t>
            </w:r>
          </w:p>
        </w:tc>
        <w:tc>
          <w:tcPr>
            <w:tcW w:w="298" w:type="pct"/>
            <w:vAlign w:val="bottom"/>
          </w:tcPr>
          <w:p w14:paraId="1CFF71C8" w14:textId="77777777" w:rsidR="00FA152E" w:rsidRPr="00EE118B" w:rsidRDefault="00FA152E" w:rsidP="00B20A65">
            <w:pPr>
              <w:spacing w:after="0"/>
              <w:rPr>
                <w:sz w:val="18"/>
                <w:szCs w:val="18"/>
              </w:rPr>
            </w:pPr>
            <w:r w:rsidRPr="00EE118B">
              <w:rPr>
                <w:sz w:val="18"/>
                <w:szCs w:val="18"/>
              </w:rPr>
              <w:t>79,6</w:t>
            </w:r>
          </w:p>
        </w:tc>
        <w:tc>
          <w:tcPr>
            <w:tcW w:w="299" w:type="pct"/>
            <w:vAlign w:val="bottom"/>
          </w:tcPr>
          <w:p w14:paraId="0EBCBFCE" w14:textId="77777777" w:rsidR="00FA152E" w:rsidRPr="00EE118B" w:rsidRDefault="00FA152E" w:rsidP="00B20A65">
            <w:pPr>
              <w:spacing w:after="0"/>
              <w:rPr>
                <w:rFonts w:ascii="Times New Roman" w:hAnsi="Times New Roman"/>
                <w:sz w:val="18"/>
                <w:szCs w:val="18"/>
              </w:rPr>
            </w:pPr>
            <w:r w:rsidRPr="00EE118B">
              <w:rPr>
                <w:rFonts w:ascii="Times New Roman" w:hAnsi="Times New Roman"/>
                <w:color w:val="000000"/>
                <w:sz w:val="18"/>
                <w:szCs w:val="18"/>
              </w:rPr>
              <w:t>79,7</w:t>
            </w:r>
          </w:p>
        </w:tc>
        <w:tc>
          <w:tcPr>
            <w:tcW w:w="298" w:type="pct"/>
            <w:vAlign w:val="bottom"/>
          </w:tcPr>
          <w:p w14:paraId="7A16F383" w14:textId="77777777" w:rsidR="00FA152E" w:rsidRPr="00EE118B" w:rsidRDefault="00FA152E" w:rsidP="00B20A65">
            <w:pPr>
              <w:spacing w:after="0"/>
              <w:jc w:val="right"/>
              <w:rPr>
                <w:rFonts w:ascii="Times New Roman" w:hAnsi="Times New Roman"/>
                <w:color w:val="000000"/>
                <w:sz w:val="18"/>
                <w:szCs w:val="18"/>
              </w:rPr>
            </w:pPr>
            <w:r w:rsidRPr="00EE118B">
              <w:rPr>
                <w:sz w:val="18"/>
                <w:szCs w:val="18"/>
              </w:rPr>
              <w:t>79,6</w:t>
            </w:r>
          </w:p>
        </w:tc>
        <w:tc>
          <w:tcPr>
            <w:tcW w:w="299" w:type="pct"/>
            <w:vAlign w:val="bottom"/>
          </w:tcPr>
          <w:p w14:paraId="5D88D2D6" w14:textId="77777777" w:rsidR="00FA152E" w:rsidRPr="00EE118B" w:rsidRDefault="00FA152E" w:rsidP="00B20A65">
            <w:pPr>
              <w:spacing w:after="0"/>
              <w:jc w:val="right"/>
              <w:rPr>
                <w:rFonts w:ascii="Times New Roman" w:hAnsi="Times New Roman"/>
                <w:color w:val="000000"/>
                <w:sz w:val="18"/>
                <w:szCs w:val="18"/>
              </w:rPr>
            </w:pPr>
            <w:r w:rsidRPr="00EE118B">
              <w:rPr>
                <w:rFonts w:ascii="Times New Roman" w:hAnsi="Times New Roman"/>
                <w:color w:val="000000"/>
                <w:sz w:val="18"/>
                <w:szCs w:val="18"/>
              </w:rPr>
              <w:t>80,6</w:t>
            </w:r>
          </w:p>
        </w:tc>
        <w:tc>
          <w:tcPr>
            <w:tcW w:w="298" w:type="pct"/>
            <w:vAlign w:val="bottom"/>
          </w:tcPr>
          <w:p w14:paraId="650D4B75" w14:textId="77777777" w:rsidR="00FA152E" w:rsidRPr="00EE118B" w:rsidRDefault="00FA152E" w:rsidP="00B20A65">
            <w:pPr>
              <w:spacing w:after="0"/>
              <w:jc w:val="right"/>
              <w:rPr>
                <w:rFonts w:ascii="Times Roman" w:hAnsi="Times Roman"/>
                <w:color w:val="000000"/>
                <w:sz w:val="18"/>
                <w:szCs w:val="18"/>
              </w:rPr>
            </w:pPr>
            <w:r w:rsidRPr="00EE118B">
              <w:rPr>
                <w:rFonts w:ascii="Times Roman" w:hAnsi="Times Roman"/>
                <w:color w:val="000000"/>
                <w:sz w:val="18"/>
                <w:szCs w:val="18"/>
              </w:rPr>
              <w:t>79,8</w:t>
            </w:r>
          </w:p>
        </w:tc>
        <w:tc>
          <w:tcPr>
            <w:tcW w:w="299" w:type="pct"/>
            <w:vAlign w:val="bottom"/>
          </w:tcPr>
          <w:p w14:paraId="4A14C10A" w14:textId="77777777" w:rsidR="00FA152E" w:rsidRPr="00EE118B" w:rsidRDefault="00FA152E" w:rsidP="00B20A65">
            <w:pPr>
              <w:spacing w:after="0"/>
              <w:jc w:val="right"/>
              <w:rPr>
                <w:rFonts w:ascii="Times Roman" w:hAnsi="Times Roman"/>
                <w:color w:val="000000"/>
                <w:sz w:val="18"/>
                <w:szCs w:val="18"/>
              </w:rPr>
            </w:pPr>
            <w:r w:rsidRPr="00EE118B">
              <w:rPr>
                <w:rFonts w:ascii="Times Roman" w:hAnsi="Times Roman"/>
                <w:color w:val="000000"/>
                <w:sz w:val="18"/>
                <w:szCs w:val="18"/>
              </w:rPr>
              <w:t>80,2</w:t>
            </w:r>
          </w:p>
        </w:tc>
        <w:tc>
          <w:tcPr>
            <w:tcW w:w="420" w:type="pct"/>
            <w:vAlign w:val="bottom"/>
          </w:tcPr>
          <w:p w14:paraId="193E67F0" w14:textId="77777777" w:rsidR="00FA152E" w:rsidRPr="00EE118B" w:rsidRDefault="00FA152E" w:rsidP="00B20A65">
            <w:pPr>
              <w:spacing w:after="0"/>
              <w:rPr>
                <w:rFonts w:ascii="Times Roman" w:hAnsi="Times Roman"/>
                <w:color w:val="000000"/>
                <w:sz w:val="18"/>
                <w:szCs w:val="18"/>
              </w:rPr>
            </w:pPr>
            <w:r w:rsidRPr="00EE118B">
              <w:rPr>
                <w:rFonts w:ascii="Times Roman" w:hAnsi="Times Roman"/>
                <w:color w:val="000000"/>
                <w:sz w:val="18"/>
                <w:szCs w:val="18"/>
              </w:rPr>
              <w:t xml:space="preserve">630 000 </w:t>
            </w:r>
          </w:p>
        </w:tc>
        <w:tc>
          <w:tcPr>
            <w:tcW w:w="441" w:type="pct"/>
            <w:vAlign w:val="bottom"/>
          </w:tcPr>
          <w:p w14:paraId="0A262AB9" w14:textId="77777777" w:rsidR="00FA152E" w:rsidRPr="00EE118B" w:rsidRDefault="00FA152E" w:rsidP="00B20A65">
            <w:pPr>
              <w:spacing w:after="0"/>
              <w:rPr>
                <w:rFonts w:ascii="Times Roman" w:hAnsi="Times Roman"/>
                <w:color w:val="000000"/>
                <w:sz w:val="18"/>
                <w:szCs w:val="18"/>
              </w:rPr>
            </w:pPr>
            <w:r w:rsidRPr="00EE118B">
              <w:rPr>
                <w:rFonts w:ascii="Times Roman" w:hAnsi="Times Roman"/>
                <w:color w:val="000000"/>
                <w:sz w:val="18"/>
                <w:szCs w:val="18"/>
              </w:rPr>
              <w:t xml:space="preserve">505 200 </w:t>
            </w:r>
          </w:p>
        </w:tc>
      </w:tr>
      <w:tr w:rsidR="00FA152E" w:rsidRPr="00EE118B" w14:paraId="68081999" w14:textId="77777777" w:rsidTr="00124653">
        <w:tc>
          <w:tcPr>
            <w:tcW w:w="942" w:type="pct"/>
            <w:tcBorders>
              <w:bottom w:val="single" w:sz="4" w:space="0" w:color="auto"/>
            </w:tcBorders>
            <w:vAlign w:val="bottom"/>
          </w:tcPr>
          <w:p w14:paraId="72DA4CA0" w14:textId="77777777" w:rsidR="00FA152E" w:rsidRPr="00EE118B" w:rsidRDefault="00FA152E" w:rsidP="00B20A65">
            <w:pPr>
              <w:spacing w:after="0"/>
              <w:outlineLvl w:val="5"/>
              <w:rPr>
                <w:sz w:val="18"/>
                <w:szCs w:val="18"/>
              </w:rPr>
            </w:pPr>
            <w:r w:rsidRPr="00EE118B">
              <w:rPr>
                <w:sz w:val="18"/>
                <w:szCs w:val="18"/>
              </w:rPr>
              <w:t>Universitets- eller høgskoleutdanning lengre enn 4 år</w:t>
            </w:r>
          </w:p>
        </w:tc>
        <w:tc>
          <w:tcPr>
            <w:tcW w:w="252" w:type="pct"/>
            <w:tcBorders>
              <w:bottom w:val="single" w:sz="4" w:space="0" w:color="auto"/>
            </w:tcBorders>
            <w:vAlign w:val="bottom"/>
          </w:tcPr>
          <w:p w14:paraId="3BBA810C" w14:textId="77777777" w:rsidR="00FA152E" w:rsidRPr="00EE118B" w:rsidRDefault="00FA152E" w:rsidP="00B20A65">
            <w:pPr>
              <w:spacing w:after="0"/>
              <w:ind w:right="-71"/>
              <w:rPr>
                <w:sz w:val="18"/>
                <w:szCs w:val="18"/>
              </w:rPr>
            </w:pPr>
            <w:r w:rsidRPr="00EE118B">
              <w:rPr>
                <w:color w:val="000000"/>
                <w:sz w:val="18"/>
                <w:szCs w:val="18"/>
              </w:rPr>
              <w:t>82,4</w:t>
            </w:r>
          </w:p>
        </w:tc>
        <w:tc>
          <w:tcPr>
            <w:tcW w:w="258" w:type="pct"/>
            <w:tcBorders>
              <w:bottom w:val="single" w:sz="4" w:space="0" w:color="auto"/>
            </w:tcBorders>
            <w:vAlign w:val="bottom"/>
          </w:tcPr>
          <w:p w14:paraId="7CF58AFD" w14:textId="77777777" w:rsidR="00FA152E" w:rsidRPr="00EE118B" w:rsidRDefault="00FA152E" w:rsidP="00B20A65">
            <w:pPr>
              <w:spacing w:after="0"/>
              <w:rPr>
                <w:sz w:val="18"/>
                <w:szCs w:val="18"/>
              </w:rPr>
            </w:pPr>
            <w:r w:rsidRPr="00EE118B">
              <w:rPr>
                <w:color w:val="000000"/>
                <w:sz w:val="18"/>
                <w:szCs w:val="18"/>
              </w:rPr>
              <w:t>81,9</w:t>
            </w:r>
          </w:p>
        </w:tc>
        <w:tc>
          <w:tcPr>
            <w:tcW w:w="299" w:type="pct"/>
            <w:tcBorders>
              <w:bottom w:val="single" w:sz="4" w:space="0" w:color="auto"/>
            </w:tcBorders>
            <w:vAlign w:val="bottom"/>
          </w:tcPr>
          <w:p w14:paraId="72E1FFBF" w14:textId="77777777" w:rsidR="00FA152E" w:rsidRPr="00EE118B" w:rsidRDefault="00FA152E" w:rsidP="00B20A65">
            <w:pPr>
              <w:spacing w:after="0"/>
              <w:rPr>
                <w:sz w:val="18"/>
                <w:szCs w:val="18"/>
              </w:rPr>
            </w:pPr>
            <w:r w:rsidRPr="00EE118B">
              <w:rPr>
                <w:color w:val="000000"/>
                <w:sz w:val="18"/>
                <w:szCs w:val="18"/>
              </w:rPr>
              <w:t>81,1</w:t>
            </w:r>
          </w:p>
        </w:tc>
        <w:tc>
          <w:tcPr>
            <w:tcW w:w="298" w:type="pct"/>
            <w:tcBorders>
              <w:bottom w:val="single" w:sz="4" w:space="0" w:color="auto"/>
              <w:right w:val="single" w:sz="4" w:space="0" w:color="auto"/>
            </w:tcBorders>
            <w:vAlign w:val="bottom"/>
          </w:tcPr>
          <w:p w14:paraId="631D3BB2" w14:textId="77777777" w:rsidR="00FA152E" w:rsidRPr="00EE118B" w:rsidRDefault="00FA152E" w:rsidP="00B20A65">
            <w:pPr>
              <w:spacing w:after="0"/>
              <w:jc w:val="center"/>
              <w:rPr>
                <w:sz w:val="18"/>
                <w:szCs w:val="18"/>
              </w:rPr>
            </w:pPr>
            <w:r w:rsidRPr="00EE118B">
              <w:rPr>
                <w:sz w:val="18"/>
                <w:szCs w:val="18"/>
              </w:rPr>
              <w:t>80,5</w:t>
            </w:r>
          </w:p>
        </w:tc>
        <w:tc>
          <w:tcPr>
            <w:tcW w:w="299" w:type="pct"/>
            <w:tcBorders>
              <w:left w:val="single" w:sz="4" w:space="0" w:color="auto"/>
              <w:bottom w:val="single" w:sz="4" w:space="0" w:color="auto"/>
            </w:tcBorders>
            <w:vAlign w:val="bottom"/>
          </w:tcPr>
          <w:p w14:paraId="7387F87F" w14:textId="77777777" w:rsidR="00FA152E" w:rsidRPr="00EE118B" w:rsidRDefault="00FA152E" w:rsidP="00B20A65">
            <w:pPr>
              <w:spacing w:after="0"/>
              <w:ind w:right="-212"/>
              <w:rPr>
                <w:sz w:val="18"/>
                <w:szCs w:val="18"/>
              </w:rPr>
            </w:pPr>
            <w:r w:rsidRPr="00EE118B">
              <w:rPr>
                <w:sz w:val="18"/>
                <w:szCs w:val="18"/>
              </w:rPr>
              <w:t>80,4</w:t>
            </w:r>
          </w:p>
        </w:tc>
        <w:tc>
          <w:tcPr>
            <w:tcW w:w="298" w:type="pct"/>
            <w:tcBorders>
              <w:bottom w:val="single" w:sz="4" w:space="0" w:color="auto"/>
            </w:tcBorders>
            <w:vAlign w:val="bottom"/>
          </w:tcPr>
          <w:p w14:paraId="4255225D" w14:textId="77777777" w:rsidR="00FA152E" w:rsidRPr="00EE118B" w:rsidRDefault="00FA152E" w:rsidP="00B20A65">
            <w:pPr>
              <w:spacing w:after="0"/>
              <w:rPr>
                <w:sz w:val="18"/>
                <w:szCs w:val="18"/>
              </w:rPr>
            </w:pPr>
            <w:r w:rsidRPr="00EE118B">
              <w:rPr>
                <w:sz w:val="18"/>
                <w:szCs w:val="18"/>
              </w:rPr>
              <w:t>81,1</w:t>
            </w:r>
          </w:p>
        </w:tc>
        <w:tc>
          <w:tcPr>
            <w:tcW w:w="299" w:type="pct"/>
            <w:tcBorders>
              <w:bottom w:val="single" w:sz="4" w:space="0" w:color="auto"/>
            </w:tcBorders>
            <w:vAlign w:val="bottom"/>
          </w:tcPr>
          <w:p w14:paraId="571417EF" w14:textId="77777777" w:rsidR="00FA152E" w:rsidRPr="00EE118B" w:rsidRDefault="00FA152E" w:rsidP="00B20A65">
            <w:pPr>
              <w:spacing w:after="0"/>
              <w:rPr>
                <w:rFonts w:ascii="Times New Roman" w:hAnsi="Times New Roman"/>
                <w:sz w:val="18"/>
                <w:szCs w:val="18"/>
              </w:rPr>
            </w:pPr>
            <w:r w:rsidRPr="00EE118B">
              <w:rPr>
                <w:rFonts w:ascii="Times New Roman" w:hAnsi="Times New Roman"/>
                <w:color w:val="000000"/>
                <w:sz w:val="18"/>
                <w:szCs w:val="18"/>
              </w:rPr>
              <w:t>81,3</w:t>
            </w:r>
          </w:p>
        </w:tc>
        <w:tc>
          <w:tcPr>
            <w:tcW w:w="298" w:type="pct"/>
            <w:tcBorders>
              <w:bottom w:val="single" w:sz="4" w:space="0" w:color="auto"/>
            </w:tcBorders>
            <w:vAlign w:val="bottom"/>
          </w:tcPr>
          <w:p w14:paraId="38E716F9" w14:textId="77777777" w:rsidR="00FA152E" w:rsidRPr="00EE118B" w:rsidRDefault="00FA152E" w:rsidP="00B20A65">
            <w:pPr>
              <w:spacing w:after="0"/>
              <w:jc w:val="right"/>
              <w:rPr>
                <w:rFonts w:ascii="Times New Roman" w:hAnsi="Times New Roman"/>
                <w:color w:val="000000"/>
                <w:sz w:val="18"/>
                <w:szCs w:val="18"/>
              </w:rPr>
            </w:pPr>
            <w:r w:rsidRPr="00EE118B">
              <w:rPr>
                <w:sz w:val="18"/>
                <w:szCs w:val="18"/>
              </w:rPr>
              <w:t>80,9</w:t>
            </w:r>
          </w:p>
        </w:tc>
        <w:tc>
          <w:tcPr>
            <w:tcW w:w="299" w:type="pct"/>
            <w:tcBorders>
              <w:bottom w:val="single" w:sz="4" w:space="0" w:color="auto"/>
            </w:tcBorders>
            <w:vAlign w:val="bottom"/>
          </w:tcPr>
          <w:p w14:paraId="14691E8F" w14:textId="77777777" w:rsidR="00FA152E" w:rsidRPr="00EE118B" w:rsidRDefault="00FA152E" w:rsidP="00B20A65">
            <w:pPr>
              <w:spacing w:after="0"/>
              <w:jc w:val="right"/>
              <w:rPr>
                <w:rFonts w:ascii="Times New Roman" w:hAnsi="Times New Roman"/>
                <w:color w:val="000000"/>
                <w:sz w:val="18"/>
                <w:szCs w:val="18"/>
              </w:rPr>
            </w:pPr>
            <w:r w:rsidRPr="00EE118B">
              <w:rPr>
                <w:rFonts w:ascii="Times New Roman" w:hAnsi="Times New Roman"/>
                <w:color w:val="000000"/>
                <w:sz w:val="18"/>
                <w:szCs w:val="18"/>
              </w:rPr>
              <w:t>81,1</w:t>
            </w:r>
          </w:p>
        </w:tc>
        <w:tc>
          <w:tcPr>
            <w:tcW w:w="298" w:type="pct"/>
            <w:tcBorders>
              <w:bottom w:val="single" w:sz="4" w:space="0" w:color="auto"/>
            </w:tcBorders>
            <w:vAlign w:val="bottom"/>
          </w:tcPr>
          <w:p w14:paraId="1FC60E19" w14:textId="77777777" w:rsidR="00FA152E" w:rsidRPr="00EE118B" w:rsidRDefault="00FA152E" w:rsidP="00B20A65">
            <w:pPr>
              <w:spacing w:after="0"/>
              <w:jc w:val="right"/>
              <w:rPr>
                <w:rFonts w:ascii="Times Roman" w:hAnsi="Times Roman"/>
                <w:color w:val="000000"/>
                <w:sz w:val="18"/>
                <w:szCs w:val="18"/>
              </w:rPr>
            </w:pPr>
            <w:r w:rsidRPr="00EE118B">
              <w:rPr>
                <w:rFonts w:ascii="Times Roman" w:hAnsi="Times Roman"/>
                <w:color w:val="000000"/>
                <w:sz w:val="18"/>
                <w:szCs w:val="18"/>
              </w:rPr>
              <w:t>81,2</w:t>
            </w:r>
          </w:p>
        </w:tc>
        <w:tc>
          <w:tcPr>
            <w:tcW w:w="299" w:type="pct"/>
            <w:tcBorders>
              <w:bottom w:val="single" w:sz="4" w:space="0" w:color="auto"/>
            </w:tcBorders>
            <w:vAlign w:val="bottom"/>
          </w:tcPr>
          <w:p w14:paraId="0C1786C3" w14:textId="77777777" w:rsidR="00FA152E" w:rsidRPr="00EE118B" w:rsidRDefault="00FA152E" w:rsidP="00B20A65">
            <w:pPr>
              <w:spacing w:after="0"/>
              <w:jc w:val="right"/>
              <w:rPr>
                <w:rFonts w:ascii="Times Roman" w:hAnsi="Times Roman"/>
                <w:color w:val="000000"/>
                <w:sz w:val="18"/>
                <w:szCs w:val="18"/>
              </w:rPr>
            </w:pPr>
            <w:r w:rsidRPr="00EE118B">
              <w:rPr>
                <w:rFonts w:ascii="Times Roman" w:hAnsi="Times Roman"/>
                <w:color w:val="000000"/>
                <w:sz w:val="18"/>
                <w:szCs w:val="18"/>
              </w:rPr>
              <w:t>80,9</w:t>
            </w:r>
          </w:p>
        </w:tc>
        <w:tc>
          <w:tcPr>
            <w:tcW w:w="420" w:type="pct"/>
            <w:tcBorders>
              <w:bottom w:val="single" w:sz="4" w:space="0" w:color="auto"/>
            </w:tcBorders>
            <w:vAlign w:val="bottom"/>
          </w:tcPr>
          <w:p w14:paraId="7D99AAB9" w14:textId="77777777" w:rsidR="00FA152E" w:rsidRPr="00EE118B" w:rsidRDefault="00FA152E" w:rsidP="00B20A65">
            <w:pPr>
              <w:spacing w:after="0"/>
              <w:rPr>
                <w:rFonts w:ascii="Times Roman" w:hAnsi="Times Roman"/>
                <w:color w:val="000000"/>
                <w:sz w:val="18"/>
                <w:szCs w:val="18"/>
              </w:rPr>
            </w:pPr>
            <w:r w:rsidRPr="00EE118B">
              <w:rPr>
                <w:rFonts w:ascii="Times Roman" w:hAnsi="Times Roman"/>
                <w:color w:val="000000"/>
                <w:sz w:val="18"/>
                <w:szCs w:val="18"/>
              </w:rPr>
              <w:t xml:space="preserve">760 800 </w:t>
            </w:r>
          </w:p>
        </w:tc>
        <w:tc>
          <w:tcPr>
            <w:tcW w:w="441" w:type="pct"/>
            <w:tcBorders>
              <w:bottom w:val="single" w:sz="4" w:space="0" w:color="auto"/>
            </w:tcBorders>
            <w:vAlign w:val="bottom"/>
          </w:tcPr>
          <w:p w14:paraId="0B376AC7" w14:textId="77777777" w:rsidR="00FA152E" w:rsidRPr="00EE118B" w:rsidRDefault="00FA152E" w:rsidP="00B20A65">
            <w:pPr>
              <w:spacing w:after="0"/>
              <w:rPr>
                <w:rFonts w:ascii="Times Roman" w:hAnsi="Times Roman"/>
                <w:color w:val="000000"/>
                <w:sz w:val="18"/>
                <w:szCs w:val="18"/>
              </w:rPr>
            </w:pPr>
            <w:r w:rsidRPr="00EE118B">
              <w:rPr>
                <w:rFonts w:ascii="Times Roman" w:hAnsi="Times Roman"/>
                <w:color w:val="000000"/>
                <w:sz w:val="18"/>
                <w:szCs w:val="18"/>
              </w:rPr>
              <w:t xml:space="preserve">615 600 </w:t>
            </w:r>
          </w:p>
        </w:tc>
      </w:tr>
      <w:tr w:rsidR="00FA152E" w:rsidRPr="00EE118B" w14:paraId="3036776C" w14:textId="77777777" w:rsidTr="00124653">
        <w:tc>
          <w:tcPr>
            <w:tcW w:w="942" w:type="pct"/>
            <w:tcBorders>
              <w:top w:val="single" w:sz="4" w:space="0" w:color="auto"/>
              <w:bottom w:val="single" w:sz="4" w:space="0" w:color="auto"/>
            </w:tcBorders>
            <w:vAlign w:val="bottom"/>
          </w:tcPr>
          <w:p w14:paraId="19CB0376" w14:textId="77777777" w:rsidR="00FA152E" w:rsidRPr="00EE118B" w:rsidRDefault="00FA152E" w:rsidP="00B20A65">
            <w:pPr>
              <w:spacing w:after="0"/>
              <w:outlineLvl w:val="5"/>
              <w:rPr>
                <w:sz w:val="18"/>
                <w:szCs w:val="18"/>
              </w:rPr>
            </w:pPr>
            <w:r w:rsidRPr="00EE118B">
              <w:rPr>
                <w:sz w:val="18"/>
                <w:szCs w:val="18"/>
              </w:rPr>
              <w:t xml:space="preserve">Gjennomsnitt </w:t>
            </w:r>
            <w:r>
              <w:rPr>
                <w:sz w:val="18"/>
                <w:szCs w:val="18"/>
              </w:rPr>
              <w:t>(heltids- og deltidsansatte)</w:t>
            </w:r>
            <w:r w:rsidRPr="00EE118B">
              <w:rPr>
                <w:sz w:val="18"/>
                <w:szCs w:val="18"/>
              </w:rPr>
              <w:t xml:space="preserve"> </w:t>
            </w:r>
          </w:p>
        </w:tc>
        <w:tc>
          <w:tcPr>
            <w:tcW w:w="252" w:type="pct"/>
            <w:tcBorders>
              <w:top w:val="single" w:sz="4" w:space="0" w:color="auto"/>
              <w:bottom w:val="single" w:sz="4" w:space="0" w:color="auto"/>
            </w:tcBorders>
            <w:vAlign w:val="bottom"/>
          </w:tcPr>
          <w:p w14:paraId="1C508988" w14:textId="77777777" w:rsidR="00FA152E" w:rsidRPr="00EE118B" w:rsidRDefault="00FA152E" w:rsidP="00B20A65">
            <w:pPr>
              <w:spacing w:after="0"/>
              <w:ind w:right="-71"/>
              <w:rPr>
                <w:sz w:val="18"/>
                <w:szCs w:val="18"/>
              </w:rPr>
            </w:pPr>
            <w:r w:rsidRPr="00EE118B">
              <w:rPr>
                <w:color w:val="000000"/>
                <w:sz w:val="18"/>
                <w:szCs w:val="18"/>
              </w:rPr>
              <w:t>84,7</w:t>
            </w:r>
          </w:p>
        </w:tc>
        <w:tc>
          <w:tcPr>
            <w:tcW w:w="258" w:type="pct"/>
            <w:tcBorders>
              <w:top w:val="single" w:sz="4" w:space="0" w:color="auto"/>
              <w:bottom w:val="single" w:sz="4" w:space="0" w:color="auto"/>
            </w:tcBorders>
            <w:vAlign w:val="bottom"/>
          </w:tcPr>
          <w:p w14:paraId="58B8DAB4" w14:textId="77777777" w:rsidR="00FA152E" w:rsidRPr="00EE118B" w:rsidRDefault="00FA152E" w:rsidP="00B20A65">
            <w:pPr>
              <w:spacing w:after="0"/>
              <w:rPr>
                <w:sz w:val="18"/>
                <w:szCs w:val="18"/>
              </w:rPr>
            </w:pPr>
            <w:r w:rsidRPr="00EE118B">
              <w:rPr>
                <w:color w:val="000000"/>
                <w:sz w:val="18"/>
                <w:szCs w:val="18"/>
              </w:rPr>
              <w:t>84,6</w:t>
            </w:r>
          </w:p>
        </w:tc>
        <w:tc>
          <w:tcPr>
            <w:tcW w:w="299" w:type="pct"/>
            <w:tcBorders>
              <w:top w:val="single" w:sz="4" w:space="0" w:color="auto"/>
              <w:bottom w:val="single" w:sz="4" w:space="0" w:color="auto"/>
            </w:tcBorders>
            <w:vAlign w:val="bottom"/>
          </w:tcPr>
          <w:p w14:paraId="46AB235A" w14:textId="77777777" w:rsidR="00FA152E" w:rsidRPr="00EE118B" w:rsidRDefault="00FA152E" w:rsidP="00B20A65">
            <w:pPr>
              <w:spacing w:after="0"/>
              <w:rPr>
                <w:sz w:val="18"/>
                <w:szCs w:val="18"/>
              </w:rPr>
            </w:pPr>
            <w:r w:rsidRPr="00EE118B">
              <w:rPr>
                <w:color w:val="000000"/>
                <w:sz w:val="18"/>
                <w:szCs w:val="18"/>
              </w:rPr>
              <w:t>84,3</w:t>
            </w:r>
          </w:p>
        </w:tc>
        <w:tc>
          <w:tcPr>
            <w:tcW w:w="298" w:type="pct"/>
            <w:tcBorders>
              <w:top w:val="single" w:sz="4" w:space="0" w:color="auto"/>
              <w:bottom w:val="single" w:sz="4" w:space="0" w:color="auto"/>
              <w:right w:val="single" w:sz="4" w:space="0" w:color="auto"/>
            </w:tcBorders>
            <w:vAlign w:val="bottom"/>
          </w:tcPr>
          <w:p w14:paraId="2E78061E" w14:textId="77777777" w:rsidR="00FA152E" w:rsidRPr="00EE118B" w:rsidRDefault="00FA152E" w:rsidP="00B20A65">
            <w:pPr>
              <w:spacing w:after="0"/>
              <w:jc w:val="center"/>
              <w:rPr>
                <w:sz w:val="18"/>
                <w:szCs w:val="18"/>
              </w:rPr>
            </w:pPr>
            <w:r w:rsidRPr="00EE118B">
              <w:rPr>
                <w:sz w:val="18"/>
                <w:szCs w:val="18"/>
              </w:rPr>
              <w:t>85,0</w:t>
            </w:r>
          </w:p>
        </w:tc>
        <w:tc>
          <w:tcPr>
            <w:tcW w:w="299" w:type="pct"/>
            <w:tcBorders>
              <w:top w:val="single" w:sz="4" w:space="0" w:color="auto"/>
              <w:left w:val="single" w:sz="4" w:space="0" w:color="auto"/>
              <w:bottom w:val="single" w:sz="4" w:space="0" w:color="auto"/>
            </w:tcBorders>
            <w:vAlign w:val="bottom"/>
          </w:tcPr>
          <w:p w14:paraId="4D8F7F3E" w14:textId="77777777" w:rsidR="00FA152E" w:rsidRPr="00EE118B" w:rsidRDefault="00FA152E" w:rsidP="00B20A65">
            <w:pPr>
              <w:spacing w:after="0"/>
              <w:ind w:right="-212"/>
              <w:rPr>
                <w:sz w:val="18"/>
                <w:szCs w:val="18"/>
              </w:rPr>
            </w:pPr>
            <w:r w:rsidRPr="00EE118B">
              <w:rPr>
                <w:sz w:val="18"/>
                <w:szCs w:val="18"/>
              </w:rPr>
              <w:t>83,9</w:t>
            </w:r>
          </w:p>
        </w:tc>
        <w:tc>
          <w:tcPr>
            <w:tcW w:w="298" w:type="pct"/>
            <w:tcBorders>
              <w:top w:val="single" w:sz="4" w:space="0" w:color="auto"/>
              <w:bottom w:val="single" w:sz="4" w:space="0" w:color="auto"/>
            </w:tcBorders>
            <w:vAlign w:val="bottom"/>
          </w:tcPr>
          <w:p w14:paraId="15115F44" w14:textId="77777777" w:rsidR="00FA152E" w:rsidRPr="00EE118B" w:rsidRDefault="00FA152E" w:rsidP="00B20A65">
            <w:pPr>
              <w:spacing w:after="0"/>
              <w:rPr>
                <w:sz w:val="18"/>
                <w:szCs w:val="18"/>
              </w:rPr>
            </w:pPr>
            <w:r w:rsidRPr="00EE118B">
              <w:rPr>
                <w:sz w:val="18"/>
                <w:szCs w:val="18"/>
              </w:rPr>
              <w:t>84,7</w:t>
            </w:r>
          </w:p>
        </w:tc>
        <w:tc>
          <w:tcPr>
            <w:tcW w:w="299" w:type="pct"/>
            <w:tcBorders>
              <w:top w:val="single" w:sz="4" w:space="0" w:color="auto"/>
              <w:bottom w:val="single" w:sz="4" w:space="0" w:color="auto"/>
            </w:tcBorders>
            <w:vAlign w:val="bottom"/>
          </w:tcPr>
          <w:p w14:paraId="56808333" w14:textId="77777777" w:rsidR="00FA152E" w:rsidRPr="00EE118B" w:rsidRDefault="00FA152E" w:rsidP="00B20A65">
            <w:pPr>
              <w:spacing w:after="0"/>
              <w:rPr>
                <w:rFonts w:ascii="Times New Roman" w:hAnsi="Times New Roman"/>
                <w:sz w:val="18"/>
                <w:szCs w:val="18"/>
              </w:rPr>
            </w:pPr>
            <w:r w:rsidRPr="00EE118B">
              <w:rPr>
                <w:rFonts w:ascii="Times New Roman" w:hAnsi="Times New Roman"/>
                <w:color w:val="000000"/>
                <w:sz w:val="18"/>
                <w:szCs w:val="18"/>
              </w:rPr>
              <w:t>85,0</w:t>
            </w:r>
          </w:p>
        </w:tc>
        <w:tc>
          <w:tcPr>
            <w:tcW w:w="298" w:type="pct"/>
            <w:tcBorders>
              <w:top w:val="single" w:sz="4" w:space="0" w:color="auto"/>
              <w:bottom w:val="single" w:sz="4" w:space="0" w:color="auto"/>
            </w:tcBorders>
            <w:vAlign w:val="bottom"/>
          </w:tcPr>
          <w:p w14:paraId="1B363104" w14:textId="77777777" w:rsidR="00FA152E" w:rsidRPr="00EE118B" w:rsidRDefault="00FA152E" w:rsidP="00B20A65">
            <w:pPr>
              <w:spacing w:after="0"/>
              <w:jc w:val="right"/>
              <w:rPr>
                <w:rFonts w:ascii="Times New Roman" w:hAnsi="Times New Roman"/>
                <w:color w:val="000000"/>
                <w:sz w:val="18"/>
                <w:szCs w:val="18"/>
              </w:rPr>
            </w:pPr>
            <w:r w:rsidRPr="00EE118B">
              <w:rPr>
                <w:rFonts w:ascii="Times New Roman" w:hAnsi="Times New Roman"/>
                <w:color w:val="000000"/>
                <w:sz w:val="18"/>
                <w:szCs w:val="18"/>
              </w:rPr>
              <w:t>85,3</w:t>
            </w:r>
          </w:p>
        </w:tc>
        <w:tc>
          <w:tcPr>
            <w:tcW w:w="299" w:type="pct"/>
            <w:tcBorders>
              <w:top w:val="single" w:sz="4" w:space="0" w:color="auto"/>
              <w:bottom w:val="single" w:sz="4" w:space="0" w:color="auto"/>
            </w:tcBorders>
            <w:vAlign w:val="bottom"/>
          </w:tcPr>
          <w:p w14:paraId="0903391A" w14:textId="77777777" w:rsidR="00FA152E" w:rsidRPr="00EE118B" w:rsidRDefault="00FA152E" w:rsidP="00B20A65">
            <w:pPr>
              <w:spacing w:after="0"/>
              <w:jc w:val="right"/>
              <w:rPr>
                <w:rFonts w:ascii="Times New Roman" w:hAnsi="Times New Roman"/>
                <w:color w:val="000000"/>
                <w:sz w:val="18"/>
                <w:szCs w:val="18"/>
              </w:rPr>
            </w:pPr>
            <w:r w:rsidRPr="00EE118B">
              <w:rPr>
                <w:rFonts w:ascii="Times New Roman" w:hAnsi="Times New Roman"/>
                <w:color w:val="000000"/>
                <w:sz w:val="18"/>
                <w:szCs w:val="18"/>
              </w:rPr>
              <w:t>86,5</w:t>
            </w:r>
          </w:p>
        </w:tc>
        <w:tc>
          <w:tcPr>
            <w:tcW w:w="298" w:type="pct"/>
            <w:tcBorders>
              <w:top w:val="single" w:sz="4" w:space="0" w:color="auto"/>
              <w:bottom w:val="single" w:sz="4" w:space="0" w:color="auto"/>
            </w:tcBorders>
            <w:vAlign w:val="bottom"/>
          </w:tcPr>
          <w:p w14:paraId="5BB25B55" w14:textId="77777777" w:rsidR="00FA152E" w:rsidRPr="00EE118B" w:rsidRDefault="00FA152E" w:rsidP="00B20A65">
            <w:pPr>
              <w:spacing w:after="0"/>
              <w:jc w:val="right"/>
              <w:rPr>
                <w:rFonts w:ascii="Times Roman" w:hAnsi="Times Roman"/>
                <w:color w:val="000000"/>
                <w:sz w:val="18"/>
                <w:szCs w:val="18"/>
              </w:rPr>
            </w:pPr>
            <w:r w:rsidRPr="00EE118B">
              <w:rPr>
                <w:rFonts w:ascii="Times Roman" w:hAnsi="Times Roman"/>
                <w:color w:val="000000"/>
                <w:sz w:val="18"/>
                <w:szCs w:val="18"/>
              </w:rPr>
              <w:t>85,8</w:t>
            </w:r>
          </w:p>
        </w:tc>
        <w:tc>
          <w:tcPr>
            <w:tcW w:w="299" w:type="pct"/>
            <w:tcBorders>
              <w:top w:val="single" w:sz="4" w:space="0" w:color="auto"/>
              <w:bottom w:val="single" w:sz="4" w:space="0" w:color="auto"/>
            </w:tcBorders>
            <w:vAlign w:val="bottom"/>
          </w:tcPr>
          <w:p w14:paraId="6466B141" w14:textId="77777777" w:rsidR="00FA152E" w:rsidRPr="00EE118B" w:rsidRDefault="00FA152E" w:rsidP="00B20A65">
            <w:pPr>
              <w:spacing w:after="0"/>
              <w:jc w:val="right"/>
              <w:rPr>
                <w:rFonts w:ascii="Times Roman" w:hAnsi="Times Roman"/>
                <w:color w:val="000000"/>
                <w:sz w:val="18"/>
                <w:szCs w:val="18"/>
              </w:rPr>
            </w:pPr>
            <w:r w:rsidRPr="00EE118B">
              <w:rPr>
                <w:rFonts w:ascii="Times Roman" w:hAnsi="Times Roman"/>
                <w:color w:val="000000"/>
                <w:sz w:val="18"/>
                <w:szCs w:val="18"/>
              </w:rPr>
              <w:t>86,4</w:t>
            </w:r>
          </w:p>
        </w:tc>
        <w:tc>
          <w:tcPr>
            <w:tcW w:w="420" w:type="pct"/>
            <w:tcBorders>
              <w:top w:val="single" w:sz="4" w:space="0" w:color="auto"/>
              <w:bottom w:val="single" w:sz="4" w:space="0" w:color="auto"/>
            </w:tcBorders>
            <w:vAlign w:val="bottom"/>
          </w:tcPr>
          <w:p w14:paraId="52AB0199" w14:textId="77777777" w:rsidR="00FA152E" w:rsidRPr="00EE118B" w:rsidRDefault="00FA152E" w:rsidP="00B20A65">
            <w:pPr>
              <w:spacing w:after="0"/>
              <w:rPr>
                <w:rFonts w:ascii="Times Roman" w:hAnsi="Times Roman"/>
                <w:color w:val="000000"/>
                <w:sz w:val="18"/>
                <w:szCs w:val="18"/>
              </w:rPr>
            </w:pPr>
            <w:r w:rsidRPr="00EE118B">
              <w:rPr>
                <w:rFonts w:ascii="Times Roman" w:hAnsi="Times Roman"/>
                <w:color w:val="000000"/>
                <w:sz w:val="18"/>
                <w:szCs w:val="18"/>
              </w:rPr>
              <w:t xml:space="preserve">538 800 </w:t>
            </w:r>
          </w:p>
        </w:tc>
        <w:tc>
          <w:tcPr>
            <w:tcW w:w="441" w:type="pct"/>
            <w:tcBorders>
              <w:top w:val="single" w:sz="4" w:space="0" w:color="auto"/>
              <w:bottom w:val="single" w:sz="4" w:space="0" w:color="auto"/>
            </w:tcBorders>
            <w:vAlign w:val="bottom"/>
          </w:tcPr>
          <w:p w14:paraId="05693582" w14:textId="77777777" w:rsidR="00FA152E" w:rsidRPr="00EE118B" w:rsidRDefault="00FA152E" w:rsidP="00B20A65">
            <w:pPr>
              <w:spacing w:after="0"/>
              <w:rPr>
                <w:rFonts w:ascii="Times Roman" w:hAnsi="Times Roman"/>
                <w:color w:val="000000"/>
                <w:sz w:val="18"/>
                <w:szCs w:val="18"/>
              </w:rPr>
            </w:pPr>
            <w:r w:rsidRPr="00EE118B">
              <w:rPr>
                <w:rFonts w:ascii="Times Roman" w:hAnsi="Times Roman"/>
                <w:color w:val="000000"/>
                <w:sz w:val="18"/>
                <w:szCs w:val="18"/>
              </w:rPr>
              <w:t xml:space="preserve">465 600 </w:t>
            </w:r>
          </w:p>
        </w:tc>
      </w:tr>
    </w:tbl>
    <w:p w14:paraId="349030BE" w14:textId="77777777" w:rsidR="00DA3C9E" w:rsidRDefault="00DA3C9E" w:rsidP="006E305B">
      <w:pPr>
        <w:pStyle w:val="tabell-noter"/>
        <w:numPr>
          <w:ilvl w:val="0"/>
          <w:numId w:val="59"/>
        </w:numPr>
        <w:spacing w:after="0"/>
        <w:ind w:left="709" w:hanging="709"/>
        <w:rPr>
          <w:iCs/>
          <w:snapToGrid w:val="0"/>
        </w:rPr>
      </w:pPr>
      <w:r>
        <w:t>Per september/oktober/desember.</w:t>
      </w:r>
    </w:p>
    <w:p w14:paraId="1AAABFF1" w14:textId="77777777" w:rsidR="00DA3C9E" w:rsidRPr="00260765" w:rsidRDefault="00DA3C9E" w:rsidP="006E305B">
      <w:pPr>
        <w:pStyle w:val="tabell-noter"/>
        <w:numPr>
          <w:ilvl w:val="0"/>
          <w:numId w:val="59"/>
        </w:numPr>
        <w:spacing w:after="0"/>
        <w:ind w:left="284" w:hanging="284"/>
      </w:pPr>
      <w:r w:rsidRPr="006306AE">
        <w:rPr>
          <w:iCs/>
        </w:rPr>
        <w:t xml:space="preserve">Tallene er beregnet etter </w:t>
      </w:r>
      <w:r>
        <w:rPr>
          <w:iCs/>
        </w:rPr>
        <w:t>ny næringsstandard.</w:t>
      </w:r>
    </w:p>
    <w:p w14:paraId="23924F01" w14:textId="0EAC4FA9" w:rsidR="00DA3C9E" w:rsidRDefault="00573205" w:rsidP="006E305B">
      <w:pPr>
        <w:pStyle w:val="tabell-noter"/>
        <w:numPr>
          <w:ilvl w:val="0"/>
          <w:numId w:val="59"/>
        </w:numPr>
        <w:spacing w:after="0"/>
        <w:ind w:left="284" w:hanging="284"/>
        <w:rPr>
          <w:iCs/>
        </w:rPr>
      </w:pPr>
      <w:r>
        <w:rPr>
          <w:iCs/>
        </w:rPr>
        <w:t>Statistisk sentralbyrå</w:t>
      </w:r>
      <w:r w:rsidR="00DA3C9E">
        <w:rPr>
          <w:iCs/>
        </w:rPr>
        <w:t xml:space="preserve"> gjennomførte i 2011 en spørreundersøkelse blant innvandrere som ikke hadde noen registrert utdanning i registeret for Befolkningens høyeste utdanningsnivå (BHU). Resultatet fra denne undersøkelsen er at </w:t>
      </w:r>
      <w:r w:rsidR="001A66B9">
        <w:rPr>
          <w:iCs/>
        </w:rPr>
        <w:t>ca.</w:t>
      </w:r>
      <w:r w:rsidR="00DA3C9E">
        <w:rPr>
          <w:iCs/>
        </w:rPr>
        <w:t xml:space="preserve"> 139 000 personer nå har fått påført utdanningskode. Tidligere har disse innvandrerne kun vært med i totaltallet ”Gjennomsnitt (heltids- og deltidsansatte)”. Fra og med 2012 er de også med etter ”lengste utdanning”. Det er et brudd i tallserien mellom 2011 og 2012.</w:t>
      </w:r>
    </w:p>
    <w:p w14:paraId="3EED93A8" w14:textId="77777777" w:rsidR="00510204" w:rsidRDefault="00DA3C9E" w:rsidP="00FA152E">
      <w:pPr>
        <w:pStyle w:val="Nummerertliste"/>
        <w:numPr>
          <w:ilvl w:val="0"/>
          <w:numId w:val="0"/>
        </w:numPr>
        <w:ind w:left="397" w:hanging="397"/>
        <w:rPr>
          <w:sz w:val="20"/>
        </w:rPr>
      </w:pPr>
      <w:r w:rsidRPr="002443F9">
        <w:t>Kilder: Statistisk sentralbyrå og Beregningsutvalget</w:t>
      </w:r>
      <w:r>
        <w:t>.</w:t>
      </w:r>
    </w:p>
    <w:p w14:paraId="1D7B59CE" w14:textId="454AD905" w:rsidR="00486FBF" w:rsidRDefault="00486FBF">
      <w:pPr>
        <w:spacing w:after="0"/>
        <w:rPr>
          <w:rFonts w:ascii="Arial" w:eastAsia="Times New Roman" w:hAnsi="Arial" w:cstheme="minorBidi"/>
          <w:b/>
          <w:spacing w:val="4"/>
          <w:szCs w:val="22"/>
          <w:u w:val="single"/>
        </w:rPr>
      </w:pPr>
      <w:r>
        <w:rPr>
          <w:rFonts w:ascii="Arial" w:eastAsia="Times New Roman" w:hAnsi="Arial" w:cstheme="minorBidi"/>
          <w:b/>
          <w:spacing w:val="4"/>
          <w:szCs w:val="22"/>
          <w:u w:val="single"/>
        </w:rPr>
        <w:br w:type="page"/>
      </w:r>
    </w:p>
    <w:p w14:paraId="32758E8C" w14:textId="0E84BA03" w:rsidR="00486FBF" w:rsidRPr="00BA48D7" w:rsidRDefault="00BA48D7" w:rsidP="00486FBF">
      <w:pPr>
        <w:rPr>
          <w:rFonts w:ascii="Arial" w:hAnsi="Arial" w:cs="Arial"/>
          <w:b/>
        </w:rPr>
      </w:pPr>
      <w:r w:rsidRPr="00BA48D7">
        <w:rPr>
          <w:rFonts w:ascii="Arial" w:hAnsi="Arial" w:cs="Arial"/>
          <w:b/>
        </w:rPr>
        <w:t>Vedlegg 3.</w:t>
      </w:r>
    </w:p>
    <w:p w14:paraId="4183C655" w14:textId="77777777" w:rsidR="00486FBF" w:rsidRPr="00486FBF" w:rsidRDefault="00486FBF" w:rsidP="00486FBF"/>
    <w:p w14:paraId="1BEAC736" w14:textId="18B28296" w:rsidR="00BA48D7" w:rsidRPr="00BA48D7" w:rsidRDefault="00BA48D7" w:rsidP="00BA48D7">
      <w:pPr>
        <w:pStyle w:val="Overskrift1"/>
        <w:numPr>
          <w:ilvl w:val="0"/>
          <w:numId w:val="32"/>
        </w:numPr>
        <w:spacing w:before="120" w:after="240"/>
        <w:jc w:val="center"/>
        <w:rPr>
          <w:sz w:val="40"/>
          <w:szCs w:val="40"/>
        </w:rPr>
      </w:pPr>
      <w:bookmarkStart w:id="279" w:name="_Toc422226842"/>
      <w:r w:rsidRPr="00BA48D7">
        <w:rPr>
          <w:sz w:val="40"/>
          <w:szCs w:val="40"/>
        </w:rPr>
        <w:t>Allmenngjøringsforskrifter</w:t>
      </w:r>
      <w:bookmarkEnd w:id="279"/>
    </w:p>
    <w:p w14:paraId="54BBD5D4" w14:textId="0378CB08" w:rsidR="00486FBF" w:rsidRPr="00DA0BC5" w:rsidRDefault="00486FBF" w:rsidP="00486FBF">
      <w:pPr>
        <w:rPr>
          <w:rFonts w:ascii="Open Sans" w:hAnsi="Open Sans" w:hint="eastAsia"/>
          <w:color w:val="000000"/>
        </w:rPr>
      </w:pPr>
      <w:r>
        <w:rPr>
          <w:rFonts w:ascii="Open Sans" w:hAnsi="Open Sans"/>
          <w:color w:val="000000"/>
        </w:rPr>
        <w:t xml:space="preserve">I utvalgets rapport fra mars var det en oversikt over gjeldende forskrifter om allmenngjøring av tariffavtaler med lønnssatser, jf. vedlegg 5 i NOU 2015: 6. Den 11. mai fattet Tariffnemnda vedtak om allmenngjøring av tariffavtaler for godstransport på vei. Siden mars har Tariffnemnda </w:t>
      </w:r>
      <w:r w:rsidRPr="00DA0BC5">
        <w:rPr>
          <w:rFonts w:ascii="Open Sans" w:hAnsi="Open Sans"/>
          <w:color w:val="000000"/>
        </w:rPr>
        <w:t xml:space="preserve">på grunnlag av mellomoppgjøret 2015 </w:t>
      </w:r>
      <w:r>
        <w:rPr>
          <w:rFonts w:ascii="Open Sans" w:hAnsi="Open Sans"/>
          <w:color w:val="000000"/>
        </w:rPr>
        <w:t xml:space="preserve">også fattet </w:t>
      </w:r>
      <w:r w:rsidRPr="00DA0BC5">
        <w:rPr>
          <w:rFonts w:ascii="Open Sans" w:hAnsi="Open Sans"/>
          <w:color w:val="000000"/>
        </w:rPr>
        <w:t xml:space="preserve">vedtak om endringer i lønnssatser i følgende allmenngjøringsforskrifter: </w:t>
      </w:r>
    </w:p>
    <w:p w14:paraId="45071536" w14:textId="77777777" w:rsidR="00486FBF" w:rsidRPr="00DA0BC5" w:rsidRDefault="00486FBF" w:rsidP="00486FBF">
      <w:pPr>
        <w:numPr>
          <w:ilvl w:val="0"/>
          <w:numId w:val="77"/>
        </w:numPr>
        <w:spacing w:after="0"/>
        <w:ind w:left="284" w:hanging="284"/>
        <w:rPr>
          <w:rFonts w:ascii="Open Sans" w:hAnsi="Open Sans" w:hint="eastAsia"/>
          <w:color w:val="000000"/>
        </w:rPr>
      </w:pPr>
      <w:r w:rsidRPr="00DA0BC5">
        <w:rPr>
          <w:rFonts w:ascii="Open Sans" w:hAnsi="Open Sans"/>
          <w:color w:val="000000"/>
        </w:rPr>
        <w:t>Forskrift om allmenngjøring av tariffavtale for jordbruks- og gartnerinæringene</w:t>
      </w:r>
      <w:r>
        <w:rPr>
          <w:rFonts w:ascii="Open Sans" w:hAnsi="Open Sans"/>
          <w:color w:val="000000"/>
        </w:rPr>
        <w:t>.</w:t>
      </w:r>
    </w:p>
    <w:p w14:paraId="3BC58160" w14:textId="77777777" w:rsidR="00486FBF" w:rsidRPr="00DA0BC5" w:rsidRDefault="00486FBF" w:rsidP="00486FBF">
      <w:pPr>
        <w:numPr>
          <w:ilvl w:val="0"/>
          <w:numId w:val="77"/>
        </w:numPr>
        <w:spacing w:after="0"/>
        <w:ind w:left="284" w:hanging="284"/>
        <w:rPr>
          <w:rFonts w:ascii="Open Sans" w:hAnsi="Open Sans" w:hint="eastAsia"/>
          <w:color w:val="000000"/>
        </w:rPr>
      </w:pPr>
      <w:r w:rsidRPr="00DA0BC5">
        <w:rPr>
          <w:rFonts w:ascii="Open Sans" w:hAnsi="Open Sans"/>
          <w:color w:val="000000"/>
        </w:rPr>
        <w:t>Forskrift om allmenngjøring av tariffavtale for byggeplasser i Norge</w:t>
      </w:r>
      <w:r>
        <w:rPr>
          <w:rFonts w:ascii="Open Sans" w:hAnsi="Open Sans"/>
          <w:color w:val="000000"/>
        </w:rPr>
        <w:t>.</w:t>
      </w:r>
    </w:p>
    <w:p w14:paraId="230101AA" w14:textId="77777777" w:rsidR="00486FBF" w:rsidRPr="00DA0BC5" w:rsidRDefault="00486FBF" w:rsidP="00486FBF">
      <w:pPr>
        <w:numPr>
          <w:ilvl w:val="0"/>
          <w:numId w:val="77"/>
        </w:numPr>
        <w:spacing w:after="0"/>
        <w:ind w:left="284" w:hanging="284"/>
        <w:rPr>
          <w:rFonts w:ascii="Open Sans" w:hAnsi="Open Sans" w:hint="eastAsia"/>
          <w:color w:val="000000"/>
        </w:rPr>
      </w:pPr>
      <w:r w:rsidRPr="00DA0BC5">
        <w:rPr>
          <w:rFonts w:ascii="Open Sans" w:hAnsi="Open Sans"/>
          <w:color w:val="000000"/>
        </w:rPr>
        <w:t>Forskrift om allmenngjøring av tariffavtale for renholdsbedrifter</w:t>
      </w:r>
      <w:r>
        <w:rPr>
          <w:rFonts w:ascii="Open Sans" w:hAnsi="Open Sans"/>
          <w:color w:val="000000"/>
        </w:rPr>
        <w:t>.</w:t>
      </w:r>
    </w:p>
    <w:p w14:paraId="78A99CAA" w14:textId="77777777" w:rsidR="00486FBF" w:rsidRPr="00DA0BC5" w:rsidRDefault="00486FBF" w:rsidP="00486FBF">
      <w:pPr>
        <w:numPr>
          <w:ilvl w:val="0"/>
          <w:numId w:val="77"/>
        </w:numPr>
        <w:spacing w:after="0"/>
        <w:ind w:left="284" w:hanging="284"/>
        <w:rPr>
          <w:rFonts w:ascii="Open Sans" w:hAnsi="Open Sans" w:hint="eastAsia"/>
          <w:color w:val="000000"/>
        </w:rPr>
      </w:pPr>
      <w:r w:rsidRPr="00DA0BC5">
        <w:rPr>
          <w:rFonts w:ascii="Open Sans" w:hAnsi="Open Sans"/>
          <w:color w:val="000000"/>
        </w:rPr>
        <w:t>Forskrift om allmenngjøring av tariffavtale for fiskeindustribedrifter</w:t>
      </w:r>
      <w:r>
        <w:rPr>
          <w:rFonts w:ascii="Open Sans" w:hAnsi="Open Sans"/>
          <w:color w:val="000000"/>
        </w:rPr>
        <w:t>.</w:t>
      </w:r>
    </w:p>
    <w:p w14:paraId="046E2317" w14:textId="2D2A513A" w:rsidR="00486FBF" w:rsidRPr="00486FBF" w:rsidRDefault="00486FBF" w:rsidP="00486FBF">
      <w:pPr>
        <w:numPr>
          <w:ilvl w:val="0"/>
          <w:numId w:val="77"/>
        </w:numPr>
        <w:spacing w:after="0"/>
        <w:ind w:left="284" w:hanging="284"/>
        <w:rPr>
          <w:rFonts w:ascii="Open Sans" w:hAnsi="Open Sans" w:hint="eastAsia"/>
          <w:color w:val="000000"/>
        </w:rPr>
      </w:pPr>
      <w:r w:rsidRPr="00DA0BC5">
        <w:rPr>
          <w:rFonts w:ascii="Open Sans" w:hAnsi="Open Sans"/>
          <w:color w:val="000000"/>
        </w:rPr>
        <w:t>Forskrift om delvis allmenngjøring av landsoverenskomsten for elektrofagene</w:t>
      </w:r>
      <w:r w:rsidR="00C04514">
        <w:rPr>
          <w:rFonts w:ascii="Open Sans" w:hAnsi="Open Sans"/>
          <w:color w:val="000000"/>
        </w:rPr>
        <w:t>.</w:t>
      </w:r>
    </w:p>
    <w:p w14:paraId="1044E0A8" w14:textId="434FAEE8" w:rsidR="00486FBF" w:rsidRDefault="00486FBF" w:rsidP="00486FBF">
      <w:pPr>
        <w:pStyle w:val="Overskrift2"/>
        <w:numPr>
          <w:ilvl w:val="0"/>
          <w:numId w:val="0"/>
        </w:numPr>
        <w:rPr>
          <w:rFonts w:ascii="Times New Roman" w:hAnsi="Times New Roman" w:cs="Times New Roman"/>
          <w:sz w:val="24"/>
          <w:szCs w:val="24"/>
        </w:rPr>
      </w:pPr>
      <w:bookmarkStart w:id="280" w:name="_Toc422226843"/>
      <w:r w:rsidRPr="00C04514">
        <w:rPr>
          <w:rFonts w:ascii="Times New Roman" w:hAnsi="Times New Roman" w:cs="Times New Roman"/>
          <w:b w:val="0"/>
          <w:sz w:val="24"/>
          <w:szCs w:val="24"/>
        </w:rPr>
        <w:t>De nye satsene er publisert på Ta</w:t>
      </w:r>
      <w:r w:rsidR="001A66B9">
        <w:rPr>
          <w:rFonts w:ascii="Times New Roman" w:hAnsi="Times New Roman" w:cs="Times New Roman"/>
          <w:b w:val="0"/>
          <w:sz w:val="24"/>
          <w:szCs w:val="24"/>
        </w:rPr>
        <w:t>r</w:t>
      </w:r>
      <w:r w:rsidRPr="00C04514">
        <w:rPr>
          <w:rFonts w:ascii="Times New Roman" w:hAnsi="Times New Roman" w:cs="Times New Roman"/>
          <w:b w:val="0"/>
          <w:sz w:val="24"/>
          <w:szCs w:val="24"/>
        </w:rPr>
        <w:t>iffnemndas nettside:</w:t>
      </w:r>
      <w:r>
        <w:rPr>
          <w:rFonts w:ascii="Times New Roman" w:hAnsi="Times New Roman" w:cs="Times New Roman"/>
          <w:sz w:val="24"/>
          <w:szCs w:val="24"/>
        </w:rPr>
        <w:t xml:space="preserve"> </w:t>
      </w:r>
      <w:hyperlink r:id="rId24" w:history="1">
        <w:r w:rsidRPr="002867EE">
          <w:rPr>
            <w:rStyle w:val="Hyperkobling"/>
            <w:rFonts w:ascii="Times New Roman" w:hAnsi="Times New Roman" w:cs="Times New Roman"/>
            <w:sz w:val="24"/>
            <w:szCs w:val="24"/>
          </w:rPr>
          <w:t>https://www.regjeringen.no/nb/dep/asd/org/nemnder-styrer-rad-og-utvalg/permanente-nemnder-rad-og-utvalg/tariffnemnda/vedtak/2015/tariffnemnda-vedtak-om-endringer-i-lonnssatser-i-folgende-allmenngjoringsforskrifter/id2416179/</w:t>
        </w:r>
        <w:bookmarkEnd w:id="280"/>
      </w:hyperlink>
      <w:r>
        <w:rPr>
          <w:rFonts w:ascii="Times New Roman" w:hAnsi="Times New Roman" w:cs="Times New Roman"/>
          <w:sz w:val="24"/>
          <w:szCs w:val="24"/>
        </w:rPr>
        <w:t xml:space="preserve"> </w:t>
      </w:r>
    </w:p>
    <w:p w14:paraId="56E14989" w14:textId="77777777" w:rsidR="00486FBF" w:rsidRPr="00486FBF" w:rsidRDefault="00486FBF" w:rsidP="00486FBF">
      <w:pPr>
        <w:pStyle w:val="Undertittel"/>
        <w:rPr>
          <w:rStyle w:val="Sterkutheving"/>
          <w:color w:val="auto"/>
          <w:szCs w:val="28"/>
        </w:rPr>
      </w:pPr>
      <w:r w:rsidRPr="00486FBF">
        <w:rPr>
          <w:rStyle w:val="Sterkutheving"/>
          <w:color w:val="auto"/>
          <w:szCs w:val="28"/>
        </w:rPr>
        <w:t>Forskrift om allmenngjøring av tariffavtaler for godstransport på vei</w:t>
      </w:r>
    </w:p>
    <w:p w14:paraId="1BCEEE1B" w14:textId="5E35D8ED" w:rsidR="00486FBF" w:rsidRDefault="00486FBF" w:rsidP="00486FBF">
      <w:pPr>
        <w:rPr>
          <w:rFonts w:ascii="Open Sans" w:hAnsi="Open Sans" w:hint="eastAsia"/>
          <w:color w:val="000000"/>
        </w:rPr>
      </w:pPr>
      <w:r>
        <w:rPr>
          <w:rFonts w:ascii="Open Sans" w:hAnsi="Open Sans"/>
          <w:color w:val="000000"/>
        </w:rPr>
        <w:t xml:space="preserve">Tariffnemnda fattet 11. mai 2015 vedtak om allmenngjøring av tariffavtaler for godstransport på vei. Forskriften er fastsatt på grunnlag av de to likelydende avtalene Godsbilavtalen av 2014 mellom Norges Lastebileier-Forbund (NLF) og </w:t>
      </w:r>
      <w:r w:rsidR="001A66B9">
        <w:rPr>
          <w:rFonts w:ascii="Open Sans" w:hAnsi="Open Sans"/>
          <w:color w:val="000000"/>
        </w:rPr>
        <w:t>NLFs</w:t>
      </w:r>
      <w:r>
        <w:rPr>
          <w:rFonts w:ascii="Open Sans" w:hAnsi="Open Sans"/>
          <w:color w:val="000000"/>
        </w:rPr>
        <w:t xml:space="preserve"> overenskomstbundne medlemsbedrifter på den ene side og Yrkesorganisasjonenes Sentralforbund og Yrkestrafikkforbundet på den annen side og Overenskomst for godstransport av 2014 mellom Norges Lastebileier-Forbund og </w:t>
      </w:r>
      <w:r w:rsidR="001A66B9">
        <w:rPr>
          <w:rFonts w:ascii="Open Sans" w:hAnsi="Open Sans"/>
          <w:color w:val="000000"/>
        </w:rPr>
        <w:t>NLFs</w:t>
      </w:r>
      <w:r>
        <w:rPr>
          <w:rFonts w:ascii="Open Sans" w:hAnsi="Open Sans"/>
          <w:color w:val="000000"/>
        </w:rPr>
        <w:t xml:space="preserve"> overenskomstbundne medlemsbedrifter på den ene side og Landsorganisasjonen i Norge/ Norsk Transportarbeiderforbund på den annen side.</w:t>
      </w:r>
    </w:p>
    <w:p w14:paraId="6C913369" w14:textId="77777777" w:rsidR="00486FBF" w:rsidRDefault="00486FBF" w:rsidP="00486FBF">
      <w:pPr>
        <w:rPr>
          <w:rFonts w:ascii="Open Sans" w:hAnsi="Open Sans" w:hint="eastAsia"/>
          <w:color w:val="000000"/>
        </w:rPr>
      </w:pPr>
      <w:r>
        <w:rPr>
          <w:rFonts w:ascii="Open Sans" w:hAnsi="Open Sans"/>
          <w:color w:val="000000"/>
        </w:rPr>
        <w:t xml:space="preserve">Forskriften gjelder for arbeidstakere som utfører godstransport på vei med kjøretøy med totalvekt over 3,5 tonn. For arbeidstakere i bedrifter som er etablert utenfor Norge gjelder forskriften bare i den utstrekning transporten er en tjenesteytelse etter arbeidsmiljøloven § 1-7 </w:t>
      </w:r>
      <w:r>
        <w:rPr>
          <w:rFonts w:ascii="Open Sans" w:hAnsi="Open Sans"/>
          <w:i/>
          <w:iCs/>
          <w:color w:val="000000"/>
        </w:rPr>
        <w:t>(utsendt arbeidstaker)</w:t>
      </w:r>
      <w:r>
        <w:rPr>
          <w:rFonts w:ascii="Open Sans" w:hAnsi="Open Sans"/>
          <w:color w:val="000000"/>
        </w:rPr>
        <w:t>.</w:t>
      </w:r>
    </w:p>
    <w:p w14:paraId="196E266D" w14:textId="77777777" w:rsidR="00486FBF" w:rsidRDefault="00486FBF" w:rsidP="00486FBF">
      <w:pPr>
        <w:rPr>
          <w:rFonts w:ascii="Open Sans" w:hAnsi="Open Sans" w:hint="eastAsia"/>
          <w:color w:val="000000"/>
        </w:rPr>
      </w:pPr>
      <w:r>
        <w:rPr>
          <w:rFonts w:ascii="Open Sans" w:hAnsi="Open Sans"/>
          <w:color w:val="000000"/>
        </w:rPr>
        <w:t>Forskriften gjelder ikke ved transport av virksomhetens egne varer.</w:t>
      </w:r>
    </w:p>
    <w:p w14:paraId="31C4F100" w14:textId="77777777" w:rsidR="00486FBF" w:rsidRDefault="00486FBF" w:rsidP="00486FBF">
      <w:pPr>
        <w:rPr>
          <w:rFonts w:ascii="Open Sans" w:hAnsi="Open Sans" w:hint="eastAsia"/>
          <w:color w:val="000000"/>
        </w:rPr>
      </w:pPr>
      <w:r>
        <w:rPr>
          <w:rFonts w:ascii="Open Sans" w:hAnsi="Open Sans"/>
          <w:color w:val="000000"/>
        </w:rPr>
        <w:t>Minstelønnssatsen per time er på 158,32 kroner.</w:t>
      </w:r>
    </w:p>
    <w:p w14:paraId="6B5E58D3" w14:textId="77777777" w:rsidR="00486FBF" w:rsidRDefault="00486FBF" w:rsidP="00486FBF">
      <w:pPr>
        <w:rPr>
          <w:rFonts w:ascii="Open Sans" w:hAnsi="Open Sans" w:hint="eastAsia"/>
          <w:color w:val="000000"/>
        </w:rPr>
      </w:pPr>
      <w:r>
        <w:rPr>
          <w:rFonts w:ascii="Open Sans" w:hAnsi="Open Sans"/>
          <w:color w:val="000000"/>
        </w:rPr>
        <w:t>Ved transportoppdrag med planlagt overnatting, skal diett utbetales i henhold til det norske myndigheter til enhver tid godkjenner som skattefri diett. Det utbetales 1/3 diettsats per påbegynt 8. time. Forskriften trer i kraft 1. juli 2015.</w:t>
      </w:r>
    </w:p>
    <w:p w14:paraId="6374704D" w14:textId="77777777" w:rsidR="005446A1" w:rsidRPr="00CE2A95" w:rsidRDefault="005446A1" w:rsidP="00CE2A95">
      <w:pPr>
        <w:spacing w:after="0"/>
        <w:rPr>
          <w:rFonts w:ascii="Arial" w:eastAsia="Times New Roman" w:hAnsi="Arial" w:cstheme="minorBidi"/>
          <w:b/>
          <w:spacing w:val="4"/>
          <w:szCs w:val="22"/>
          <w:u w:val="single"/>
        </w:rPr>
      </w:pPr>
    </w:p>
    <w:sectPr w:rsidR="005446A1" w:rsidRPr="00CE2A95" w:rsidSect="00A4134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CE6B2" w14:textId="77777777" w:rsidR="009C4B1A" w:rsidRDefault="009C4B1A" w:rsidP="001C22ED">
      <w:r>
        <w:separator/>
      </w:r>
    </w:p>
  </w:endnote>
  <w:endnote w:type="continuationSeparator" w:id="0">
    <w:p w14:paraId="7CFA2C3B" w14:textId="77777777" w:rsidR="009C4B1A" w:rsidRDefault="009C4B1A" w:rsidP="001C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pCentury Old Style">
    <w:panose1 w:val="02030603060405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w:panose1 w:val="00000000000000000000"/>
    <w:charset w:val="00"/>
    <w:family w:val="auto"/>
    <w:notTrueType/>
    <w:pitch w:val="variable"/>
    <w:sig w:usb0="00000003" w:usb1="00000000" w:usb2="00000000" w:usb3="00000000" w:csb0="00000001" w:csb1="00000000"/>
  </w:font>
  <w:font w:name="MMONL F+ Dep Century Old Style">
    <w:altName w:val="Dep Century Old Style"/>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4DA96" w14:textId="77777777" w:rsidR="009C4B1A" w:rsidRDefault="009C4B1A">
    <w:pPr>
      <w:pStyle w:val="Bunntekst"/>
      <w:jc w:val="right"/>
    </w:pPr>
    <w:r>
      <w:fldChar w:fldCharType="begin"/>
    </w:r>
    <w:r>
      <w:instrText xml:space="preserve"> PAGE   \* MERGEFORMAT </w:instrText>
    </w:r>
    <w:r>
      <w:fldChar w:fldCharType="separate"/>
    </w:r>
    <w:r>
      <w:rPr>
        <w:noProof/>
      </w:rPr>
      <w:t>6</w:t>
    </w:r>
    <w:r>
      <w:rPr>
        <w:noProof/>
      </w:rPr>
      <w:fldChar w:fldCharType="end"/>
    </w:r>
  </w:p>
  <w:p w14:paraId="5F425D6C" w14:textId="77777777" w:rsidR="009C4B1A" w:rsidRDefault="009C4B1A">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C669B" w14:textId="77777777" w:rsidR="009C4B1A" w:rsidRDefault="009C4B1A" w:rsidP="0079594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4A5B77">
      <w:rPr>
        <w:rStyle w:val="Sidetall"/>
        <w:noProof/>
      </w:rPr>
      <w:t>2</w:t>
    </w:r>
    <w:r>
      <w:rPr>
        <w:rStyle w:val="Sidetall"/>
      </w:rPr>
      <w:fldChar w:fldCharType="end"/>
    </w:r>
  </w:p>
  <w:p w14:paraId="152930FD" w14:textId="77777777" w:rsidR="009C4B1A" w:rsidRDefault="009C4B1A">
    <w:pPr>
      <w:pStyle w:val="Bunn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1108" w14:textId="77777777" w:rsidR="009C4B1A" w:rsidRDefault="009C4B1A">
    <w:pPr>
      <w:pStyle w:val="Bunntekst"/>
      <w:jc w:val="right"/>
    </w:pPr>
    <w:r>
      <w:fldChar w:fldCharType="begin"/>
    </w:r>
    <w:r>
      <w:instrText xml:space="preserve"> PAGE   \* MERGEFORMAT </w:instrText>
    </w:r>
    <w:r>
      <w:fldChar w:fldCharType="separate"/>
    </w:r>
    <w:r>
      <w:rPr>
        <w:noProof/>
      </w:rPr>
      <w:t>6</w:t>
    </w:r>
    <w:r>
      <w:rPr>
        <w:noProof/>
      </w:rPr>
      <w:fldChar w:fldCharType="end"/>
    </w:r>
  </w:p>
  <w:p w14:paraId="28C71F86" w14:textId="77777777" w:rsidR="009C4B1A" w:rsidRDefault="009C4B1A">
    <w:pPr>
      <w:pStyle w:val="Bunnteks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211A" w14:textId="77777777" w:rsidR="009C4B1A" w:rsidRDefault="009C4B1A" w:rsidP="0079594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11</w:t>
    </w:r>
    <w:r>
      <w:rPr>
        <w:rStyle w:val="Sidetall"/>
      </w:rPr>
      <w:fldChar w:fldCharType="end"/>
    </w:r>
  </w:p>
  <w:p w14:paraId="5145ED70" w14:textId="77777777" w:rsidR="009C4B1A" w:rsidRDefault="009C4B1A">
    <w:pPr>
      <w:pStyle w:val="Bunn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7F57" w14:textId="77777777" w:rsidR="009C4B1A" w:rsidRDefault="009C4B1A" w:rsidP="000C7E8F">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65A1DFEF" w14:textId="77777777" w:rsidR="009C4B1A" w:rsidRDefault="009C4B1A" w:rsidP="000C7E8F">
    <w:pPr>
      <w:pStyle w:val="Bunnteks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DA2E0" w14:textId="77777777" w:rsidR="009C4B1A" w:rsidRDefault="009C4B1A" w:rsidP="000C7E8F">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4A5B77">
      <w:rPr>
        <w:rStyle w:val="Sidetall"/>
        <w:noProof/>
      </w:rPr>
      <w:t>21</w:t>
    </w:r>
    <w:r>
      <w:rPr>
        <w:rStyle w:val="Sidetall"/>
      </w:rPr>
      <w:fldChar w:fldCharType="end"/>
    </w:r>
  </w:p>
  <w:p w14:paraId="2E8E600A" w14:textId="77777777" w:rsidR="009C4B1A" w:rsidRDefault="009C4B1A" w:rsidP="000C7E8F">
    <w:pPr>
      <w:pStyle w:val="Bunntekst"/>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94EA" w14:textId="77777777" w:rsidR="009C4B1A" w:rsidRDefault="009C4B1A" w:rsidP="00A1760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214B644" w14:textId="77777777" w:rsidR="009C4B1A" w:rsidRDefault="009C4B1A" w:rsidP="00A17606">
    <w:pPr>
      <w:pStyle w:val="Bunntekst"/>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FD6E" w14:textId="77777777" w:rsidR="009C4B1A" w:rsidRDefault="009C4B1A" w:rsidP="00A1760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4A5B77">
      <w:rPr>
        <w:rStyle w:val="Sidetall"/>
        <w:noProof/>
      </w:rPr>
      <w:t>73</w:t>
    </w:r>
    <w:r>
      <w:rPr>
        <w:rStyle w:val="Sidetall"/>
      </w:rPr>
      <w:fldChar w:fldCharType="end"/>
    </w:r>
  </w:p>
  <w:p w14:paraId="388C31EA" w14:textId="77777777" w:rsidR="009C4B1A" w:rsidRDefault="009C4B1A" w:rsidP="00A17606">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BBC7E" w14:textId="77777777" w:rsidR="009C4B1A" w:rsidRDefault="009C4B1A" w:rsidP="001C22ED">
      <w:r>
        <w:separator/>
      </w:r>
    </w:p>
  </w:footnote>
  <w:footnote w:type="continuationSeparator" w:id="0">
    <w:p w14:paraId="5F7A6EC2" w14:textId="77777777" w:rsidR="009C4B1A" w:rsidRDefault="009C4B1A" w:rsidP="001C22ED">
      <w:r>
        <w:continuationSeparator/>
      </w:r>
    </w:p>
  </w:footnote>
  <w:footnote w:id="1">
    <w:p w14:paraId="29ABBACE" w14:textId="77777777" w:rsidR="009C4B1A" w:rsidRDefault="009C4B1A" w:rsidP="00536460">
      <w:pPr>
        <w:pStyle w:val="Fotnotetekst"/>
      </w:pPr>
      <w:r>
        <w:rPr>
          <w:rStyle w:val="Fotnotereferanse"/>
        </w:rPr>
        <w:footnoteRef/>
      </w:r>
      <w:r>
        <w:t xml:space="preserve"> Arbeids- og sosialdepartementet fra 1. januar 2014.</w:t>
      </w:r>
    </w:p>
  </w:footnote>
  <w:footnote w:id="2">
    <w:p w14:paraId="3C2A3B77" w14:textId="77777777" w:rsidR="009C4B1A" w:rsidRDefault="009C4B1A" w:rsidP="004B1A77">
      <w:pPr>
        <w:pStyle w:val="Fotnotetekst"/>
      </w:pPr>
      <w:r>
        <w:rPr>
          <w:rStyle w:val="Fotnotereferanse"/>
        </w:rPr>
        <w:footnoteRef/>
      </w:r>
      <w:r>
        <w:t xml:space="preserve"> </w:t>
      </w:r>
      <w:r w:rsidRPr="003B35DD">
        <w:t>Arbeider- og funksjonærgrupper i NHO-bedrifter utenom industrien. Omfatter bl.a. bygg og anlegg, transportsektoren, olje- og gassutvinning, hotell og restaurantvirksomhet</w:t>
      </w:r>
      <w:r>
        <w:t xml:space="preserve">, forretningsmessig tjenesteyting, faglig, vitenskapelig og teknisk tjenesteyting </w:t>
      </w:r>
      <w:r w:rsidRPr="003B35DD">
        <w:t xml:space="preserve">og </w:t>
      </w:r>
      <w:r>
        <w:t>informasjons- og kommunikasjonsvirksomhet.</w:t>
      </w:r>
    </w:p>
  </w:footnote>
  <w:footnote w:id="3">
    <w:p w14:paraId="3B381AC6" w14:textId="77777777" w:rsidR="009C4B1A" w:rsidRDefault="009C4B1A" w:rsidP="004B1A77">
      <w:pPr>
        <w:pStyle w:val="Fotnotetekst"/>
      </w:pPr>
      <w:r>
        <w:rPr>
          <w:rStyle w:val="Fotnotereferanse"/>
        </w:rPr>
        <w:footnoteRef/>
      </w:r>
      <w:r>
        <w:t xml:space="preserve"> Både etter nasjonalregnskapet og etter lønnsstatistikken.</w:t>
      </w:r>
    </w:p>
  </w:footnote>
  <w:footnote w:id="4">
    <w:p w14:paraId="7267EFE6" w14:textId="77777777" w:rsidR="009C4B1A" w:rsidRDefault="009C4B1A" w:rsidP="004B1A77">
      <w:pPr>
        <w:pStyle w:val="Fotnotetekst"/>
      </w:pPr>
      <w:r>
        <w:rPr>
          <w:rStyle w:val="Fotnotereferanse"/>
        </w:rPr>
        <w:footnoteRef/>
      </w:r>
      <w:r>
        <w:t xml:space="preserve"> O</w:t>
      </w:r>
      <w:r w:rsidRPr="00A34A29">
        <w:t>m lag ¾ av sysselsettingen i industrien er i NHO-bedrifter.</w:t>
      </w:r>
    </w:p>
  </w:footnote>
  <w:footnote w:id="5">
    <w:p w14:paraId="0B7181AD" w14:textId="77777777" w:rsidR="009C4B1A" w:rsidRDefault="009C4B1A" w:rsidP="001074F6">
      <w:pPr>
        <w:pStyle w:val="Fotnotetekst"/>
      </w:pPr>
      <w:r>
        <w:rPr>
          <w:rStyle w:val="Fotnotereferanse"/>
        </w:rPr>
        <w:footnoteRef/>
      </w:r>
      <w:r>
        <w:t xml:space="preserve"> Dette omfatter blant annet ansatte i </w:t>
      </w:r>
      <w:r w:rsidRPr="00FB6CD7">
        <w:t>e</w:t>
      </w:r>
      <w:r>
        <w:t>-</w:t>
      </w:r>
      <w:r w:rsidRPr="00FB6CD7">
        <w:t>verk, revisjon, vann- og avløp etc.</w:t>
      </w:r>
    </w:p>
  </w:footnote>
  <w:footnote w:id="6">
    <w:p w14:paraId="64DBF507" w14:textId="77777777" w:rsidR="009C4B1A" w:rsidRPr="00C35384" w:rsidRDefault="009C4B1A" w:rsidP="00DB3A7E">
      <w:pPr>
        <w:pStyle w:val="Fotnotetekst"/>
      </w:pPr>
      <w:r>
        <w:rPr>
          <w:rStyle w:val="Fotnotereferanse"/>
        </w:rPr>
        <w:footnoteRef/>
      </w:r>
      <w:r w:rsidRPr="006078AB">
        <w:t xml:space="preserve"> </w:t>
      </w:r>
      <w:r w:rsidRPr="00C35384">
        <w:t xml:space="preserve">Staten inngår individuelle lederlønnskontrakter med alle ledere tilknyttet lederlønnssystemet. </w:t>
      </w:r>
      <w:r>
        <w:t>Om lag</w:t>
      </w:r>
      <w:r w:rsidRPr="00C35384">
        <w:t xml:space="preserve"> </w:t>
      </w:r>
      <w:r>
        <w:t>290</w:t>
      </w:r>
      <w:r w:rsidRPr="00C35384">
        <w:t xml:space="preserve"> toppledere er tilknyttet systemet, blant annet departementsråder og ekspedisjonssjefer i departementene samt toppledere i større etater og institusjoner, fylkesmenn og politimestere.</w:t>
      </w:r>
      <w:r>
        <w:t xml:space="preserve"> Lønnsmodellen i systemet er justert med virkning fra og med 2015.</w:t>
      </w:r>
    </w:p>
    <w:p w14:paraId="6553EDAD" w14:textId="77777777" w:rsidR="009C4B1A" w:rsidRDefault="009C4B1A" w:rsidP="00DB3A7E">
      <w:pPr>
        <w:pStyle w:val="Fotnotetekst"/>
      </w:pPr>
    </w:p>
  </w:footnote>
  <w:footnote w:id="7">
    <w:p w14:paraId="5FD1E169" w14:textId="77777777" w:rsidR="009C4B1A" w:rsidRPr="005B7D11" w:rsidDel="00822058" w:rsidRDefault="009C4B1A" w:rsidP="008551D4">
      <w:pPr>
        <w:rPr>
          <w:sz w:val="20"/>
        </w:rPr>
      </w:pPr>
      <w:r w:rsidRPr="005B7D11">
        <w:rPr>
          <w:rStyle w:val="Fotnotereferanse"/>
          <w:sz w:val="20"/>
        </w:rPr>
        <w:footnoteRef/>
      </w:r>
      <w:r w:rsidRPr="005B7D11">
        <w:rPr>
          <w:sz w:val="20"/>
        </w:rPr>
        <w:t xml:space="preserve"> </w:t>
      </w:r>
      <w:r w:rsidRPr="005B7D11" w:rsidDel="00822058">
        <w:rPr>
          <w:sz w:val="20"/>
        </w:rPr>
        <w:t>I datamaterialet er lønnen til deltidsansatte omregnet til hva den ville vært hvis de jobbet heltid. Lønn per heltidsekvivalent for de deltidsansatte kan da slås sammen med lønnen for de heltidsansatte slik at man kan beregne gjennomsnittlig lønn per heltidsekvivalent for alle ansatte.</w:t>
      </w:r>
    </w:p>
    <w:p w14:paraId="11C151A3" w14:textId="77777777" w:rsidR="009C4B1A" w:rsidRDefault="009C4B1A" w:rsidP="008551D4">
      <w:pPr>
        <w:pStyle w:val="Fotnotetekst"/>
      </w:pPr>
    </w:p>
  </w:footnote>
  <w:footnote w:id="8">
    <w:p w14:paraId="1A91D123" w14:textId="77777777" w:rsidR="009C4B1A" w:rsidRDefault="009C4B1A" w:rsidP="006E305B">
      <w:pPr>
        <w:pStyle w:val="Fotnotetekst"/>
      </w:pPr>
      <w:r>
        <w:rPr>
          <w:rStyle w:val="Fotnotereferanse"/>
        </w:rPr>
        <w:footnoteRef/>
      </w:r>
      <w:r>
        <w:t xml:space="preserve"> </w:t>
      </w:r>
      <w:r w:rsidRPr="005631DE">
        <w:t xml:space="preserve">Omfatter virksomheter som eies og drives av private organisasjoner og/eller stiftelser innen helse, undervisning og kultur.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D4330" w14:textId="77777777" w:rsidR="009C4B1A" w:rsidRDefault="009C4B1A">
    <w:pPr>
      <w:pStyle w:val="Topptekst"/>
      <w:jc w:val="right"/>
    </w:pPr>
  </w:p>
  <w:p w14:paraId="18E77370" w14:textId="77777777" w:rsidR="009C4B1A" w:rsidRDefault="009C4B1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930EE" w14:textId="77777777" w:rsidR="009C4B1A" w:rsidRDefault="009C4B1A">
    <w:pPr>
      <w:pStyle w:val="Topptekst"/>
      <w:jc w:val="right"/>
    </w:pPr>
  </w:p>
  <w:p w14:paraId="4B470861" w14:textId="77777777" w:rsidR="009C4B1A" w:rsidRDefault="009C4B1A">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2D72F5E"/>
    <w:multiLevelType w:val="hybridMultilevel"/>
    <w:tmpl w:val="D19273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3873F8"/>
    <w:multiLevelType w:val="multilevel"/>
    <w:tmpl w:val="6A6E5F00"/>
    <w:lvl w:ilvl="0">
      <w:start w:val="1"/>
      <w:numFmt w:val="decimal"/>
      <w:pStyle w:val="Komb-liste"/>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bullet"/>
      <w:lvlText w:val="-"/>
      <w:lvlJc w:val="left"/>
      <w:pPr>
        <w:tabs>
          <w:tab w:val="num" w:pos="1440"/>
        </w:tabs>
        <w:ind w:left="1440" w:hanging="363"/>
      </w:pPr>
      <w:rPr>
        <w:rFonts w:ascii="Times New Roman" w:hAnsi="Times New Roman" w:hint="default"/>
      </w:rPr>
    </w:lvl>
    <w:lvl w:ilvl="4">
      <w:start w:val="1"/>
      <w:numFmt w:val="bullet"/>
      <w:lvlText w:val="-"/>
      <w:lvlJc w:val="left"/>
      <w:pPr>
        <w:tabs>
          <w:tab w:val="num" w:pos="1797"/>
        </w:tabs>
        <w:ind w:left="1797" w:hanging="357"/>
      </w:pPr>
    </w:lvl>
    <w:lvl w:ilvl="5">
      <w:start w:val="1"/>
      <w:numFmt w:val="bullet"/>
      <w:lvlText w:val="-"/>
      <w:lvlJc w:val="left"/>
      <w:pPr>
        <w:tabs>
          <w:tab w:val="num" w:pos="2160"/>
        </w:tabs>
        <w:ind w:left="2160" w:hanging="363"/>
      </w:pPr>
    </w:lvl>
    <w:lvl w:ilvl="6">
      <w:start w:val="1"/>
      <w:numFmt w:val="bullet"/>
      <w:lvlText w:val="-"/>
      <w:lvlJc w:val="left"/>
      <w:pPr>
        <w:tabs>
          <w:tab w:val="num" w:pos="2517"/>
        </w:tabs>
        <w:ind w:left="2517" w:hanging="357"/>
      </w:pPr>
    </w:lvl>
    <w:lvl w:ilvl="7">
      <w:start w:val="1"/>
      <w:numFmt w:val="bullet"/>
      <w:lvlText w:val="-"/>
      <w:lvlJc w:val="left"/>
      <w:pPr>
        <w:tabs>
          <w:tab w:val="num" w:pos="2880"/>
        </w:tabs>
        <w:ind w:left="2880" w:hanging="363"/>
      </w:pPr>
    </w:lvl>
    <w:lvl w:ilvl="8">
      <w:start w:val="1"/>
      <w:numFmt w:val="bullet"/>
      <w:lvlText w:val="-"/>
      <w:lvlJc w:val="left"/>
      <w:pPr>
        <w:tabs>
          <w:tab w:val="num" w:pos="3294"/>
        </w:tabs>
        <w:ind w:left="3294" w:hanging="414"/>
      </w:pPr>
    </w:lvl>
  </w:abstractNum>
  <w:abstractNum w:abstractNumId="4" w15:restartNumberingAfterBreak="0">
    <w:nsid w:val="092615C4"/>
    <w:multiLevelType w:val="hybridMultilevel"/>
    <w:tmpl w:val="85E08A18"/>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BA749CE"/>
    <w:multiLevelType w:val="hybridMultilevel"/>
    <w:tmpl w:val="909881B2"/>
    <w:lvl w:ilvl="0" w:tplc="346679DE">
      <w:start w:val="1"/>
      <w:numFmt w:val="decimal"/>
      <w:lvlText w:val="%1"/>
      <w:lvlJc w:val="left"/>
      <w:pPr>
        <w:ind w:left="720" w:hanging="360"/>
      </w:pPr>
      <w:rPr>
        <w:rFonts w:hint="default"/>
        <w:strike w:val="0"/>
        <w:dstrike w:val="0"/>
        <w:vertAlign w:val="superscript"/>
      </w:rPr>
    </w:lvl>
    <w:lvl w:ilvl="1" w:tplc="9D28B08C" w:tentative="1">
      <w:start w:val="1"/>
      <w:numFmt w:val="lowerLetter"/>
      <w:lvlText w:val="%2."/>
      <w:lvlJc w:val="left"/>
      <w:pPr>
        <w:ind w:left="1440" w:hanging="360"/>
      </w:pPr>
    </w:lvl>
    <w:lvl w:ilvl="2" w:tplc="70F871D8" w:tentative="1">
      <w:start w:val="1"/>
      <w:numFmt w:val="lowerRoman"/>
      <w:lvlText w:val="%3."/>
      <w:lvlJc w:val="right"/>
      <w:pPr>
        <w:ind w:left="2160" w:hanging="180"/>
      </w:pPr>
    </w:lvl>
    <w:lvl w:ilvl="3" w:tplc="DAF690C0" w:tentative="1">
      <w:start w:val="1"/>
      <w:numFmt w:val="decimal"/>
      <w:lvlText w:val="%4."/>
      <w:lvlJc w:val="left"/>
      <w:pPr>
        <w:ind w:left="2880" w:hanging="360"/>
      </w:pPr>
    </w:lvl>
    <w:lvl w:ilvl="4" w:tplc="85FA5D0C" w:tentative="1">
      <w:start w:val="1"/>
      <w:numFmt w:val="lowerLetter"/>
      <w:lvlText w:val="%5."/>
      <w:lvlJc w:val="left"/>
      <w:pPr>
        <w:ind w:left="3600" w:hanging="360"/>
      </w:pPr>
    </w:lvl>
    <w:lvl w:ilvl="5" w:tplc="F704DA42" w:tentative="1">
      <w:start w:val="1"/>
      <w:numFmt w:val="lowerRoman"/>
      <w:lvlText w:val="%6."/>
      <w:lvlJc w:val="right"/>
      <w:pPr>
        <w:ind w:left="4320" w:hanging="180"/>
      </w:pPr>
    </w:lvl>
    <w:lvl w:ilvl="6" w:tplc="CA58181A" w:tentative="1">
      <w:start w:val="1"/>
      <w:numFmt w:val="decimal"/>
      <w:lvlText w:val="%7."/>
      <w:lvlJc w:val="left"/>
      <w:pPr>
        <w:ind w:left="5040" w:hanging="360"/>
      </w:pPr>
    </w:lvl>
    <w:lvl w:ilvl="7" w:tplc="E8C0B9FA" w:tentative="1">
      <w:start w:val="1"/>
      <w:numFmt w:val="lowerLetter"/>
      <w:lvlText w:val="%8."/>
      <w:lvlJc w:val="left"/>
      <w:pPr>
        <w:ind w:left="5760" w:hanging="360"/>
      </w:pPr>
    </w:lvl>
    <w:lvl w:ilvl="8" w:tplc="19DEBA5A" w:tentative="1">
      <w:start w:val="1"/>
      <w:numFmt w:val="lowerRoman"/>
      <w:lvlText w:val="%9."/>
      <w:lvlJc w:val="right"/>
      <w:pPr>
        <w:ind w:left="6480" w:hanging="180"/>
      </w:pPr>
    </w:lvl>
  </w:abstractNum>
  <w:abstractNum w:abstractNumId="6"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7" w15:restartNumberingAfterBreak="0">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6BB2E51"/>
    <w:multiLevelType w:val="hybridMultilevel"/>
    <w:tmpl w:val="DC8A4C1A"/>
    <w:lvl w:ilvl="0" w:tplc="FFFFFFF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7E01A62"/>
    <w:multiLevelType w:val="hybridMultilevel"/>
    <w:tmpl w:val="AD1C898C"/>
    <w:lvl w:ilvl="0" w:tplc="FFFFFFFF">
      <w:start w:val="1"/>
      <w:numFmt w:val="decimal"/>
      <w:lvlText w:val="%1"/>
      <w:lvlJc w:val="left"/>
      <w:pPr>
        <w:ind w:left="36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8E8422B"/>
    <w:multiLevelType w:val="multilevel"/>
    <w:tmpl w:val="27F8C980"/>
    <w:lvl w:ilvl="0">
      <w:start w:val="2"/>
      <w:numFmt w:val="decimal"/>
      <w:lvlText w:val="%1"/>
      <w:lvlJc w:val="left"/>
      <w:pPr>
        <w:ind w:left="720" w:hanging="360"/>
      </w:pPr>
      <w:rPr>
        <w:rFonts w:hint="default"/>
        <w:strike w:val="0"/>
        <w:dstrike w:val="0"/>
        <w:vertAlign w:val="baseline"/>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3714ED"/>
    <w:multiLevelType w:val="hybridMultilevel"/>
    <w:tmpl w:val="D7324222"/>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9B85527"/>
    <w:multiLevelType w:val="hybridMultilevel"/>
    <w:tmpl w:val="F1B65408"/>
    <w:lvl w:ilvl="0" w:tplc="6E729F66">
      <w:start w:val="1"/>
      <w:numFmt w:val="decimal"/>
      <w:lvlText w:val="%1"/>
      <w:lvlJc w:val="left"/>
      <w:pPr>
        <w:ind w:left="1080" w:hanging="360"/>
      </w:pPr>
      <w:rPr>
        <w:rFonts w:hint="default"/>
        <w:strike w:val="0"/>
        <w:dstrike w:val="0"/>
        <w:sz w:val="20"/>
        <w:szCs w:val="20"/>
        <w:vertAlign w:val="superscript"/>
      </w:rPr>
    </w:lvl>
    <w:lvl w:ilvl="1" w:tplc="781EABFC" w:tentative="1">
      <w:start w:val="1"/>
      <w:numFmt w:val="lowerLetter"/>
      <w:lvlText w:val="%2."/>
      <w:lvlJc w:val="left"/>
      <w:pPr>
        <w:ind w:left="1800" w:hanging="360"/>
      </w:pPr>
    </w:lvl>
    <w:lvl w:ilvl="2" w:tplc="7A9299C6" w:tentative="1">
      <w:start w:val="1"/>
      <w:numFmt w:val="lowerRoman"/>
      <w:lvlText w:val="%3."/>
      <w:lvlJc w:val="right"/>
      <w:pPr>
        <w:ind w:left="2520" w:hanging="180"/>
      </w:pPr>
    </w:lvl>
    <w:lvl w:ilvl="3" w:tplc="BB926FA2" w:tentative="1">
      <w:start w:val="1"/>
      <w:numFmt w:val="decimal"/>
      <w:lvlText w:val="%4."/>
      <w:lvlJc w:val="left"/>
      <w:pPr>
        <w:ind w:left="3240" w:hanging="360"/>
      </w:pPr>
    </w:lvl>
    <w:lvl w:ilvl="4" w:tplc="0FD82902" w:tentative="1">
      <w:start w:val="1"/>
      <w:numFmt w:val="lowerLetter"/>
      <w:lvlText w:val="%5."/>
      <w:lvlJc w:val="left"/>
      <w:pPr>
        <w:ind w:left="3960" w:hanging="360"/>
      </w:pPr>
    </w:lvl>
    <w:lvl w:ilvl="5" w:tplc="74F0AC08" w:tentative="1">
      <w:start w:val="1"/>
      <w:numFmt w:val="lowerRoman"/>
      <w:lvlText w:val="%6."/>
      <w:lvlJc w:val="right"/>
      <w:pPr>
        <w:ind w:left="4680" w:hanging="180"/>
      </w:pPr>
    </w:lvl>
    <w:lvl w:ilvl="6" w:tplc="5FDAC72A" w:tentative="1">
      <w:start w:val="1"/>
      <w:numFmt w:val="decimal"/>
      <w:lvlText w:val="%7."/>
      <w:lvlJc w:val="left"/>
      <w:pPr>
        <w:ind w:left="5400" w:hanging="360"/>
      </w:pPr>
    </w:lvl>
    <w:lvl w:ilvl="7" w:tplc="0CAEBDDE" w:tentative="1">
      <w:start w:val="1"/>
      <w:numFmt w:val="lowerLetter"/>
      <w:lvlText w:val="%8."/>
      <w:lvlJc w:val="left"/>
      <w:pPr>
        <w:ind w:left="6120" w:hanging="360"/>
      </w:pPr>
    </w:lvl>
    <w:lvl w:ilvl="8" w:tplc="A57883D8" w:tentative="1">
      <w:start w:val="1"/>
      <w:numFmt w:val="lowerRoman"/>
      <w:lvlText w:val="%9."/>
      <w:lvlJc w:val="right"/>
      <w:pPr>
        <w:ind w:left="6840" w:hanging="180"/>
      </w:pPr>
    </w:lvl>
  </w:abstractNum>
  <w:abstractNum w:abstractNumId="13" w15:restartNumberingAfterBreak="0">
    <w:nsid w:val="1CC84904"/>
    <w:multiLevelType w:val="hybridMultilevel"/>
    <w:tmpl w:val="C73605CA"/>
    <w:lvl w:ilvl="0" w:tplc="FFFFFFF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CFE6BF3"/>
    <w:multiLevelType w:val="singleLevel"/>
    <w:tmpl w:val="C4A237F8"/>
    <w:lvl w:ilvl="0">
      <w:start w:val="1"/>
      <w:numFmt w:val="bullet"/>
      <w:lvlText w:val="-"/>
      <w:lvlJc w:val="left"/>
      <w:pPr>
        <w:tabs>
          <w:tab w:val="num" w:pos="360"/>
        </w:tabs>
        <w:ind w:left="284" w:hanging="284"/>
      </w:pPr>
      <w:rPr>
        <w:rFonts w:ascii="Times New Roman" w:hAnsi="Times New Roman" w:hint="default"/>
      </w:rPr>
    </w:lvl>
  </w:abstractNum>
  <w:abstractNum w:abstractNumId="15" w15:restartNumberingAfterBreak="0">
    <w:nsid w:val="1D1E3F89"/>
    <w:multiLevelType w:val="hybridMultilevel"/>
    <w:tmpl w:val="410CC230"/>
    <w:lvl w:ilvl="0" w:tplc="FFFFFFFF">
      <w:start w:val="1"/>
      <w:numFmt w:val="decimal"/>
      <w:lvlText w:val="%1"/>
      <w:lvlJc w:val="left"/>
      <w:pPr>
        <w:ind w:left="360" w:hanging="360"/>
      </w:pPr>
      <w:rPr>
        <w:rFonts w:hint="default"/>
        <w:strike w:val="0"/>
        <w:dstrike w:val="0"/>
        <w:vertAlign w:val="superscrip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1DB739FB"/>
    <w:multiLevelType w:val="hybridMultilevel"/>
    <w:tmpl w:val="C554A9F4"/>
    <w:lvl w:ilvl="0" w:tplc="FFFFFFFF">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EF422D8"/>
    <w:multiLevelType w:val="multilevel"/>
    <w:tmpl w:val="86DAF25C"/>
    <w:numStyleLink w:val="l-AlfaListeStil"/>
  </w:abstractNum>
  <w:abstractNum w:abstractNumId="18" w15:restartNumberingAfterBreak="0">
    <w:nsid w:val="1F3E3CF1"/>
    <w:multiLevelType w:val="multilevel"/>
    <w:tmpl w:val="5FCC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FF1FDF"/>
    <w:multiLevelType w:val="hybridMultilevel"/>
    <w:tmpl w:val="E40653F4"/>
    <w:lvl w:ilvl="0" w:tplc="B5668592">
      <w:start w:val="1"/>
      <w:numFmt w:val="decimal"/>
      <w:lvlText w:val="%1"/>
      <w:lvlJc w:val="left"/>
      <w:pPr>
        <w:tabs>
          <w:tab w:val="num" w:pos="360"/>
        </w:tabs>
        <w:ind w:left="360" w:hanging="360"/>
      </w:pPr>
      <w:rPr>
        <w:rFonts w:hint="default"/>
        <w:strike w:val="0"/>
        <w:dstrike w:val="0"/>
        <w:vertAlign w:val="superscript"/>
      </w:rPr>
    </w:lvl>
    <w:lvl w:ilvl="1" w:tplc="684A3B7A"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1032CEE"/>
    <w:multiLevelType w:val="hybridMultilevel"/>
    <w:tmpl w:val="DC8A4C1A"/>
    <w:lvl w:ilvl="0" w:tplc="FFFFFFF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1433B81"/>
    <w:multiLevelType w:val="hybridMultilevel"/>
    <w:tmpl w:val="30AE1076"/>
    <w:lvl w:ilvl="0" w:tplc="FFFFFFFF">
      <w:start w:val="1"/>
      <w:numFmt w:val="decimal"/>
      <w:lvlText w:val="%1"/>
      <w:lvlJc w:val="left"/>
      <w:pPr>
        <w:ind w:left="720" w:hanging="360"/>
      </w:pPr>
      <w:rPr>
        <w:rFonts w:hint="default"/>
        <w:strike w:val="0"/>
        <w:dstrike w:val="0"/>
        <w:sz w:val="20"/>
        <w:szCs w:val="2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4" w15:restartNumberingAfterBreak="0">
    <w:nsid w:val="27C32164"/>
    <w:multiLevelType w:val="hybridMultilevel"/>
    <w:tmpl w:val="81C83B4A"/>
    <w:lvl w:ilvl="0" w:tplc="FFFFFFFF">
      <w:start w:val="1"/>
      <w:numFmt w:val="bullet"/>
      <w:lvlText w:val=""/>
      <w:lvlJc w:val="left"/>
      <w:pPr>
        <w:ind w:left="720" w:hanging="360"/>
      </w:pPr>
      <w:rPr>
        <w:rFonts w:ascii="Symbol" w:hAnsi="Symbol" w:hint="default"/>
      </w:rPr>
    </w:lvl>
    <w:lvl w:ilvl="1" w:tplc="63DA2AE0"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288D67F0"/>
    <w:multiLevelType w:val="hybridMultilevel"/>
    <w:tmpl w:val="A4B06ED6"/>
    <w:lvl w:ilvl="0" w:tplc="FFFFFFFF">
      <w:start w:val="1"/>
      <w:numFmt w:val="decimal"/>
      <w:lvlText w:val="%1"/>
      <w:lvlJc w:val="left"/>
      <w:pPr>
        <w:ind w:left="720" w:hanging="360"/>
      </w:pPr>
      <w:rPr>
        <w:rFonts w:hint="default"/>
        <w:b w:val="0"/>
        <w:strike w:val="0"/>
        <w:dstrike w:val="0"/>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17086D"/>
    <w:multiLevelType w:val="multilevel"/>
    <w:tmpl w:val="FDB23E72"/>
    <w:lvl w:ilvl="0">
      <w:start w:val="2"/>
      <w:numFmt w:val="decimal"/>
      <w:lvlText w:val="%1"/>
      <w:lvlJc w:val="left"/>
      <w:pPr>
        <w:ind w:left="720" w:hanging="360"/>
      </w:pPr>
      <w:rPr>
        <w:rFonts w:hint="default"/>
        <w:strike w:val="0"/>
        <w:dstrike w:val="0"/>
        <w:vertAlign w:val="baseline"/>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0B1566"/>
    <w:multiLevelType w:val="hybridMultilevel"/>
    <w:tmpl w:val="49DE27AC"/>
    <w:lvl w:ilvl="0" w:tplc="EB92090A">
      <w:start w:val="1"/>
      <w:numFmt w:val="bullet"/>
      <w:lvlText w:val=""/>
      <w:lvlJc w:val="left"/>
      <w:pPr>
        <w:ind w:left="720" w:hanging="360"/>
      </w:pPr>
      <w:rPr>
        <w:rFonts w:ascii="Symbol" w:hAnsi="Symbol" w:hint="default"/>
      </w:rPr>
    </w:lvl>
    <w:lvl w:ilvl="1" w:tplc="1D92B83E" w:tentative="1">
      <w:start w:val="1"/>
      <w:numFmt w:val="bullet"/>
      <w:lvlText w:val="o"/>
      <w:lvlJc w:val="left"/>
      <w:pPr>
        <w:ind w:left="1440" w:hanging="360"/>
      </w:pPr>
      <w:rPr>
        <w:rFonts w:ascii="Courier New" w:hAnsi="Courier New" w:cs="Courier New" w:hint="default"/>
      </w:rPr>
    </w:lvl>
    <w:lvl w:ilvl="2" w:tplc="C0C28AF8" w:tentative="1">
      <w:start w:val="1"/>
      <w:numFmt w:val="bullet"/>
      <w:lvlText w:val=""/>
      <w:lvlJc w:val="left"/>
      <w:pPr>
        <w:ind w:left="2160" w:hanging="360"/>
      </w:pPr>
      <w:rPr>
        <w:rFonts w:ascii="Wingdings" w:hAnsi="Wingdings" w:hint="default"/>
      </w:rPr>
    </w:lvl>
    <w:lvl w:ilvl="3" w:tplc="D97E6C64" w:tentative="1">
      <w:start w:val="1"/>
      <w:numFmt w:val="bullet"/>
      <w:lvlText w:val=""/>
      <w:lvlJc w:val="left"/>
      <w:pPr>
        <w:ind w:left="2880" w:hanging="360"/>
      </w:pPr>
      <w:rPr>
        <w:rFonts w:ascii="Symbol" w:hAnsi="Symbol" w:hint="default"/>
      </w:rPr>
    </w:lvl>
    <w:lvl w:ilvl="4" w:tplc="92B0D7D2" w:tentative="1">
      <w:start w:val="1"/>
      <w:numFmt w:val="bullet"/>
      <w:lvlText w:val="o"/>
      <w:lvlJc w:val="left"/>
      <w:pPr>
        <w:ind w:left="3600" w:hanging="360"/>
      </w:pPr>
      <w:rPr>
        <w:rFonts w:ascii="Courier New" w:hAnsi="Courier New" w:cs="Courier New" w:hint="default"/>
      </w:rPr>
    </w:lvl>
    <w:lvl w:ilvl="5" w:tplc="3D844EDE" w:tentative="1">
      <w:start w:val="1"/>
      <w:numFmt w:val="bullet"/>
      <w:lvlText w:val=""/>
      <w:lvlJc w:val="left"/>
      <w:pPr>
        <w:ind w:left="4320" w:hanging="360"/>
      </w:pPr>
      <w:rPr>
        <w:rFonts w:ascii="Wingdings" w:hAnsi="Wingdings" w:hint="default"/>
      </w:rPr>
    </w:lvl>
    <w:lvl w:ilvl="6" w:tplc="0C101342" w:tentative="1">
      <w:start w:val="1"/>
      <w:numFmt w:val="bullet"/>
      <w:lvlText w:val=""/>
      <w:lvlJc w:val="left"/>
      <w:pPr>
        <w:ind w:left="5040" w:hanging="360"/>
      </w:pPr>
      <w:rPr>
        <w:rFonts w:ascii="Symbol" w:hAnsi="Symbol" w:hint="default"/>
      </w:rPr>
    </w:lvl>
    <w:lvl w:ilvl="7" w:tplc="305A748E" w:tentative="1">
      <w:start w:val="1"/>
      <w:numFmt w:val="bullet"/>
      <w:lvlText w:val="o"/>
      <w:lvlJc w:val="left"/>
      <w:pPr>
        <w:ind w:left="5760" w:hanging="360"/>
      </w:pPr>
      <w:rPr>
        <w:rFonts w:ascii="Courier New" w:hAnsi="Courier New" w:cs="Courier New" w:hint="default"/>
      </w:rPr>
    </w:lvl>
    <w:lvl w:ilvl="8" w:tplc="E6CCDDC6" w:tentative="1">
      <w:start w:val="1"/>
      <w:numFmt w:val="bullet"/>
      <w:lvlText w:val=""/>
      <w:lvlJc w:val="left"/>
      <w:pPr>
        <w:ind w:left="6480" w:hanging="360"/>
      </w:pPr>
      <w:rPr>
        <w:rFonts w:ascii="Wingdings" w:hAnsi="Wingdings" w:hint="default"/>
      </w:rPr>
    </w:lvl>
  </w:abstractNum>
  <w:abstractNum w:abstractNumId="28" w15:restartNumberingAfterBreak="0">
    <w:nsid w:val="2D275C21"/>
    <w:multiLevelType w:val="hybridMultilevel"/>
    <w:tmpl w:val="854EA55C"/>
    <w:lvl w:ilvl="0" w:tplc="0414000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30" w15:restartNumberingAfterBreak="0">
    <w:nsid w:val="36A219A9"/>
    <w:multiLevelType w:val="hybridMultilevel"/>
    <w:tmpl w:val="5E44B7B2"/>
    <w:lvl w:ilvl="0" w:tplc="9E5CDED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3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3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5"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6" w15:restartNumberingAfterBreak="0">
    <w:nsid w:val="48E83027"/>
    <w:multiLevelType w:val="hybridMultilevel"/>
    <w:tmpl w:val="1E1A57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EF2F58"/>
    <w:multiLevelType w:val="hybridMultilevel"/>
    <w:tmpl w:val="E422B332"/>
    <w:lvl w:ilvl="0" w:tplc="9E5CDED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A72482F"/>
    <w:multiLevelType w:val="hybridMultilevel"/>
    <w:tmpl w:val="D79059B6"/>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9" w15:restartNumberingAfterBreak="0">
    <w:nsid w:val="4DA56DE0"/>
    <w:multiLevelType w:val="hybridMultilevel"/>
    <w:tmpl w:val="F1B65408"/>
    <w:lvl w:ilvl="0" w:tplc="6E729F66">
      <w:start w:val="1"/>
      <w:numFmt w:val="decimal"/>
      <w:lvlText w:val="%1"/>
      <w:lvlJc w:val="left"/>
      <w:pPr>
        <w:ind w:left="1080" w:hanging="360"/>
      </w:pPr>
      <w:rPr>
        <w:rFonts w:hint="default"/>
        <w:strike w:val="0"/>
        <w:dstrike w:val="0"/>
        <w:sz w:val="20"/>
        <w:szCs w:val="20"/>
        <w:vertAlign w:val="superscript"/>
      </w:rPr>
    </w:lvl>
    <w:lvl w:ilvl="1" w:tplc="781EABFC" w:tentative="1">
      <w:start w:val="1"/>
      <w:numFmt w:val="lowerLetter"/>
      <w:lvlText w:val="%2."/>
      <w:lvlJc w:val="left"/>
      <w:pPr>
        <w:ind w:left="1800" w:hanging="360"/>
      </w:pPr>
    </w:lvl>
    <w:lvl w:ilvl="2" w:tplc="7A9299C6" w:tentative="1">
      <w:start w:val="1"/>
      <w:numFmt w:val="lowerRoman"/>
      <w:lvlText w:val="%3."/>
      <w:lvlJc w:val="right"/>
      <w:pPr>
        <w:ind w:left="2520" w:hanging="180"/>
      </w:pPr>
    </w:lvl>
    <w:lvl w:ilvl="3" w:tplc="BB926FA2" w:tentative="1">
      <w:start w:val="1"/>
      <w:numFmt w:val="decimal"/>
      <w:lvlText w:val="%4."/>
      <w:lvlJc w:val="left"/>
      <w:pPr>
        <w:ind w:left="3240" w:hanging="360"/>
      </w:pPr>
    </w:lvl>
    <w:lvl w:ilvl="4" w:tplc="0FD82902" w:tentative="1">
      <w:start w:val="1"/>
      <w:numFmt w:val="lowerLetter"/>
      <w:lvlText w:val="%5."/>
      <w:lvlJc w:val="left"/>
      <w:pPr>
        <w:ind w:left="3960" w:hanging="360"/>
      </w:pPr>
    </w:lvl>
    <w:lvl w:ilvl="5" w:tplc="74F0AC08" w:tentative="1">
      <w:start w:val="1"/>
      <w:numFmt w:val="lowerRoman"/>
      <w:lvlText w:val="%6."/>
      <w:lvlJc w:val="right"/>
      <w:pPr>
        <w:ind w:left="4680" w:hanging="180"/>
      </w:pPr>
    </w:lvl>
    <w:lvl w:ilvl="6" w:tplc="5FDAC72A" w:tentative="1">
      <w:start w:val="1"/>
      <w:numFmt w:val="decimal"/>
      <w:lvlText w:val="%7."/>
      <w:lvlJc w:val="left"/>
      <w:pPr>
        <w:ind w:left="5400" w:hanging="360"/>
      </w:pPr>
    </w:lvl>
    <w:lvl w:ilvl="7" w:tplc="0CAEBDDE" w:tentative="1">
      <w:start w:val="1"/>
      <w:numFmt w:val="lowerLetter"/>
      <w:lvlText w:val="%8."/>
      <w:lvlJc w:val="left"/>
      <w:pPr>
        <w:ind w:left="6120" w:hanging="360"/>
      </w:pPr>
    </w:lvl>
    <w:lvl w:ilvl="8" w:tplc="A57883D8" w:tentative="1">
      <w:start w:val="1"/>
      <w:numFmt w:val="lowerRoman"/>
      <w:lvlText w:val="%9."/>
      <w:lvlJc w:val="right"/>
      <w:pPr>
        <w:ind w:left="6840" w:hanging="180"/>
      </w:pPr>
    </w:lvl>
  </w:abstractNum>
  <w:abstractNum w:abstractNumId="40" w15:restartNumberingAfterBreak="0">
    <w:nsid w:val="546C0BD9"/>
    <w:multiLevelType w:val="hybridMultilevel"/>
    <w:tmpl w:val="CB2CD5CA"/>
    <w:lvl w:ilvl="0" w:tplc="64709402">
      <w:numFmt w:val="bullet"/>
      <w:lvlText w:val="-"/>
      <w:lvlJc w:val="left"/>
      <w:pPr>
        <w:tabs>
          <w:tab w:val="num" w:pos="720"/>
        </w:tabs>
        <w:ind w:left="720" w:hanging="360"/>
      </w:pPr>
      <w:rPr>
        <w:rFonts w:ascii="Times New Roman" w:eastAsia="Times New Roman" w:hAnsi="Times New Roman" w:cs="Times New Roman" w:hint="default"/>
      </w:rPr>
    </w:lvl>
    <w:lvl w:ilvl="1" w:tplc="7E60C8CA">
      <w:start w:val="1"/>
      <w:numFmt w:val="bullet"/>
      <w:lvlText w:val="o"/>
      <w:lvlJc w:val="left"/>
      <w:pPr>
        <w:tabs>
          <w:tab w:val="num" w:pos="1440"/>
        </w:tabs>
        <w:ind w:left="1440" w:hanging="360"/>
      </w:pPr>
      <w:rPr>
        <w:rFonts w:ascii="Courier New" w:hAnsi="Courier New" w:cs="Courier New" w:hint="default"/>
      </w:rPr>
    </w:lvl>
    <w:lvl w:ilvl="2" w:tplc="7C264944">
      <w:start w:val="1"/>
      <w:numFmt w:val="bullet"/>
      <w:lvlText w:val=""/>
      <w:lvlJc w:val="left"/>
      <w:pPr>
        <w:tabs>
          <w:tab w:val="num" w:pos="2160"/>
        </w:tabs>
        <w:ind w:left="2160" w:hanging="360"/>
      </w:pPr>
      <w:rPr>
        <w:rFonts w:ascii="Wingdings" w:hAnsi="Wingdings" w:cs="Times New Roman" w:hint="default"/>
      </w:rPr>
    </w:lvl>
    <w:lvl w:ilvl="3" w:tplc="2EAE4CB0">
      <w:start w:val="1"/>
      <w:numFmt w:val="bullet"/>
      <w:lvlText w:val=""/>
      <w:lvlJc w:val="left"/>
      <w:pPr>
        <w:tabs>
          <w:tab w:val="num" w:pos="2880"/>
        </w:tabs>
        <w:ind w:left="2880" w:hanging="360"/>
      </w:pPr>
      <w:rPr>
        <w:rFonts w:ascii="Symbol" w:hAnsi="Symbol" w:cs="Times New Roman" w:hint="default"/>
      </w:rPr>
    </w:lvl>
    <w:lvl w:ilvl="4" w:tplc="603EBBFA">
      <w:start w:val="1"/>
      <w:numFmt w:val="bullet"/>
      <w:lvlText w:val="o"/>
      <w:lvlJc w:val="left"/>
      <w:pPr>
        <w:tabs>
          <w:tab w:val="num" w:pos="3600"/>
        </w:tabs>
        <w:ind w:left="3600" w:hanging="360"/>
      </w:pPr>
      <w:rPr>
        <w:rFonts w:ascii="Courier New" w:hAnsi="Courier New" w:cs="Courier New" w:hint="default"/>
      </w:rPr>
    </w:lvl>
    <w:lvl w:ilvl="5" w:tplc="EA486E90">
      <w:start w:val="1"/>
      <w:numFmt w:val="bullet"/>
      <w:lvlText w:val=""/>
      <w:lvlJc w:val="left"/>
      <w:pPr>
        <w:tabs>
          <w:tab w:val="num" w:pos="4320"/>
        </w:tabs>
        <w:ind w:left="4320" w:hanging="360"/>
      </w:pPr>
      <w:rPr>
        <w:rFonts w:ascii="Wingdings" w:hAnsi="Wingdings" w:cs="Times New Roman" w:hint="default"/>
      </w:rPr>
    </w:lvl>
    <w:lvl w:ilvl="6" w:tplc="1BF8521E">
      <w:start w:val="1"/>
      <w:numFmt w:val="bullet"/>
      <w:lvlText w:val=""/>
      <w:lvlJc w:val="left"/>
      <w:pPr>
        <w:tabs>
          <w:tab w:val="num" w:pos="5040"/>
        </w:tabs>
        <w:ind w:left="5040" w:hanging="360"/>
      </w:pPr>
      <w:rPr>
        <w:rFonts w:ascii="Symbol" w:hAnsi="Symbol" w:cs="Times New Roman" w:hint="default"/>
      </w:rPr>
    </w:lvl>
    <w:lvl w:ilvl="7" w:tplc="9CC6D0B0">
      <w:start w:val="1"/>
      <w:numFmt w:val="bullet"/>
      <w:lvlText w:val="o"/>
      <w:lvlJc w:val="left"/>
      <w:pPr>
        <w:tabs>
          <w:tab w:val="num" w:pos="5760"/>
        </w:tabs>
        <w:ind w:left="5760" w:hanging="360"/>
      </w:pPr>
      <w:rPr>
        <w:rFonts w:ascii="Courier New" w:hAnsi="Courier New" w:cs="Courier New" w:hint="default"/>
      </w:rPr>
    </w:lvl>
    <w:lvl w:ilvl="8" w:tplc="A0686242">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2"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3" w15:restartNumberingAfterBreak="0">
    <w:nsid w:val="57B87AF3"/>
    <w:multiLevelType w:val="hybridMultilevel"/>
    <w:tmpl w:val="38D819A2"/>
    <w:lvl w:ilvl="0" w:tplc="A0AEB232">
      <w:start w:val="1"/>
      <w:numFmt w:val="decimal"/>
      <w:lvlText w:val="%1"/>
      <w:lvlJc w:val="left"/>
      <w:pPr>
        <w:ind w:left="720" w:hanging="360"/>
      </w:pPr>
      <w:rPr>
        <w:rFonts w:hint="default"/>
        <w:strike w:val="0"/>
        <w:dstrike w:val="0"/>
        <w:vertAlign w:val="superscrip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44" w15:restartNumberingAfterBreak="0">
    <w:nsid w:val="586448F7"/>
    <w:multiLevelType w:val="hybridMultilevel"/>
    <w:tmpl w:val="DAD0F3B6"/>
    <w:lvl w:ilvl="0" w:tplc="98821A7A">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58FF03CE"/>
    <w:multiLevelType w:val="hybridMultilevel"/>
    <w:tmpl w:val="6D0493A8"/>
    <w:lvl w:ilvl="0" w:tplc="75B6538C">
      <w:start w:val="1"/>
      <w:numFmt w:val="decimal"/>
      <w:lvlText w:val="%1"/>
      <w:lvlJc w:val="left"/>
      <w:pPr>
        <w:ind w:left="720" w:hanging="360"/>
      </w:pPr>
      <w:rPr>
        <w:rFonts w:hint="default"/>
        <w:strike w:val="0"/>
        <w:dstrike w:val="0"/>
        <w:sz w:val="16"/>
        <w:szCs w:val="16"/>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7" w15:restartNumberingAfterBreak="0">
    <w:nsid w:val="5B784CEA"/>
    <w:multiLevelType w:val="hybridMultilevel"/>
    <w:tmpl w:val="CC2A0D10"/>
    <w:lvl w:ilvl="0" w:tplc="AF78FBE8">
      <w:start w:val="1"/>
      <w:numFmt w:val="decimal"/>
      <w:lvlText w:val="%1"/>
      <w:lvlJc w:val="left"/>
      <w:pPr>
        <w:ind w:left="720" w:hanging="360"/>
      </w:pPr>
      <w:rPr>
        <w:rFonts w:hint="default"/>
        <w:strike w:val="0"/>
        <w:dstrike w:val="0"/>
        <w:vertAlign w:val="superscript"/>
      </w:rPr>
    </w:lvl>
    <w:lvl w:ilvl="1" w:tplc="8AFAF9C2" w:tentative="1">
      <w:start w:val="1"/>
      <w:numFmt w:val="lowerLetter"/>
      <w:lvlText w:val="%2."/>
      <w:lvlJc w:val="left"/>
      <w:pPr>
        <w:ind w:left="1440" w:hanging="360"/>
      </w:pPr>
    </w:lvl>
    <w:lvl w:ilvl="2" w:tplc="4E9E96EA" w:tentative="1">
      <w:start w:val="1"/>
      <w:numFmt w:val="lowerRoman"/>
      <w:lvlText w:val="%3."/>
      <w:lvlJc w:val="right"/>
      <w:pPr>
        <w:ind w:left="2160" w:hanging="180"/>
      </w:pPr>
    </w:lvl>
    <w:lvl w:ilvl="3" w:tplc="3ACA9FDC" w:tentative="1">
      <w:start w:val="1"/>
      <w:numFmt w:val="decimal"/>
      <w:lvlText w:val="%4."/>
      <w:lvlJc w:val="left"/>
      <w:pPr>
        <w:ind w:left="2880" w:hanging="360"/>
      </w:pPr>
    </w:lvl>
    <w:lvl w:ilvl="4" w:tplc="49C8F30E" w:tentative="1">
      <w:start w:val="1"/>
      <w:numFmt w:val="lowerLetter"/>
      <w:lvlText w:val="%5."/>
      <w:lvlJc w:val="left"/>
      <w:pPr>
        <w:ind w:left="3600" w:hanging="360"/>
      </w:pPr>
    </w:lvl>
    <w:lvl w:ilvl="5" w:tplc="0BA6386C" w:tentative="1">
      <w:start w:val="1"/>
      <w:numFmt w:val="lowerRoman"/>
      <w:lvlText w:val="%6."/>
      <w:lvlJc w:val="right"/>
      <w:pPr>
        <w:ind w:left="4320" w:hanging="180"/>
      </w:pPr>
    </w:lvl>
    <w:lvl w:ilvl="6" w:tplc="EC368816" w:tentative="1">
      <w:start w:val="1"/>
      <w:numFmt w:val="decimal"/>
      <w:lvlText w:val="%7."/>
      <w:lvlJc w:val="left"/>
      <w:pPr>
        <w:ind w:left="5040" w:hanging="360"/>
      </w:pPr>
    </w:lvl>
    <w:lvl w:ilvl="7" w:tplc="57469616" w:tentative="1">
      <w:start w:val="1"/>
      <w:numFmt w:val="lowerLetter"/>
      <w:lvlText w:val="%8."/>
      <w:lvlJc w:val="left"/>
      <w:pPr>
        <w:ind w:left="5760" w:hanging="360"/>
      </w:pPr>
    </w:lvl>
    <w:lvl w:ilvl="8" w:tplc="70C223B6" w:tentative="1">
      <w:start w:val="1"/>
      <w:numFmt w:val="lowerRoman"/>
      <w:lvlText w:val="%9."/>
      <w:lvlJc w:val="right"/>
      <w:pPr>
        <w:ind w:left="6480" w:hanging="180"/>
      </w:pPr>
    </w:lvl>
  </w:abstractNum>
  <w:abstractNum w:abstractNumId="48" w15:restartNumberingAfterBreak="0">
    <w:nsid w:val="5C0F6A21"/>
    <w:multiLevelType w:val="hybridMultilevel"/>
    <w:tmpl w:val="7C403E50"/>
    <w:lvl w:ilvl="0" w:tplc="E03611C0">
      <w:start w:val="1"/>
      <w:numFmt w:val="bullet"/>
      <w:lvlText w:val="-"/>
      <w:lvlJc w:val="left"/>
      <w:pPr>
        <w:ind w:left="720" w:hanging="360"/>
      </w:pPr>
      <w:rPr>
        <w:rFonts w:ascii="Times New Roman" w:hAnsi="Times New Roman" w:hint="default"/>
      </w:rPr>
    </w:lvl>
    <w:lvl w:ilvl="1" w:tplc="9E5CDED4">
      <w:start w:val="1"/>
      <w:numFmt w:val="bullet"/>
      <w:lvlText w:val=""/>
      <w:lvlJc w:val="left"/>
      <w:pPr>
        <w:ind w:left="1440" w:hanging="360"/>
      </w:pPr>
      <w:rPr>
        <w:rFonts w:ascii="Symbol" w:hAnsi="Symbol" w:hint="default"/>
      </w:rPr>
    </w:lvl>
    <w:lvl w:ilvl="2" w:tplc="BC7A0CB4" w:tentative="1">
      <w:start w:val="1"/>
      <w:numFmt w:val="bullet"/>
      <w:lvlText w:val=""/>
      <w:lvlJc w:val="left"/>
      <w:pPr>
        <w:ind w:left="2160" w:hanging="360"/>
      </w:pPr>
      <w:rPr>
        <w:rFonts w:ascii="Wingdings" w:hAnsi="Wingdings" w:hint="default"/>
      </w:rPr>
    </w:lvl>
    <w:lvl w:ilvl="3" w:tplc="A9722144" w:tentative="1">
      <w:start w:val="1"/>
      <w:numFmt w:val="bullet"/>
      <w:lvlText w:val=""/>
      <w:lvlJc w:val="left"/>
      <w:pPr>
        <w:ind w:left="2880" w:hanging="360"/>
      </w:pPr>
      <w:rPr>
        <w:rFonts w:ascii="Symbol" w:hAnsi="Symbol" w:hint="default"/>
      </w:rPr>
    </w:lvl>
    <w:lvl w:ilvl="4" w:tplc="92A2B682" w:tentative="1">
      <w:start w:val="1"/>
      <w:numFmt w:val="bullet"/>
      <w:lvlText w:val="o"/>
      <w:lvlJc w:val="left"/>
      <w:pPr>
        <w:ind w:left="3600" w:hanging="360"/>
      </w:pPr>
      <w:rPr>
        <w:rFonts w:ascii="Courier New" w:hAnsi="Courier New" w:cs="Courier New" w:hint="default"/>
      </w:rPr>
    </w:lvl>
    <w:lvl w:ilvl="5" w:tplc="4FFCF64C" w:tentative="1">
      <w:start w:val="1"/>
      <w:numFmt w:val="bullet"/>
      <w:lvlText w:val=""/>
      <w:lvlJc w:val="left"/>
      <w:pPr>
        <w:ind w:left="4320" w:hanging="360"/>
      </w:pPr>
      <w:rPr>
        <w:rFonts w:ascii="Wingdings" w:hAnsi="Wingdings" w:hint="default"/>
      </w:rPr>
    </w:lvl>
    <w:lvl w:ilvl="6" w:tplc="7F205D04" w:tentative="1">
      <w:start w:val="1"/>
      <w:numFmt w:val="bullet"/>
      <w:lvlText w:val=""/>
      <w:lvlJc w:val="left"/>
      <w:pPr>
        <w:ind w:left="5040" w:hanging="360"/>
      </w:pPr>
      <w:rPr>
        <w:rFonts w:ascii="Symbol" w:hAnsi="Symbol" w:hint="default"/>
      </w:rPr>
    </w:lvl>
    <w:lvl w:ilvl="7" w:tplc="DF229C8C" w:tentative="1">
      <w:start w:val="1"/>
      <w:numFmt w:val="bullet"/>
      <w:lvlText w:val="o"/>
      <w:lvlJc w:val="left"/>
      <w:pPr>
        <w:ind w:left="5760" w:hanging="360"/>
      </w:pPr>
      <w:rPr>
        <w:rFonts w:ascii="Courier New" w:hAnsi="Courier New" w:cs="Courier New" w:hint="default"/>
      </w:rPr>
    </w:lvl>
    <w:lvl w:ilvl="8" w:tplc="0F5A5C76" w:tentative="1">
      <w:start w:val="1"/>
      <w:numFmt w:val="bullet"/>
      <w:lvlText w:val=""/>
      <w:lvlJc w:val="left"/>
      <w:pPr>
        <w:ind w:left="6480" w:hanging="360"/>
      </w:pPr>
      <w:rPr>
        <w:rFonts w:ascii="Wingdings" w:hAnsi="Wingdings" w:hint="default"/>
      </w:rPr>
    </w:lvl>
  </w:abstractNum>
  <w:abstractNum w:abstractNumId="49" w15:restartNumberingAfterBreak="0">
    <w:nsid w:val="5E0E7C99"/>
    <w:multiLevelType w:val="hybridMultilevel"/>
    <w:tmpl w:val="909881B2"/>
    <w:lvl w:ilvl="0" w:tplc="75B6538C">
      <w:start w:val="1"/>
      <w:numFmt w:val="decimal"/>
      <w:lvlText w:val="%1"/>
      <w:lvlJc w:val="left"/>
      <w:pPr>
        <w:ind w:left="360" w:hanging="360"/>
      </w:pPr>
      <w:rPr>
        <w:rFonts w:hint="default"/>
        <w:strike w:val="0"/>
        <w:dstrike w:val="0"/>
        <w:vertAlign w:val="superscript"/>
      </w:rPr>
    </w:lvl>
    <w:lvl w:ilvl="1" w:tplc="04140003" w:tentative="1">
      <w:start w:val="1"/>
      <w:numFmt w:val="lowerLetter"/>
      <w:lvlText w:val="%2."/>
      <w:lvlJc w:val="left"/>
      <w:pPr>
        <w:ind w:left="1080" w:hanging="360"/>
      </w:pPr>
    </w:lvl>
    <w:lvl w:ilvl="2" w:tplc="04140005" w:tentative="1">
      <w:start w:val="1"/>
      <w:numFmt w:val="lowerRoman"/>
      <w:lvlText w:val="%3."/>
      <w:lvlJc w:val="right"/>
      <w:pPr>
        <w:ind w:left="1800" w:hanging="180"/>
      </w:pPr>
    </w:lvl>
    <w:lvl w:ilvl="3" w:tplc="04140001" w:tentative="1">
      <w:start w:val="1"/>
      <w:numFmt w:val="decimal"/>
      <w:lvlText w:val="%4."/>
      <w:lvlJc w:val="left"/>
      <w:pPr>
        <w:ind w:left="2520" w:hanging="360"/>
      </w:pPr>
    </w:lvl>
    <w:lvl w:ilvl="4" w:tplc="04140003" w:tentative="1">
      <w:start w:val="1"/>
      <w:numFmt w:val="lowerLetter"/>
      <w:lvlText w:val="%5."/>
      <w:lvlJc w:val="left"/>
      <w:pPr>
        <w:ind w:left="3240" w:hanging="360"/>
      </w:pPr>
    </w:lvl>
    <w:lvl w:ilvl="5" w:tplc="04140005" w:tentative="1">
      <w:start w:val="1"/>
      <w:numFmt w:val="lowerRoman"/>
      <w:lvlText w:val="%6."/>
      <w:lvlJc w:val="right"/>
      <w:pPr>
        <w:ind w:left="3960" w:hanging="180"/>
      </w:pPr>
    </w:lvl>
    <w:lvl w:ilvl="6" w:tplc="04140001">
      <w:start w:val="1"/>
      <w:numFmt w:val="decimal"/>
      <w:lvlText w:val="%7."/>
      <w:lvlJc w:val="left"/>
      <w:pPr>
        <w:ind w:left="4680" w:hanging="360"/>
      </w:pPr>
    </w:lvl>
    <w:lvl w:ilvl="7" w:tplc="04140003" w:tentative="1">
      <w:start w:val="1"/>
      <w:numFmt w:val="lowerLetter"/>
      <w:lvlText w:val="%8."/>
      <w:lvlJc w:val="left"/>
      <w:pPr>
        <w:ind w:left="5400" w:hanging="360"/>
      </w:pPr>
    </w:lvl>
    <w:lvl w:ilvl="8" w:tplc="04140005" w:tentative="1">
      <w:start w:val="1"/>
      <w:numFmt w:val="lowerRoman"/>
      <w:lvlText w:val="%9."/>
      <w:lvlJc w:val="right"/>
      <w:pPr>
        <w:ind w:left="6120" w:hanging="180"/>
      </w:pPr>
    </w:lvl>
  </w:abstractNum>
  <w:abstractNum w:abstractNumId="50" w15:restartNumberingAfterBreak="0">
    <w:nsid w:val="5FD06D37"/>
    <w:multiLevelType w:val="hybridMultilevel"/>
    <w:tmpl w:val="A4409C8E"/>
    <w:lvl w:ilvl="0" w:tplc="FFFFFFFF">
      <w:start w:val="1"/>
      <w:numFmt w:val="decimal"/>
      <w:lvlText w:val="%1"/>
      <w:lvlJc w:val="left"/>
      <w:pPr>
        <w:tabs>
          <w:tab w:val="num" w:pos="720"/>
        </w:tabs>
        <w:ind w:left="720" w:hanging="360"/>
      </w:pPr>
      <w:rPr>
        <w:rFonts w:hint="default"/>
        <w:strike w:val="0"/>
        <w:dstrike w:val="0"/>
        <w:vertAlign w:val="superscrip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1" w15:restartNumberingAfterBreak="0">
    <w:nsid w:val="625D4721"/>
    <w:multiLevelType w:val="hybridMultilevel"/>
    <w:tmpl w:val="E61A26F2"/>
    <w:lvl w:ilvl="0" w:tplc="9E5CDED4">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2" w15:restartNumberingAfterBreak="0">
    <w:nsid w:val="62A6542F"/>
    <w:multiLevelType w:val="multilevel"/>
    <w:tmpl w:val="F4EA7A2E"/>
    <w:numStyleLink w:val="RomListeStil"/>
  </w:abstractNum>
  <w:abstractNum w:abstractNumId="53" w15:restartNumberingAfterBreak="0">
    <w:nsid w:val="639753BA"/>
    <w:multiLevelType w:val="hybridMultilevel"/>
    <w:tmpl w:val="37BA58E8"/>
    <w:lvl w:ilvl="0" w:tplc="FFFFFFFF">
      <w:start w:val="1"/>
      <w:numFmt w:val="decimal"/>
      <w:lvlText w:val="%1"/>
      <w:lvlJc w:val="left"/>
      <w:pPr>
        <w:ind w:left="720" w:hanging="360"/>
      </w:pPr>
      <w:rPr>
        <w:rFonts w:hint="default"/>
        <w:strike w:val="0"/>
        <w:dstrike w:val="0"/>
        <w:sz w:val="16"/>
        <w:szCs w:val="16"/>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4" w15:restartNumberingAfterBreak="0">
    <w:nsid w:val="640902D6"/>
    <w:multiLevelType w:val="hybridMultilevel"/>
    <w:tmpl w:val="0C4412D0"/>
    <w:lvl w:ilvl="0" w:tplc="FFFFFFFF">
      <w:start w:val="1"/>
      <w:numFmt w:val="decimal"/>
      <w:lvlText w:val="%1"/>
      <w:lvlJc w:val="left"/>
      <w:pPr>
        <w:ind w:left="360" w:hanging="360"/>
      </w:pPr>
      <w:rPr>
        <w:rFonts w:hint="default"/>
        <w:strike w:val="0"/>
        <w:dstrike w:val="0"/>
        <w:sz w:val="16"/>
        <w:szCs w:val="16"/>
        <w:vertAlign w:val="superscrip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5" w15:restartNumberingAfterBreak="0">
    <w:nsid w:val="66CD06AC"/>
    <w:multiLevelType w:val="hybridMultilevel"/>
    <w:tmpl w:val="D07A95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7" w15:restartNumberingAfterBreak="0">
    <w:nsid w:val="68F13C21"/>
    <w:multiLevelType w:val="hybridMultilevel"/>
    <w:tmpl w:val="3C6C5250"/>
    <w:lvl w:ilvl="0" w:tplc="9656D012">
      <w:start w:val="37"/>
      <w:numFmt w:val="bullet"/>
      <w:lvlText w:val="-"/>
      <w:lvlJc w:val="left"/>
      <w:pPr>
        <w:ind w:left="720" w:hanging="360"/>
      </w:pPr>
      <w:rPr>
        <w:rFonts w:ascii="Times" w:eastAsia="Batang" w:hAnsi="Times" w:cs="Time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697D3936"/>
    <w:multiLevelType w:val="hybridMultilevel"/>
    <w:tmpl w:val="101C419E"/>
    <w:lvl w:ilvl="0" w:tplc="FFFFFFFF">
      <w:start w:val="1"/>
      <w:numFmt w:val="bullet"/>
      <w:lvlText w:val=""/>
      <w:lvlJc w:val="left"/>
      <w:pPr>
        <w:ind w:left="765"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59" w15:restartNumberingAfterBreak="0">
    <w:nsid w:val="69BB0097"/>
    <w:multiLevelType w:val="hybridMultilevel"/>
    <w:tmpl w:val="7A00BE40"/>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6C123A26"/>
    <w:multiLevelType w:val="hybridMultilevel"/>
    <w:tmpl w:val="FD4AC2C2"/>
    <w:lvl w:ilvl="0" w:tplc="FFFFFFFF">
      <w:start w:val="1"/>
      <w:numFmt w:val="decimal"/>
      <w:lvlText w:val="%1"/>
      <w:lvlJc w:val="left"/>
      <w:pPr>
        <w:ind w:left="720" w:hanging="360"/>
      </w:pPr>
      <w:rPr>
        <w:rFonts w:hint="default"/>
        <w:strike w:val="0"/>
        <w:dstrike w:val="0"/>
        <w:sz w:val="16"/>
        <w:szCs w:val="16"/>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1" w15:restartNumberingAfterBreak="0">
    <w:nsid w:val="6C861947"/>
    <w:multiLevelType w:val="hybridMultilevel"/>
    <w:tmpl w:val="D7E297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6F642800"/>
    <w:multiLevelType w:val="hybridMultilevel"/>
    <w:tmpl w:val="8B607FCC"/>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707340CE"/>
    <w:multiLevelType w:val="hybridMultilevel"/>
    <w:tmpl w:val="CC06940A"/>
    <w:lvl w:ilvl="0" w:tplc="FFFFFFFF">
      <w:start w:val="1"/>
      <w:numFmt w:val="decimal"/>
      <w:lvlText w:val="%1"/>
      <w:lvlJc w:val="left"/>
      <w:pPr>
        <w:ind w:left="1004" w:hanging="360"/>
      </w:pPr>
      <w:rPr>
        <w:rFonts w:hint="default"/>
        <w:strike w:val="0"/>
        <w:dstrike w:val="0"/>
        <w:vertAlign w:val="superscrip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4" w15:restartNumberingAfterBreak="0">
    <w:nsid w:val="79894A77"/>
    <w:multiLevelType w:val="hybridMultilevel"/>
    <w:tmpl w:val="17EC2782"/>
    <w:lvl w:ilvl="0" w:tplc="FFFFFFFF">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7BCD3FA0"/>
    <w:multiLevelType w:val="hybridMultilevel"/>
    <w:tmpl w:val="5BF2DAEA"/>
    <w:lvl w:ilvl="0" w:tplc="0C8C9996">
      <w:start w:val="1"/>
      <w:numFmt w:val="decimal"/>
      <w:lvlText w:val="%1."/>
      <w:lvlJc w:val="left"/>
      <w:pPr>
        <w:ind w:left="720" w:hanging="360"/>
      </w:pPr>
      <w:rPr>
        <w:rFonts w:hint="default"/>
      </w:rPr>
    </w:lvl>
    <w:lvl w:ilvl="1" w:tplc="8ADA6A96" w:tentative="1">
      <w:start w:val="1"/>
      <w:numFmt w:val="lowerLetter"/>
      <w:lvlText w:val="%2."/>
      <w:lvlJc w:val="left"/>
      <w:pPr>
        <w:ind w:left="1440" w:hanging="360"/>
      </w:pPr>
    </w:lvl>
    <w:lvl w:ilvl="2" w:tplc="56543E64" w:tentative="1">
      <w:start w:val="1"/>
      <w:numFmt w:val="lowerRoman"/>
      <w:lvlText w:val="%3."/>
      <w:lvlJc w:val="right"/>
      <w:pPr>
        <w:ind w:left="2160" w:hanging="180"/>
      </w:pPr>
    </w:lvl>
    <w:lvl w:ilvl="3" w:tplc="E8081A30" w:tentative="1">
      <w:start w:val="1"/>
      <w:numFmt w:val="decimal"/>
      <w:lvlText w:val="%4."/>
      <w:lvlJc w:val="left"/>
      <w:pPr>
        <w:ind w:left="2880" w:hanging="360"/>
      </w:pPr>
    </w:lvl>
    <w:lvl w:ilvl="4" w:tplc="F6DC08F6" w:tentative="1">
      <w:start w:val="1"/>
      <w:numFmt w:val="lowerLetter"/>
      <w:lvlText w:val="%5."/>
      <w:lvlJc w:val="left"/>
      <w:pPr>
        <w:ind w:left="3600" w:hanging="360"/>
      </w:pPr>
    </w:lvl>
    <w:lvl w:ilvl="5" w:tplc="1988E1C6" w:tentative="1">
      <w:start w:val="1"/>
      <w:numFmt w:val="lowerRoman"/>
      <w:lvlText w:val="%6."/>
      <w:lvlJc w:val="right"/>
      <w:pPr>
        <w:ind w:left="4320" w:hanging="180"/>
      </w:pPr>
    </w:lvl>
    <w:lvl w:ilvl="6" w:tplc="27F070FE" w:tentative="1">
      <w:start w:val="1"/>
      <w:numFmt w:val="decimal"/>
      <w:lvlText w:val="%7."/>
      <w:lvlJc w:val="left"/>
      <w:pPr>
        <w:ind w:left="5040" w:hanging="360"/>
      </w:pPr>
    </w:lvl>
    <w:lvl w:ilvl="7" w:tplc="1A161790" w:tentative="1">
      <w:start w:val="1"/>
      <w:numFmt w:val="lowerLetter"/>
      <w:lvlText w:val="%8."/>
      <w:lvlJc w:val="left"/>
      <w:pPr>
        <w:ind w:left="5760" w:hanging="360"/>
      </w:pPr>
    </w:lvl>
    <w:lvl w:ilvl="8" w:tplc="321A5D3A" w:tentative="1">
      <w:start w:val="1"/>
      <w:numFmt w:val="lowerRoman"/>
      <w:lvlText w:val="%9."/>
      <w:lvlJc w:val="right"/>
      <w:pPr>
        <w:ind w:left="6480" w:hanging="180"/>
      </w:pPr>
    </w:lvl>
  </w:abstractNum>
  <w:abstractNum w:abstractNumId="66" w15:restartNumberingAfterBreak="0">
    <w:nsid w:val="7E96105E"/>
    <w:multiLevelType w:val="hybridMultilevel"/>
    <w:tmpl w:val="3DCC18DE"/>
    <w:lvl w:ilvl="0" w:tplc="9E5CDED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7" w15:restartNumberingAfterBreak="0">
    <w:nsid w:val="7F0B20E1"/>
    <w:multiLevelType w:val="hybridMultilevel"/>
    <w:tmpl w:val="374832DC"/>
    <w:lvl w:ilvl="0" w:tplc="0E4CC386">
      <w:start w:val="1"/>
      <w:numFmt w:val="decimal"/>
      <w:lvlText w:val="%1"/>
      <w:lvlJc w:val="left"/>
      <w:pPr>
        <w:ind w:left="720" w:hanging="360"/>
      </w:pPr>
      <w:rPr>
        <w:rFonts w:hint="default"/>
        <w:strike w:val="0"/>
        <w:dstrike w:val="0"/>
        <w:vertAlign w:val="superscrip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68" w15:restartNumberingAfterBreak="0">
    <w:nsid w:val="7F4B2184"/>
    <w:multiLevelType w:val="multilevel"/>
    <w:tmpl w:val="D48A6F7C"/>
    <w:lvl w:ilvl="0">
      <w:start w:val="1"/>
      <w:numFmt w:val="decimal"/>
      <w:lvlText w:val="%1"/>
      <w:lvlJc w:val="left"/>
      <w:pPr>
        <w:tabs>
          <w:tab w:val="num" w:pos="397"/>
        </w:tabs>
        <w:ind w:left="397" w:hanging="397"/>
      </w:pPr>
      <w:rPr>
        <w:rFonts w:hint="default"/>
        <w:strike w:val="0"/>
        <w:dstrike w:val="0"/>
        <w:vertAlign w:val="superscrip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9" w15:restartNumberingAfterBreak="0">
    <w:nsid w:val="7F507A5F"/>
    <w:multiLevelType w:val="hybridMultilevel"/>
    <w:tmpl w:val="3DE049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36"/>
  </w:num>
  <w:num w:numId="4">
    <w:abstractNumId w:val="44"/>
  </w:num>
  <w:num w:numId="5">
    <w:abstractNumId w:val="41"/>
  </w:num>
  <w:num w:numId="6">
    <w:abstractNumId w:val="35"/>
  </w:num>
  <w:num w:numId="7">
    <w:abstractNumId w:val="33"/>
  </w:num>
  <w:num w:numId="8">
    <w:abstractNumId w:val="1"/>
  </w:num>
  <w:num w:numId="9">
    <w:abstractNumId w:val="29"/>
  </w:num>
  <w:num w:numId="10">
    <w:abstractNumId w:val="6"/>
  </w:num>
  <w:num w:numId="11">
    <w:abstractNumId w:val="34"/>
  </w:num>
  <w:num w:numId="12">
    <w:abstractNumId w:val="17"/>
  </w:num>
  <w:num w:numId="13">
    <w:abstractNumId w:val="52"/>
  </w:num>
  <w:num w:numId="14">
    <w:abstractNumId w:val="0"/>
  </w:num>
  <w:num w:numId="15">
    <w:abstractNumId w:val="20"/>
  </w:num>
  <w:num w:numId="16">
    <w:abstractNumId w:val="42"/>
  </w:num>
  <w:num w:numId="17">
    <w:abstractNumId w:val="56"/>
  </w:num>
  <w:num w:numId="18">
    <w:abstractNumId w:val="31"/>
  </w:num>
  <w:num w:numId="19">
    <w:abstractNumId w:val="32"/>
  </w:num>
  <w:num w:numId="20">
    <w:abstractNumId w:val="49"/>
  </w:num>
  <w:num w:numId="21">
    <w:abstractNumId w:val="15"/>
  </w:num>
  <w:num w:numId="22">
    <w:abstractNumId w:val="57"/>
  </w:num>
  <w:num w:numId="23">
    <w:abstractNumId w:val="5"/>
  </w:num>
  <w:num w:numId="24">
    <w:abstractNumId w:val="43"/>
  </w:num>
  <w:num w:numId="25">
    <w:abstractNumId w:val="40"/>
  </w:num>
  <w:num w:numId="26">
    <w:abstractNumId w:val="22"/>
  </w:num>
  <w:num w:numId="27">
    <w:abstractNumId w:val="25"/>
  </w:num>
  <w:num w:numId="28">
    <w:abstractNumId w:val="58"/>
  </w:num>
  <w:num w:numId="29">
    <w:abstractNumId w:val="38"/>
  </w:num>
  <w:num w:numId="30">
    <w:abstractNumId w:val="46"/>
  </w:num>
  <w:num w:numId="31">
    <w:abstractNumId w:val="7"/>
    <w:lvlOverride w:ilvl="0">
      <w:lvl w:ilvl="0">
        <w:start w:val="1"/>
        <w:numFmt w:val="decimal"/>
        <w:pStyle w:val="Overskrift1"/>
        <w:lvlText w:val="%1"/>
        <w:lvlJc w:val="left"/>
        <w:pPr>
          <w:ind w:left="432" w:hanging="432"/>
        </w:pPr>
        <w:rPr>
          <w:rFonts w:hint="default"/>
          <w:b/>
        </w:rPr>
      </w:lvl>
    </w:lvlOverride>
    <w:lvlOverride w:ilvl="1">
      <w:lvl w:ilvl="1">
        <w:start w:val="1"/>
        <w:numFmt w:val="decimal"/>
        <w:pStyle w:val="Overskrift2"/>
        <w:lvlText w:val="%1.%2"/>
        <w:lvlJc w:val="left"/>
        <w:pPr>
          <w:ind w:left="576" w:hanging="576"/>
        </w:pPr>
        <w:rPr>
          <w:rFonts w:hint="default"/>
        </w:rPr>
      </w:lvl>
    </w:lvlOverride>
    <w:lvlOverride w:ilvl="2">
      <w:lvl w:ilvl="2">
        <w:start w:val="1"/>
        <w:numFmt w:val="decimal"/>
        <w:pStyle w:val="Overskrift3"/>
        <w:lvlText w:val="%1.%2.%3"/>
        <w:lvlJc w:val="left"/>
        <w:pPr>
          <w:ind w:left="720" w:hanging="720"/>
        </w:pPr>
        <w:rPr>
          <w:rFonts w:hint="default"/>
        </w:rPr>
      </w:lvl>
    </w:lvlOverride>
    <w:lvlOverride w:ilvl="3">
      <w:lvl w:ilvl="3">
        <w:start w:val="1"/>
        <w:numFmt w:val="decimal"/>
        <w:pStyle w:val="Overskrift4"/>
        <w:lvlText w:val="%1.%2.%3.%4"/>
        <w:lvlJc w:val="left"/>
        <w:pPr>
          <w:ind w:left="864" w:hanging="864"/>
        </w:pPr>
        <w:rPr>
          <w:rFonts w:hint="default"/>
        </w:rPr>
      </w:lvl>
    </w:lvlOverride>
    <w:lvlOverride w:ilvl="4">
      <w:lvl w:ilvl="4">
        <w:start w:val="1"/>
        <w:numFmt w:val="decimal"/>
        <w:pStyle w:val="Overskrift5"/>
        <w:lvlText w:val="%1.%2.%3.%4.%5"/>
        <w:lvlJc w:val="left"/>
        <w:pPr>
          <w:ind w:left="1008" w:hanging="1008"/>
        </w:pPr>
        <w:rPr>
          <w:rFonts w:hint="default"/>
        </w:rPr>
      </w:lvl>
    </w:lvlOverride>
    <w:lvlOverride w:ilvl="5">
      <w:lvl w:ilvl="5">
        <w:start w:val="1"/>
        <w:numFmt w:val="decimal"/>
        <w:lvlRestart w:val="1"/>
        <w:pStyle w:val="figur-tittel"/>
        <w:suff w:val="nothing"/>
        <w:lvlText w:val="Figur %1.%6 "/>
        <w:lvlJc w:val="left"/>
        <w:pPr>
          <w:ind w:left="0" w:firstLine="0"/>
        </w:pPr>
        <w:rPr>
          <w:rFonts w:hint="default"/>
        </w:rPr>
      </w:lvl>
    </w:lvlOverride>
    <w:lvlOverride w:ilvl="6">
      <w:lvl w:ilvl="6">
        <w:start w:val="1"/>
        <w:numFmt w:val="decimal"/>
        <w:lvlRestart w:val="1"/>
        <w:pStyle w:val="tabell-tittel"/>
        <w:suff w:val="nothing"/>
        <w:lvlText w:val="Tabell %1.%7 "/>
        <w:lvlJc w:val="left"/>
        <w:pPr>
          <w:ind w:left="0" w:firstLine="0"/>
        </w:pPr>
        <w:rPr>
          <w:rFonts w:hint="default"/>
        </w:rPr>
      </w:lvl>
    </w:lvlOverride>
    <w:lvlOverride w:ilvl="7">
      <w:lvl w:ilvl="7">
        <w:start w:val="1"/>
        <w:numFmt w:val="decimal"/>
        <w:lvlRestart w:val="1"/>
        <w:pStyle w:val="tittel-ramme"/>
        <w:suff w:val="nothing"/>
        <w:lvlText w:val="Boks %1.%8 "/>
        <w:lvlJc w:val="left"/>
        <w:pPr>
          <w:ind w:left="0" w:firstLine="0"/>
        </w:pPr>
        <w:rPr>
          <w:rFonts w:hint="default"/>
        </w:rPr>
      </w:lvl>
    </w:lvlOverride>
    <w:lvlOverride w:ilvl="8">
      <w:lvl w:ilvl="8">
        <w:start w:val="1"/>
        <w:numFmt w:val="decimal"/>
        <w:lvlText w:val="%1.%2.%3.%4.%5.%6.%7.%8.%9"/>
        <w:lvlJc w:val="left"/>
        <w:pPr>
          <w:ind w:left="1584" w:hanging="1584"/>
        </w:pPr>
        <w:rPr>
          <w:rFonts w:hint="default"/>
        </w:rPr>
      </w:lvl>
    </w:lvlOverride>
  </w:num>
  <w:num w:numId="32">
    <w:abstractNumId w:val="26"/>
  </w:num>
  <w:num w:numId="33">
    <w:abstractNumId w:val="62"/>
  </w:num>
  <w:num w:numId="34">
    <w:abstractNumId w:val="65"/>
  </w:num>
  <w:num w:numId="35">
    <w:abstractNumId w:val="28"/>
  </w:num>
  <w:num w:numId="36">
    <w:abstractNumId w:val="16"/>
  </w:num>
  <w:num w:numId="37">
    <w:abstractNumId w:val="9"/>
  </w:num>
  <w:num w:numId="38">
    <w:abstractNumId w:val="63"/>
  </w:num>
  <w:num w:numId="39">
    <w:abstractNumId w:val="14"/>
  </w:num>
  <w:num w:numId="40">
    <w:abstractNumId w:val="67"/>
  </w:num>
  <w:num w:numId="41">
    <w:abstractNumId w:val="53"/>
  </w:num>
  <w:num w:numId="42">
    <w:abstractNumId w:val="68"/>
  </w:num>
  <w:num w:numId="43">
    <w:abstractNumId w:val="7"/>
    <w:lvlOverride w:ilvl="0">
      <w:lvl w:ilvl="0">
        <w:numFmt w:val="decimal"/>
        <w:pStyle w:val="Overskrift1"/>
        <w:lvlText w:val=""/>
        <w:lvlJc w:val="left"/>
      </w:lvl>
    </w:lvlOverride>
    <w:lvlOverride w:ilvl="1">
      <w:lvl w:ilvl="1">
        <w:start w:val="1"/>
        <w:numFmt w:val="decimal"/>
        <w:pStyle w:val="Overskrift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2">
      <w:lvl w:ilvl="2">
        <w:numFmt w:val="decimal"/>
        <w:pStyle w:val="Overskrift3"/>
        <w:lvlText w:val=""/>
        <w:lvlJc w:val="left"/>
      </w:lvl>
    </w:lvlOverride>
    <w:lvlOverride w:ilvl="3">
      <w:lvl w:ilvl="3">
        <w:numFmt w:val="decimal"/>
        <w:pStyle w:val="Overskrift4"/>
        <w:lvlText w:val=""/>
        <w:lvlJc w:val="left"/>
      </w:lvl>
    </w:lvlOverride>
    <w:lvlOverride w:ilvl="4">
      <w:lvl w:ilvl="4">
        <w:numFmt w:val="decimal"/>
        <w:pStyle w:val="Overskrift5"/>
        <w:lvlText w:val=""/>
        <w:lvlJc w:val="left"/>
      </w:lvl>
    </w:lvlOverride>
    <w:lvlOverride w:ilvl="5">
      <w:lvl w:ilvl="5">
        <w:start w:val="1"/>
        <w:numFmt w:val="decimal"/>
        <w:lvlRestart w:val="1"/>
        <w:pStyle w:val="figur-tittel"/>
        <w:suff w:val="nothing"/>
        <w:lvlText w:val="Figur %1.%6 "/>
        <w:lvlJc w:val="left"/>
        <w:pPr>
          <w:ind w:left="0" w:firstLine="0"/>
        </w:pPr>
        <w:rPr>
          <w:rFonts w:hint="default"/>
          <w:i w:val="0"/>
        </w:rPr>
      </w:lvl>
    </w:lvlOverride>
    <w:lvlOverride w:ilvl="6">
      <w:lvl w:ilvl="6">
        <w:start w:val="1"/>
        <w:numFmt w:val="decimal"/>
        <w:lvlRestart w:val="1"/>
        <w:pStyle w:val="tabell-tittel"/>
        <w:suff w:val="nothing"/>
        <w:lvlText w:val="Tabell %1.%7 "/>
        <w:lvlJc w:val="left"/>
        <w:pPr>
          <w:ind w:left="0" w:firstLine="0"/>
        </w:pPr>
        <w:rPr>
          <w:rFonts w:hint="default"/>
          <w:color w:val="auto"/>
          <w:sz w:val="24"/>
          <w:szCs w:val="24"/>
        </w:rPr>
      </w:lvl>
    </w:lvlOverride>
  </w:num>
  <w:num w:numId="44">
    <w:abstractNumId w:val="60"/>
  </w:num>
  <w:num w:numId="45">
    <w:abstractNumId w:val="21"/>
  </w:num>
  <w:num w:numId="46">
    <w:abstractNumId w:val="13"/>
  </w:num>
  <w:num w:numId="47">
    <w:abstractNumId w:val="8"/>
  </w:num>
  <w:num w:numId="48">
    <w:abstractNumId w:val="39"/>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lvl w:ilvl="0">
        <w:numFmt w:val="decimal"/>
        <w:pStyle w:val="Overskrift1"/>
        <w:lvlText w:val=""/>
        <w:lvlJc w:val="left"/>
      </w:lvl>
    </w:lvlOverride>
    <w:lvlOverride w:ilvl="1">
      <w:lvl w:ilvl="1">
        <w:start w:val="1"/>
        <w:numFmt w:val="decimal"/>
        <w:pStyle w:val="Overskrift2"/>
        <w:lvlText w:val="%1.%2"/>
        <w:lvlJc w:val="left"/>
        <w:pPr>
          <w:ind w:left="576" w:hanging="576"/>
        </w:pPr>
        <w:rPr>
          <w:rFonts w:hint="default"/>
          <w:b w:val="0"/>
        </w:rPr>
      </w:lvl>
    </w:lvlOverride>
  </w:num>
  <w:num w:numId="51">
    <w:abstractNumId w:val="50"/>
  </w:num>
  <w:num w:numId="52">
    <w:abstractNumId w:val="47"/>
  </w:num>
  <w:num w:numId="53">
    <w:abstractNumId w:val="45"/>
  </w:num>
  <w:num w:numId="54">
    <w:abstractNumId w:val="54"/>
  </w:num>
  <w:num w:numId="55">
    <w:abstractNumId w:val="19"/>
  </w:num>
  <w:num w:numId="56">
    <w:abstractNumId w:val="2"/>
  </w:num>
  <w:num w:numId="57">
    <w:abstractNumId w:val="7"/>
    <w:lvlOverride w:ilvl="0">
      <w:startOverride w:val="1"/>
      <w:lvl w:ilvl="0">
        <w:start w:val="1"/>
        <w:numFmt w:val="decimal"/>
        <w:pStyle w:val="Overskrift1"/>
        <w:lvlText w:val=""/>
        <w:lvlJc w:val="left"/>
      </w:lvl>
    </w:lvlOverride>
    <w:lvlOverride w:ilvl="1">
      <w:startOverride w:val="1"/>
      <w:lvl w:ilvl="1">
        <w:start w:val="1"/>
        <w:numFmt w:val="decimal"/>
        <w:pStyle w:val="Overskrift2"/>
        <w:lvlText w:val=""/>
        <w:lvlJc w:val="left"/>
      </w:lvl>
    </w:lvlOverride>
    <w:lvlOverride w:ilvl="2">
      <w:startOverride w:val="1"/>
      <w:lvl w:ilvl="2">
        <w:start w:val="1"/>
        <w:numFmt w:val="decimal"/>
        <w:pStyle w:val="Overskrift3"/>
        <w:lvlText w:val=""/>
        <w:lvlJc w:val="left"/>
      </w:lvl>
    </w:lvlOverride>
    <w:lvlOverride w:ilvl="3">
      <w:startOverride w:val="1"/>
      <w:lvl w:ilvl="3">
        <w:start w:val="1"/>
        <w:numFmt w:val="decimal"/>
        <w:pStyle w:val="Overskrift4"/>
        <w:lvlText w:val=""/>
        <w:lvlJc w:val="left"/>
      </w:lvl>
    </w:lvlOverride>
    <w:lvlOverride w:ilvl="4">
      <w:startOverride w:val="1"/>
      <w:lvl w:ilvl="4">
        <w:start w:val="1"/>
        <w:numFmt w:val="decimal"/>
        <w:pStyle w:val="Overskrift5"/>
        <w:lvlText w:val=""/>
        <w:lvlJc w:val="left"/>
      </w:lvl>
    </w:lvlOverride>
    <w:lvlOverride w:ilvl="5">
      <w:startOverride w:val="1"/>
      <w:lvl w:ilvl="5">
        <w:start w:val="1"/>
        <w:numFmt w:val="decimal"/>
        <w:pStyle w:val="figur-tittel"/>
        <w:lvlText w:val=""/>
        <w:lvlJc w:val="left"/>
      </w:lvl>
    </w:lvlOverride>
    <w:lvlOverride w:ilvl="6">
      <w:startOverride w:val="1"/>
      <w:lvl w:ilvl="6">
        <w:start w:val="1"/>
        <w:numFmt w:val="decimal"/>
        <w:lvlRestart w:val="1"/>
        <w:pStyle w:val="tabell-tittel"/>
        <w:suff w:val="nothing"/>
        <w:lvlText w:val="Tabell %1.%7 "/>
        <w:lvlJc w:val="left"/>
        <w:pPr>
          <w:ind w:left="0" w:firstLine="0"/>
        </w:pPr>
        <w:rPr>
          <w:rFonts w:hint="default"/>
          <w:b w:val="0"/>
          <w:color w:val="000000" w:themeColor="text1"/>
        </w:rPr>
      </w:lvl>
    </w:lvlOverride>
    <w:lvlOverride w:ilvl="7">
      <w:startOverride w:val="1"/>
      <w:lvl w:ilvl="7">
        <w:start w:val="1"/>
        <w:numFmt w:val="decimal"/>
        <w:pStyle w:val="tittel-ramme"/>
        <w:lvlText w:val=""/>
        <w:lvlJc w:val="left"/>
      </w:lvl>
    </w:lvlOverride>
    <w:lvlOverride w:ilvl="8">
      <w:startOverride w:val="1"/>
      <w:lvl w:ilvl="8">
        <w:start w:val="1"/>
        <w:numFmt w:val="decimal"/>
        <w:lvlText w:val=""/>
        <w:lvlJc w:val="left"/>
      </w:lvl>
    </w:lvlOverride>
  </w:num>
  <w:num w:numId="58">
    <w:abstractNumId w:val="7"/>
    <w:lvlOverride w:ilvl="2">
      <w:lvl w:ilvl="2">
        <w:start w:val="1"/>
        <w:numFmt w:val="decimal"/>
        <w:pStyle w:val="Overskrift3"/>
        <w:lvlText w:val="%1.%2.%3"/>
        <w:lvlJc w:val="left"/>
        <w:pPr>
          <w:ind w:left="720" w:hanging="720"/>
        </w:pPr>
        <w:rPr>
          <w:rFonts w:hint="default"/>
        </w:rPr>
      </w:lvl>
    </w:lvlOverride>
  </w:num>
  <w:num w:numId="59">
    <w:abstractNumId w:val="12"/>
  </w:num>
  <w:num w:numId="60">
    <w:abstractNumId w:val="11"/>
  </w:num>
  <w:num w:numId="61">
    <w:abstractNumId w:val="24"/>
  </w:num>
  <w:num w:numId="62">
    <w:abstractNumId w:val="48"/>
  </w:num>
  <w:num w:numId="63">
    <w:abstractNumId w:val="59"/>
  </w:num>
  <w:num w:numId="64">
    <w:abstractNumId w:val="64"/>
  </w:num>
  <w:num w:numId="65">
    <w:abstractNumId w:val="4"/>
  </w:num>
  <w:num w:numId="66">
    <w:abstractNumId w:val="37"/>
  </w:num>
  <w:num w:numId="67">
    <w:abstractNumId w:val="55"/>
  </w:num>
  <w:num w:numId="68">
    <w:abstractNumId w:val="61"/>
  </w:num>
  <w:num w:numId="69">
    <w:abstractNumId w:val="69"/>
  </w:num>
  <w:num w:numId="70">
    <w:abstractNumId w:val="51"/>
  </w:num>
  <w:num w:numId="71">
    <w:abstractNumId w:val="30"/>
  </w:num>
  <w:num w:numId="72">
    <w:abstractNumId w:val="66"/>
  </w:num>
  <w:num w:numId="73">
    <w:abstractNumId w:val="7"/>
  </w:num>
  <w:num w:numId="74">
    <w:abstractNumId w:val="7"/>
  </w:num>
  <w:num w:numId="75">
    <w:abstractNumId w:val="7"/>
  </w:num>
  <w:num w:numId="76">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7">
    <w:abstractNumId w:val="18"/>
  </w:num>
  <w:num w:numId="78">
    <w:abstractNumId w:val="1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3F"/>
    <w:rsid w:val="00000483"/>
    <w:rsid w:val="0000059B"/>
    <w:rsid w:val="00000676"/>
    <w:rsid w:val="00000DD1"/>
    <w:rsid w:val="00003078"/>
    <w:rsid w:val="000031F6"/>
    <w:rsid w:val="000032B0"/>
    <w:rsid w:val="00003925"/>
    <w:rsid w:val="00004B30"/>
    <w:rsid w:val="00004BAE"/>
    <w:rsid w:val="000053B3"/>
    <w:rsid w:val="000053C3"/>
    <w:rsid w:val="000065D5"/>
    <w:rsid w:val="00006AE2"/>
    <w:rsid w:val="00006EAB"/>
    <w:rsid w:val="00006F88"/>
    <w:rsid w:val="000077BA"/>
    <w:rsid w:val="000101CE"/>
    <w:rsid w:val="000116D2"/>
    <w:rsid w:val="000123E8"/>
    <w:rsid w:val="00012A22"/>
    <w:rsid w:val="00012CDB"/>
    <w:rsid w:val="00013897"/>
    <w:rsid w:val="00014223"/>
    <w:rsid w:val="0001493A"/>
    <w:rsid w:val="00016E67"/>
    <w:rsid w:val="00017275"/>
    <w:rsid w:val="00017386"/>
    <w:rsid w:val="0001787B"/>
    <w:rsid w:val="000202F4"/>
    <w:rsid w:val="00020344"/>
    <w:rsid w:val="00022754"/>
    <w:rsid w:val="00022A8F"/>
    <w:rsid w:val="00023930"/>
    <w:rsid w:val="000243B1"/>
    <w:rsid w:val="000243EE"/>
    <w:rsid w:val="000245B9"/>
    <w:rsid w:val="00024B45"/>
    <w:rsid w:val="00025785"/>
    <w:rsid w:val="000259F9"/>
    <w:rsid w:val="000266BE"/>
    <w:rsid w:val="00026CD5"/>
    <w:rsid w:val="00027BE7"/>
    <w:rsid w:val="00027C5B"/>
    <w:rsid w:val="00027E67"/>
    <w:rsid w:val="0003000E"/>
    <w:rsid w:val="000300DE"/>
    <w:rsid w:val="00030A13"/>
    <w:rsid w:val="00031000"/>
    <w:rsid w:val="0003153D"/>
    <w:rsid w:val="00031BA1"/>
    <w:rsid w:val="0003214A"/>
    <w:rsid w:val="000323D3"/>
    <w:rsid w:val="00034097"/>
    <w:rsid w:val="0003432E"/>
    <w:rsid w:val="0003545A"/>
    <w:rsid w:val="00036712"/>
    <w:rsid w:val="00036984"/>
    <w:rsid w:val="00036B23"/>
    <w:rsid w:val="00036BA5"/>
    <w:rsid w:val="00036E6E"/>
    <w:rsid w:val="000371A4"/>
    <w:rsid w:val="0004009A"/>
    <w:rsid w:val="000416D9"/>
    <w:rsid w:val="00041A5E"/>
    <w:rsid w:val="00041CA2"/>
    <w:rsid w:val="00042776"/>
    <w:rsid w:val="00042AA7"/>
    <w:rsid w:val="00042FC5"/>
    <w:rsid w:val="00043040"/>
    <w:rsid w:val="000434B0"/>
    <w:rsid w:val="00044BA2"/>
    <w:rsid w:val="00044E8C"/>
    <w:rsid w:val="00044FC9"/>
    <w:rsid w:val="0004569C"/>
    <w:rsid w:val="000459E7"/>
    <w:rsid w:val="00045FAD"/>
    <w:rsid w:val="00046131"/>
    <w:rsid w:val="000463DA"/>
    <w:rsid w:val="00046D62"/>
    <w:rsid w:val="0004709C"/>
    <w:rsid w:val="000477F0"/>
    <w:rsid w:val="000477F4"/>
    <w:rsid w:val="00050D02"/>
    <w:rsid w:val="00050D06"/>
    <w:rsid w:val="00051E25"/>
    <w:rsid w:val="00052CF6"/>
    <w:rsid w:val="00053028"/>
    <w:rsid w:val="000536DA"/>
    <w:rsid w:val="0005382A"/>
    <w:rsid w:val="00054A78"/>
    <w:rsid w:val="00054D3C"/>
    <w:rsid w:val="00054EC6"/>
    <w:rsid w:val="000604D3"/>
    <w:rsid w:val="000617D2"/>
    <w:rsid w:val="00061819"/>
    <w:rsid w:val="000618FF"/>
    <w:rsid w:val="00062F0E"/>
    <w:rsid w:val="000633E3"/>
    <w:rsid w:val="000642BB"/>
    <w:rsid w:val="00064C18"/>
    <w:rsid w:val="00064FE5"/>
    <w:rsid w:val="00065983"/>
    <w:rsid w:val="00065D7B"/>
    <w:rsid w:val="00065E6B"/>
    <w:rsid w:val="0006699B"/>
    <w:rsid w:val="0006780D"/>
    <w:rsid w:val="0006788A"/>
    <w:rsid w:val="0007074A"/>
    <w:rsid w:val="00070E6B"/>
    <w:rsid w:val="000720D1"/>
    <w:rsid w:val="00072CAA"/>
    <w:rsid w:val="00072DFA"/>
    <w:rsid w:val="00072F19"/>
    <w:rsid w:val="00073508"/>
    <w:rsid w:val="000748C0"/>
    <w:rsid w:val="000748E9"/>
    <w:rsid w:val="000756AA"/>
    <w:rsid w:val="00075864"/>
    <w:rsid w:val="000764F9"/>
    <w:rsid w:val="0007691C"/>
    <w:rsid w:val="00076DA5"/>
    <w:rsid w:val="00077077"/>
    <w:rsid w:val="000777F3"/>
    <w:rsid w:val="00077A3C"/>
    <w:rsid w:val="000804AA"/>
    <w:rsid w:val="00080603"/>
    <w:rsid w:val="00080FA1"/>
    <w:rsid w:val="000814F9"/>
    <w:rsid w:val="000819E7"/>
    <w:rsid w:val="00081D0A"/>
    <w:rsid w:val="00081DB9"/>
    <w:rsid w:val="00084544"/>
    <w:rsid w:val="000856AD"/>
    <w:rsid w:val="00086230"/>
    <w:rsid w:val="00086565"/>
    <w:rsid w:val="0008731A"/>
    <w:rsid w:val="000874D8"/>
    <w:rsid w:val="0008763F"/>
    <w:rsid w:val="00087DC3"/>
    <w:rsid w:val="0009043D"/>
    <w:rsid w:val="00092B46"/>
    <w:rsid w:val="00092B5F"/>
    <w:rsid w:val="00093140"/>
    <w:rsid w:val="0009391D"/>
    <w:rsid w:val="000944E7"/>
    <w:rsid w:val="0009518A"/>
    <w:rsid w:val="00095F8A"/>
    <w:rsid w:val="00097419"/>
    <w:rsid w:val="000A0507"/>
    <w:rsid w:val="000A06D3"/>
    <w:rsid w:val="000A0DC2"/>
    <w:rsid w:val="000A0EDA"/>
    <w:rsid w:val="000A148B"/>
    <w:rsid w:val="000A16F5"/>
    <w:rsid w:val="000A1D76"/>
    <w:rsid w:val="000A2012"/>
    <w:rsid w:val="000A2913"/>
    <w:rsid w:val="000A2941"/>
    <w:rsid w:val="000A339F"/>
    <w:rsid w:val="000A3536"/>
    <w:rsid w:val="000A4178"/>
    <w:rsid w:val="000A5DDD"/>
    <w:rsid w:val="000A62CC"/>
    <w:rsid w:val="000A7A47"/>
    <w:rsid w:val="000A7B27"/>
    <w:rsid w:val="000A7DB1"/>
    <w:rsid w:val="000B0A8F"/>
    <w:rsid w:val="000B228D"/>
    <w:rsid w:val="000B24E4"/>
    <w:rsid w:val="000B2588"/>
    <w:rsid w:val="000B3250"/>
    <w:rsid w:val="000B3334"/>
    <w:rsid w:val="000B3AB9"/>
    <w:rsid w:val="000B42C3"/>
    <w:rsid w:val="000B4524"/>
    <w:rsid w:val="000B4E80"/>
    <w:rsid w:val="000B522E"/>
    <w:rsid w:val="000B53EB"/>
    <w:rsid w:val="000B5D80"/>
    <w:rsid w:val="000B6974"/>
    <w:rsid w:val="000B6AA7"/>
    <w:rsid w:val="000C05A4"/>
    <w:rsid w:val="000C08ED"/>
    <w:rsid w:val="000C10D5"/>
    <w:rsid w:val="000C1254"/>
    <w:rsid w:val="000C150F"/>
    <w:rsid w:val="000C1899"/>
    <w:rsid w:val="000C18B9"/>
    <w:rsid w:val="000C1D6D"/>
    <w:rsid w:val="000C2EED"/>
    <w:rsid w:val="000C4EC6"/>
    <w:rsid w:val="000C7E8F"/>
    <w:rsid w:val="000D0235"/>
    <w:rsid w:val="000D08A3"/>
    <w:rsid w:val="000D160C"/>
    <w:rsid w:val="000D1B65"/>
    <w:rsid w:val="000D2248"/>
    <w:rsid w:val="000D23A6"/>
    <w:rsid w:val="000D2920"/>
    <w:rsid w:val="000D31D0"/>
    <w:rsid w:val="000D3401"/>
    <w:rsid w:val="000D451B"/>
    <w:rsid w:val="000D4FB8"/>
    <w:rsid w:val="000D5E11"/>
    <w:rsid w:val="000D7514"/>
    <w:rsid w:val="000D78C0"/>
    <w:rsid w:val="000E135D"/>
    <w:rsid w:val="000E189E"/>
    <w:rsid w:val="000E1980"/>
    <w:rsid w:val="000E1CC9"/>
    <w:rsid w:val="000E1E77"/>
    <w:rsid w:val="000E2906"/>
    <w:rsid w:val="000E3AA5"/>
    <w:rsid w:val="000E3E03"/>
    <w:rsid w:val="000E426A"/>
    <w:rsid w:val="000E44BD"/>
    <w:rsid w:val="000E498D"/>
    <w:rsid w:val="000E5486"/>
    <w:rsid w:val="000E59B2"/>
    <w:rsid w:val="000E6303"/>
    <w:rsid w:val="000E634C"/>
    <w:rsid w:val="000E691C"/>
    <w:rsid w:val="000E6DC9"/>
    <w:rsid w:val="000E6E07"/>
    <w:rsid w:val="000E71BA"/>
    <w:rsid w:val="000E7907"/>
    <w:rsid w:val="000E7EA6"/>
    <w:rsid w:val="000F14A7"/>
    <w:rsid w:val="000F19E8"/>
    <w:rsid w:val="000F1DE1"/>
    <w:rsid w:val="000F31A6"/>
    <w:rsid w:val="000F38C9"/>
    <w:rsid w:val="000F4FFB"/>
    <w:rsid w:val="000F5005"/>
    <w:rsid w:val="000F5E69"/>
    <w:rsid w:val="000F6C6E"/>
    <w:rsid w:val="000F6D32"/>
    <w:rsid w:val="000F7176"/>
    <w:rsid w:val="000F7498"/>
    <w:rsid w:val="000F75F9"/>
    <w:rsid w:val="000F79AD"/>
    <w:rsid w:val="000F7C04"/>
    <w:rsid w:val="00100093"/>
    <w:rsid w:val="00100F06"/>
    <w:rsid w:val="00102062"/>
    <w:rsid w:val="00102609"/>
    <w:rsid w:val="00103155"/>
    <w:rsid w:val="001037E8"/>
    <w:rsid w:val="00104E22"/>
    <w:rsid w:val="001051F4"/>
    <w:rsid w:val="00105598"/>
    <w:rsid w:val="00106716"/>
    <w:rsid w:val="00106A2B"/>
    <w:rsid w:val="001074F6"/>
    <w:rsid w:val="00110185"/>
    <w:rsid w:val="0011169E"/>
    <w:rsid w:val="00112240"/>
    <w:rsid w:val="00112B57"/>
    <w:rsid w:val="00113696"/>
    <w:rsid w:val="001136E5"/>
    <w:rsid w:val="00114037"/>
    <w:rsid w:val="00114873"/>
    <w:rsid w:val="00115100"/>
    <w:rsid w:val="00115936"/>
    <w:rsid w:val="0011602F"/>
    <w:rsid w:val="001173B6"/>
    <w:rsid w:val="0011769A"/>
    <w:rsid w:val="00117A6C"/>
    <w:rsid w:val="001205D3"/>
    <w:rsid w:val="00121488"/>
    <w:rsid w:val="00121D27"/>
    <w:rsid w:val="0012283F"/>
    <w:rsid w:val="00123426"/>
    <w:rsid w:val="001236B9"/>
    <w:rsid w:val="00124653"/>
    <w:rsid w:val="0012484A"/>
    <w:rsid w:val="00127262"/>
    <w:rsid w:val="00127442"/>
    <w:rsid w:val="00127A34"/>
    <w:rsid w:val="00127C36"/>
    <w:rsid w:val="00130C9A"/>
    <w:rsid w:val="00134137"/>
    <w:rsid w:val="0013476D"/>
    <w:rsid w:val="001349BF"/>
    <w:rsid w:val="0013553C"/>
    <w:rsid w:val="001359A6"/>
    <w:rsid w:val="00135ABE"/>
    <w:rsid w:val="00135B87"/>
    <w:rsid w:val="0013650B"/>
    <w:rsid w:val="00136A21"/>
    <w:rsid w:val="001376FE"/>
    <w:rsid w:val="00137810"/>
    <w:rsid w:val="001379B2"/>
    <w:rsid w:val="00137E8B"/>
    <w:rsid w:val="00137EDD"/>
    <w:rsid w:val="00137F4C"/>
    <w:rsid w:val="001404D1"/>
    <w:rsid w:val="00140CE9"/>
    <w:rsid w:val="0014110D"/>
    <w:rsid w:val="001415C5"/>
    <w:rsid w:val="001420EB"/>
    <w:rsid w:val="00142771"/>
    <w:rsid w:val="001428E4"/>
    <w:rsid w:val="00143426"/>
    <w:rsid w:val="001438F2"/>
    <w:rsid w:val="00143AE0"/>
    <w:rsid w:val="0014427F"/>
    <w:rsid w:val="001460FD"/>
    <w:rsid w:val="001466C4"/>
    <w:rsid w:val="00146965"/>
    <w:rsid w:val="00146A56"/>
    <w:rsid w:val="00146F74"/>
    <w:rsid w:val="001471F1"/>
    <w:rsid w:val="00147B4D"/>
    <w:rsid w:val="001501EA"/>
    <w:rsid w:val="001507E4"/>
    <w:rsid w:val="001513A3"/>
    <w:rsid w:val="00151C7C"/>
    <w:rsid w:val="00152516"/>
    <w:rsid w:val="00152C33"/>
    <w:rsid w:val="00152E57"/>
    <w:rsid w:val="00153AF1"/>
    <w:rsid w:val="00154636"/>
    <w:rsid w:val="00154DA8"/>
    <w:rsid w:val="001552D9"/>
    <w:rsid w:val="00156133"/>
    <w:rsid w:val="001572D1"/>
    <w:rsid w:val="0015736D"/>
    <w:rsid w:val="0016022D"/>
    <w:rsid w:val="00160275"/>
    <w:rsid w:val="0016069F"/>
    <w:rsid w:val="00161237"/>
    <w:rsid w:val="001618C8"/>
    <w:rsid w:val="00161FAC"/>
    <w:rsid w:val="0016203D"/>
    <w:rsid w:val="0016453F"/>
    <w:rsid w:val="00164810"/>
    <w:rsid w:val="001649DF"/>
    <w:rsid w:val="00164FC8"/>
    <w:rsid w:val="001658A9"/>
    <w:rsid w:val="00165E12"/>
    <w:rsid w:val="00166A13"/>
    <w:rsid w:val="00170DD4"/>
    <w:rsid w:val="001718B4"/>
    <w:rsid w:val="00172520"/>
    <w:rsid w:val="001728FE"/>
    <w:rsid w:val="001762F6"/>
    <w:rsid w:val="00177151"/>
    <w:rsid w:val="001801E9"/>
    <w:rsid w:val="001805E3"/>
    <w:rsid w:val="001808D0"/>
    <w:rsid w:val="00180A8B"/>
    <w:rsid w:val="00180E65"/>
    <w:rsid w:val="00183891"/>
    <w:rsid w:val="001838E8"/>
    <w:rsid w:val="00183DAA"/>
    <w:rsid w:val="00183E8A"/>
    <w:rsid w:val="001853F3"/>
    <w:rsid w:val="00186523"/>
    <w:rsid w:val="00186B84"/>
    <w:rsid w:val="00186C80"/>
    <w:rsid w:val="001902FA"/>
    <w:rsid w:val="00190C32"/>
    <w:rsid w:val="00190DEE"/>
    <w:rsid w:val="00191054"/>
    <w:rsid w:val="00192466"/>
    <w:rsid w:val="00192E47"/>
    <w:rsid w:val="00192EBB"/>
    <w:rsid w:val="00194930"/>
    <w:rsid w:val="00195445"/>
    <w:rsid w:val="00195AF5"/>
    <w:rsid w:val="0019694A"/>
    <w:rsid w:val="00196CCF"/>
    <w:rsid w:val="00197238"/>
    <w:rsid w:val="001A046E"/>
    <w:rsid w:val="001A0DC5"/>
    <w:rsid w:val="001A1474"/>
    <w:rsid w:val="001A1F92"/>
    <w:rsid w:val="001A3262"/>
    <w:rsid w:val="001A34C7"/>
    <w:rsid w:val="001A3DAB"/>
    <w:rsid w:val="001A43CB"/>
    <w:rsid w:val="001A4819"/>
    <w:rsid w:val="001A5144"/>
    <w:rsid w:val="001A552B"/>
    <w:rsid w:val="001A573E"/>
    <w:rsid w:val="001A5FF7"/>
    <w:rsid w:val="001A66B9"/>
    <w:rsid w:val="001A6B21"/>
    <w:rsid w:val="001A712F"/>
    <w:rsid w:val="001A7CD4"/>
    <w:rsid w:val="001B0A39"/>
    <w:rsid w:val="001B0E67"/>
    <w:rsid w:val="001B24C0"/>
    <w:rsid w:val="001B2C1D"/>
    <w:rsid w:val="001B31F2"/>
    <w:rsid w:val="001B35AF"/>
    <w:rsid w:val="001B39AE"/>
    <w:rsid w:val="001B3B0B"/>
    <w:rsid w:val="001B487B"/>
    <w:rsid w:val="001B53C9"/>
    <w:rsid w:val="001B567E"/>
    <w:rsid w:val="001B6B67"/>
    <w:rsid w:val="001B75BB"/>
    <w:rsid w:val="001B766D"/>
    <w:rsid w:val="001B7739"/>
    <w:rsid w:val="001B798B"/>
    <w:rsid w:val="001C036A"/>
    <w:rsid w:val="001C0E84"/>
    <w:rsid w:val="001C1230"/>
    <w:rsid w:val="001C15F7"/>
    <w:rsid w:val="001C1E78"/>
    <w:rsid w:val="001C1EE2"/>
    <w:rsid w:val="001C22ED"/>
    <w:rsid w:val="001C261E"/>
    <w:rsid w:val="001C30B7"/>
    <w:rsid w:val="001C3310"/>
    <w:rsid w:val="001C3910"/>
    <w:rsid w:val="001C4E0E"/>
    <w:rsid w:val="001C5D9A"/>
    <w:rsid w:val="001C5E38"/>
    <w:rsid w:val="001C62FC"/>
    <w:rsid w:val="001C69CD"/>
    <w:rsid w:val="001C72FC"/>
    <w:rsid w:val="001C7384"/>
    <w:rsid w:val="001C7A32"/>
    <w:rsid w:val="001C7B8E"/>
    <w:rsid w:val="001C7B94"/>
    <w:rsid w:val="001D11EC"/>
    <w:rsid w:val="001D1CA2"/>
    <w:rsid w:val="001D1F92"/>
    <w:rsid w:val="001D1FD7"/>
    <w:rsid w:val="001D2703"/>
    <w:rsid w:val="001D2B2E"/>
    <w:rsid w:val="001D3146"/>
    <w:rsid w:val="001D3A58"/>
    <w:rsid w:val="001D3EF2"/>
    <w:rsid w:val="001D532C"/>
    <w:rsid w:val="001D581C"/>
    <w:rsid w:val="001D5F54"/>
    <w:rsid w:val="001D682C"/>
    <w:rsid w:val="001E07D8"/>
    <w:rsid w:val="001E0C42"/>
    <w:rsid w:val="001E0E83"/>
    <w:rsid w:val="001E1D6F"/>
    <w:rsid w:val="001E2BC6"/>
    <w:rsid w:val="001E3A1E"/>
    <w:rsid w:val="001E3B69"/>
    <w:rsid w:val="001E3BAC"/>
    <w:rsid w:val="001E510A"/>
    <w:rsid w:val="001E527C"/>
    <w:rsid w:val="001E5849"/>
    <w:rsid w:val="001E6462"/>
    <w:rsid w:val="001E68B9"/>
    <w:rsid w:val="001E6C4C"/>
    <w:rsid w:val="001E79A0"/>
    <w:rsid w:val="001E7F03"/>
    <w:rsid w:val="001F025D"/>
    <w:rsid w:val="001F047F"/>
    <w:rsid w:val="001F07B3"/>
    <w:rsid w:val="001F16A4"/>
    <w:rsid w:val="001F2D50"/>
    <w:rsid w:val="001F3FE6"/>
    <w:rsid w:val="001F436B"/>
    <w:rsid w:val="001F551D"/>
    <w:rsid w:val="001F62FE"/>
    <w:rsid w:val="001F7001"/>
    <w:rsid w:val="001F7D52"/>
    <w:rsid w:val="00200D24"/>
    <w:rsid w:val="00201293"/>
    <w:rsid w:val="002019F1"/>
    <w:rsid w:val="00202466"/>
    <w:rsid w:val="00202CEA"/>
    <w:rsid w:val="00206448"/>
    <w:rsid w:val="00207721"/>
    <w:rsid w:val="002103F7"/>
    <w:rsid w:val="00210880"/>
    <w:rsid w:val="00210EA3"/>
    <w:rsid w:val="002111C4"/>
    <w:rsid w:val="002111C5"/>
    <w:rsid w:val="00211743"/>
    <w:rsid w:val="00211EF5"/>
    <w:rsid w:val="0021383E"/>
    <w:rsid w:val="00214AC5"/>
    <w:rsid w:val="002155AE"/>
    <w:rsid w:val="00216930"/>
    <w:rsid w:val="00216A4D"/>
    <w:rsid w:val="00216BDC"/>
    <w:rsid w:val="00216D6A"/>
    <w:rsid w:val="00217951"/>
    <w:rsid w:val="00217B84"/>
    <w:rsid w:val="00217E95"/>
    <w:rsid w:val="002209E8"/>
    <w:rsid w:val="00221E39"/>
    <w:rsid w:val="002230A4"/>
    <w:rsid w:val="00223290"/>
    <w:rsid w:val="00223C3E"/>
    <w:rsid w:val="00223F84"/>
    <w:rsid w:val="0022401A"/>
    <w:rsid w:val="00224165"/>
    <w:rsid w:val="00224205"/>
    <w:rsid w:val="00224C3D"/>
    <w:rsid w:val="00224C3F"/>
    <w:rsid w:val="0022572D"/>
    <w:rsid w:val="002257A6"/>
    <w:rsid w:val="002257F8"/>
    <w:rsid w:val="00225F53"/>
    <w:rsid w:val="002261D4"/>
    <w:rsid w:val="0022664A"/>
    <w:rsid w:val="00226905"/>
    <w:rsid w:val="00226F94"/>
    <w:rsid w:val="0022787F"/>
    <w:rsid w:val="00227C30"/>
    <w:rsid w:val="00227E52"/>
    <w:rsid w:val="0023009B"/>
    <w:rsid w:val="00230EB0"/>
    <w:rsid w:val="002316D1"/>
    <w:rsid w:val="00231817"/>
    <w:rsid w:val="002318FD"/>
    <w:rsid w:val="002333D8"/>
    <w:rsid w:val="00233F7D"/>
    <w:rsid w:val="002347DC"/>
    <w:rsid w:val="00234819"/>
    <w:rsid w:val="00235C30"/>
    <w:rsid w:val="00235DA1"/>
    <w:rsid w:val="002363D3"/>
    <w:rsid w:val="00236E87"/>
    <w:rsid w:val="00237016"/>
    <w:rsid w:val="00240473"/>
    <w:rsid w:val="002409F7"/>
    <w:rsid w:val="00241DDE"/>
    <w:rsid w:val="00242DA9"/>
    <w:rsid w:val="00243426"/>
    <w:rsid w:val="00244799"/>
    <w:rsid w:val="002456E4"/>
    <w:rsid w:val="002457B8"/>
    <w:rsid w:val="00245AF8"/>
    <w:rsid w:val="00246816"/>
    <w:rsid w:val="00246993"/>
    <w:rsid w:val="00246C73"/>
    <w:rsid w:val="00246C78"/>
    <w:rsid w:val="00246CAA"/>
    <w:rsid w:val="002478C5"/>
    <w:rsid w:val="00247FE6"/>
    <w:rsid w:val="002504A4"/>
    <w:rsid w:val="002511D0"/>
    <w:rsid w:val="002515CA"/>
    <w:rsid w:val="00251A01"/>
    <w:rsid w:val="0025219E"/>
    <w:rsid w:val="00252FA9"/>
    <w:rsid w:val="0025317F"/>
    <w:rsid w:val="0025342A"/>
    <w:rsid w:val="002536DB"/>
    <w:rsid w:val="00253A7B"/>
    <w:rsid w:val="00253BBC"/>
    <w:rsid w:val="00253BE8"/>
    <w:rsid w:val="00253C2A"/>
    <w:rsid w:val="00253C32"/>
    <w:rsid w:val="00255491"/>
    <w:rsid w:val="00255839"/>
    <w:rsid w:val="00256C7F"/>
    <w:rsid w:val="00256EE0"/>
    <w:rsid w:val="00260A70"/>
    <w:rsid w:val="002639F0"/>
    <w:rsid w:val="00263E01"/>
    <w:rsid w:val="00264021"/>
    <w:rsid w:val="00264030"/>
    <w:rsid w:val="002641FA"/>
    <w:rsid w:val="002642F9"/>
    <w:rsid w:val="00264AE0"/>
    <w:rsid w:val="00265243"/>
    <w:rsid w:val="00265934"/>
    <w:rsid w:val="00265BCA"/>
    <w:rsid w:val="00266CEC"/>
    <w:rsid w:val="00266F2B"/>
    <w:rsid w:val="002677F6"/>
    <w:rsid w:val="002701F1"/>
    <w:rsid w:val="0027044E"/>
    <w:rsid w:val="0027240B"/>
    <w:rsid w:val="002727DC"/>
    <w:rsid w:val="002739CC"/>
    <w:rsid w:val="002740D7"/>
    <w:rsid w:val="0027458F"/>
    <w:rsid w:val="00274851"/>
    <w:rsid w:val="00274A67"/>
    <w:rsid w:val="002752D3"/>
    <w:rsid w:val="00275971"/>
    <w:rsid w:val="00276206"/>
    <w:rsid w:val="00276A09"/>
    <w:rsid w:val="00276CDD"/>
    <w:rsid w:val="0027779D"/>
    <w:rsid w:val="002777DE"/>
    <w:rsid w:val="0028062F"/>
    <w:rsid w:val="002811FE"/>
    <w:rsid w:val="00281A31"/>
    <w:rsid w:val="00281F28"/>
    <w:rsid w:val="00282582"/>
    <w:rsid w:val="00282E2B"/>
    <w:rsid w:val="002832AE"/>
    <w:rsid w:val="002839AF"/>
    <w:rsid w:val="002840C4"/>
    <w:rsid w:val="002842DB"/>
    <w:rsid w:val="00284CE6"/>
    <w:rsid w:val="00286177"/>
    <w:rsid w:val="00286325"/>
    <w:rsid w:val="0028683E"/>
    <w:rsid w:val="002900F4"/>
    <w:rsid w:val="00290352"/>
    <w:rsid w:val="0029069D"/>
    <w:rsid w:val="00290B90"/>
    <w:rsid w:val="00290FE6"/>
    <w:rsid w:val="00291299"/>
    <w:rsid w:val="00291430"/>
    <w:rsid w:val="00291FB0"/>
    <w:rsid w:val="002921D5"/>
    <w:rsid w:val="00292705"/>
    <w:rsid w:val="002930E3"/>
    <w:rsid w:val="0029318E"/>
    <w:rsid w:val="00293900"/>
    <w:rsid w:val="0029536E"/>
    <w:rsid w:val="002955CD"/>
    <w:rsid w:val="00295A57"/>
    <w:rsid w:val="00296111"/>
    <w:rsid w:val="002961D1"/>
    <w:rsid w:val="002969F6"/>
    <w:rsid w:val="00297753"/>
    <w:rsid w:val="00297E5A"/>
    <w:rsid w:val="002A06FA"/>
    <w:rsid w:val="002A087D"/>
    <w:rsid w:val="002A1C08"/>
    <w:rsid w:val="002A1C9F"/>
    <w:rsid w:val="002A23EF"/>
    <w:rsid w:val="002A2A96"/>
    <w:rsid w:val="002A3026"/>
    <w:rsid w:val="002A31C4"/>
    <w:rsid w:val="002A451A"/>
    <w:rsid w:val="002A51C9"/>
    <w:rsid w:val="002A56E8"/>
    <w:rsid w:val="002A5BD9"/>
    <w:rsid w:val="002A7A8B"/>
    <w:rsid w:val="002A7BBD"/>
    <w:rsid w:val="002A7F7A"/>
    <w:rsid w:val="002B0485"/>
    <w:rsid w:val="002B0702"/>
    <w:rsid w:val="002B0858"/>
    <w:rsid w:val="002B1A0B"/>
    <w:rsid w:val="002B2710"/>
    <w:rsid w:val="002B2EA1"/>
    <w:rsid w:val="002B3E68"/>
    <w:rsid w:val="002B4493"/>
    <w:rsid w:val="002B506F"/>
    <w:rsid w:val="002B664A"/>
    <w:rsid w:val="002B6AD2"/>
    <w:rsid w:val="002B736C"/>
    <w:rsid w:val="002B7E2F"/>
    <w:rsid w:val="002C04A6"/>
    <w:rsid w:val="002C04C7"/>
    <w:rsid w:val="002C1741"/>
    <w:rsid w:val="002C2C6A"/>
    <w:rsid w:val="002C321E"/>
    <w:rsid w:val="002C3810"/>
    <w:rsid w:val="002C4098"/>
    <w:rsid w:val="002C4E78"/>
    <w:rsid w:val="002C5095"/>
    <w:rsid w:val="002C50C0"/>
    <w:rsid w:val="002C5A2C"/>
    <w:rsid w:val="002C5E7C"/>
    <w:rsid w:val="002C627F"/>
    <w:rsid w:val="002C69E1"/>
    <w:rsid w:val="002C6FCC"/>
    <w:rsid w:val="002C7123"/>
    <w:rsid w:val="002C7A07"/>
    <w:rsid w:val="002C7E59"/>
    <w:rsid w:val="002D0804"/>
    <w:rsid w:val="002D153B"/>
    <w:rsid w:val="002D242A"/>
    <w:rsid w:val="002D2C31"/>
    <w:rsid w:val="002D2CEC"/>
    <w:rsid w:val="002D2E25"/>
    <w:rsid w:val="002D34F7"/>
    <w:rsid w:val="002D397E"/>
    <w:rsid w:val="002D5EA6"/>
    <w:rsid w:val="002D66E0"/>
    <w:rsid w:val="002D6BF7"/>
    <w:rsid w:val="002D7623"/>
    <w:rsid w:val="002E093D"/>
    <w:rsid w:val="002E0AE0"/>
    <w:rsid w:val="002E12A3"/>
    <w:rsid w:val="002E13CB"/>
    <w:rsid w:val="002E24CE"/>
    <w:rsid w:val="002E3804"/>
    <w:rsid w:val="002E3B36"/>
    <w:rsid w:val="002E46A9"/>
    <w:rsid w:val="002E5440"/>
    <w:rsid w:val="002E5608"/>
    <w:rsid w:val="002E5648"/>
    <w:rsid w:val="002E5D26"/>
    <w:rsid w:val="002E6368"/>
    <w:rsid w:val="002E769D"/>
    <w:rsid w:val="002F03E4"/>
    <w:rsid w:val="002F095F"/>
    <w:rsid w:val="002F0F01"/>
    <w:rsid w:val="002F1644"/>
    <w:rsid w:val="002F1D16"/>
    <w:rsid w:val="002F25A6"/>
    <w:rsid w:val="002F2C23"/>
    <w:rsid w:val="002F3915"/>
    <w:rsid w:val="002F3B7E"/>
    <w:rsid w:val="002F3C69"/>
    <w:rsid w:val="002F4CB9"/>
    <w:rsid w:val="002F5137"/>
    <w:rsid w:val="002F60F6"/>
    <w:rsid w:val="002F6426"/>
    <w:rsid w:val="002F69E3"/>
    <w:rsid w:val="002F6B20"/>
    <w:rsid w:val="002F7B4D"/>
    <w:rsid w:val="002F7FC5"/>
    <w:rsid w:val="00302737"/>
    <w:rsid w:val="00302A12"/>
    <w:rsid w:val="00302E60"/>
    <w:rsid w:val="003031B8"/>
    <w:rsid w:val="003049E3"/>
    <w:rsid w:val="00306820"/>
    <w:rsid w:val="0030710A"/>
    <w:rsid w:val="00307407"/>
    <w:rsid w:val="0030751B"/>
    <w:rsid w:val="0030795B"/>
    <w:rsid w:val="00307F55"/>
    <w:rsid w:val="003105EE"/>
    <w:rsid w:val="00311128"/>
    <w:rsid w:val="003112B6"/>
    <w:rsid w:val="00311367"/>
    <w:rsid w:val="00311378"/>
    <w:rsid w:val="00311A8F"/>
    <w:rsid w:val="00311D1E"/>
    <w:rsid w:val="0031262B"/>
    <w:rsid w:val="00312640"/>
    <w:rsid w:val="00312D3A"/>
    <w:rsid w:val="00312EDC"/>
    <w:rsid w:val="00313501"/>
    <w:rsid w:val="003136A1"/>
    <w:rsid w:val="003145AA"/>
    <w:rsid w:val="00315FF3"/>
    <w:rsid w:val="003162BD"/>
    <w:rsid w:val="003168DF"/>
    <w:rsid w:val="00316981"/>
    <w:rsid w:val="00317204"/>
    <w:rsid w:val="00317248"/>
    <w:rsid w:val="00320DCE"/>
    <w:rsid w:val="00321598"/>
    <w:rsid w:val="00321889"/>
    <w:rsid w:val="00321C4F"/>
    <w:rsid w:val="003223BF"/>
    <w:rsid w:val="00322A62"/>
    <w:rsid w:val="003232D5"/>
    <w:rsid w:val="00323AB1"/>
    <w:rsid w:val="003241DD"/>
    <w:rsid w:val="00325A9D"/>
    <w:rsid w:val="00325D04"/>
    <w:rsid w:val="00326019"/>
    <w:rsid w:val="00326CDB"/>
    <w:rsid w:val="00326E65"/>
    <w:rsid w:val="003279C1"/>
    <w:rsid w:val="00330EC7"/>
    <w:rsid w:val="00332659"/>
    <w:rsid w:val="00332C45"/>
    <w:rsid w:val="00332D80"/>
    <w:rsid w:val="00333B6A"/>
    <w:rsid w:val="0033472F"/>
    <w:rsid w:val="00335AA8"/>
    <w:rsid w:val="00336035"/>
    <w:rsid w:val="00336E39"/>
    <w:rsid w:val="00340519"/>
    <w:rsid w:val="0034056C"/>
    <w:rsid w:val="00340775"/>
    <w:rsid w:val="00341155"/>
    <w:rsid w:val="00341A03"/>
    <w:rsid w:val="00341BC9"/>
    <w:rsid w:val="003428F4"/>
    <w:rsid w:val="00343F33"/>
    <w:rsid w:val="0034426D"/>
    <w:rsid w:val="00344487"/>
    <w:rsid w:val="00345582"/>
    <w:rsid w:val="0034600C"/>
    <w:rsid w:val="003464D7"/>
    <w:rsid w:val="00346646"/>
    <w:rsid w:val="00346695"/>
    <w:rsid w:val="0035066C"/>
    <w:rsid w:val="00350B2D"/>
    <w:rsid w:val="00351706"/>
    <w:rsid w:val="00351D13"/>
    <w:rsid w:val="00352293"/>
    <w:rsid w:val="00353612"/>
    <w:rsid w:val="00353C63"/>
    <w:rsid w:val="003540EF"/>
    <w:rsid w:val="00355026"/>
    <w:rsid w:val="00355E99"/>
    <w:rsid w:val="00356AB1"/>
    <w:rsid w:val="00357A9A"/>
    <w:rsid w:val="00357C61"/>
    <w:rsid w:val="003621AD"/>
    <w:rsid w:val="00362852"/>
    <w:rsid w:val="0036311B"/>
    <w:rsid w:val="00363B75"/>
    <w:rsid w:val="00364642"/>
    <w:rsid w:val="00364674"/>
    <w:rsid w:val="0036498F"/>
    <w:rsid w:val="00364CF0"/>
    <w:rsid w:val="0036535C"/>
    <w:rsid w:val="00366265"/>
    <w:rsid w:val="0036688F"/>
    <w:rsid w:val="00367552"/>
    <w:rsid w:val="003679E8"/>
    <w:rsid w:val="00367EA9"/>
    <w:rsid w:val="003700C7"/>
    <w:rsid w:val="00370926"/>
    <w:rsid w:val="00371FB0"/>
    <w:rsid w:val="00372507"/>
    <w:rsid w:val="00372C81"/>
    <w:rsid w:val="00372D6E"/>
    <w:rsid w:val="00373038"/>
    <w:rsid w:val="003744D5"/>
    <w:rsid w:val="0037479D"/>
    <w:rsid w:val="00374F16"/>
    <w:rsid w:val="0037548C"/>
    <w:rsid w:val="003754FF"/>
    <w:rsid w:val="00375D4A"/>
    <w:rsid w:val="003811EF"/>
    <w:rsid w:val="003822BC"/>
    <w:rsid w:val="0038264C"/>
    <w:rsid w:val="00384CFA"/>
    <w:rsid w:val="0038539F"/>
    <w:rsid w:val="00386993"/>
    <w:rsid w:val="00386FE3"/>
    <w:rsid w:val="00387766"/>
    <w:rsid w:val="00387884"/>
    <w:rsid w:val="0039016B"/>
    <w:rsid w:val="00390E3A"/>
    <w:rsid w:val="00391114"/>
    <w:rsid w:val="00392151"/>
    <w:rsid w:val="0039254F"/>
    <w:rsid w:val="003926F9"/>
    <w:rsid w:val="003927D1"/>
    <w:rsid w:val="003933C6"/>
    <w:rsid w:val="003946FE"/>
    <w:rsid w:val="0039521E"/>
    <w:rsid w:val="00395B5C"/>
    <w:rsid w:val="00395F5B"/>
    <w:rsid w:val="00396194"/>
    <w:rsid w:val="00396A22"/>
    <w:rsid w:val="003973F8"/>
    <w:rsid w:val="003A10FC"/>
    <w:rsid w:val="003A153E"/>
    <w:rsid w:val="003A1897"/>
    <w:rsid w:val="003A1C40"/>
    <w:rsid w:val="003A225B"/>
    <w:rsid w:val="003A3037"/>
    <w:rsid w:val="003A3138"/>
    <w:rsid w:val="003A4558"/>
    <w:rsid w:val="003A4736"/>
    <w:rsid w:val="003A4AD5"/>
    <w:rsid w:val="003A4F5E"/>
    <w:rsid w:val="003A5FD7"/>
    <w:rsid w:val="003A64B4"/>
    <w:rsid w:val="003A6940"/>
    <w:rsid w:val="003A718B"/>
    <w:rsid w:val="003A7757"/>
    <w:rsid w:val="003B000C"/>
    <w:rsid w:val="003B0A5C"/>
    <w:rsid w:val="003B125B"/>
    <w:rsid w:val="003B19AA"/>
    <w:rsid w:val="003B296C"/>
    <w:rsid w:val="003B3204"/>
    <w:rsid w:val="003B3444"/>
    <w:rsid w:val="003B42E3"/>
    <w:rsid w:val="003B51B2"/>
    <w:rsid w:val="003B5C77"/>
    <w:rsid w:val="003B6BD9"/>
    <w:rsid w:val="003B77EF"/>
    <w:rsid w:val="003B7A58"/>
    <w:rsid w:val="003C18DE"/>
    <w:rsid w:val="003C1ABC"/>
    <w:rsid w:val="003C1F92"/>
    <w:rsid w:val="003C2AC9"/>
    <w:rsid w:val="003C3D4C"/>
    <w:rsid w:val="003C4F89"/>
    <w:rsid w:val="003C56E3"/>
    <w:rsid w:val="003C64E7"/>
    <w:rsid w:val="003C6C99"/>
    <w:rsid w:val="003C7A17"/>
    <w:rsid w:val="003D0A47"/>
    <w:rsid w:val="003D0FF8"/>
    <w:rsid w:val="003D357D"/>
    <w:rsid w:val="003D44CE"/>
    <w:rsid w:val="003D4C06"/>
    <w:rsid w:val="003D5DEB"/>
    <w:rsid w:val="003D5F39"/>
    <w:rsid w:val="003D629D"/>
    <w:rsid w:val="003D7C83"/>
    <w:rsid w:val="003D7EA9"/>
    <w:rsid w:val="003D7F7A"/>
    <w:rsid w:val="003E08B4"/>
    <w:rsid w:val="003E0B56"/>
    <w:rsid w:val="003E1B79"/>
    <w:rsid w:val="003E1D7C"/>
    <w:rsid w:val="003E2312"/>
    <w:rsid w:val="003E2B81"/>
    <w:rsid w:val="003E37F5"/>
    <w:rsid w:val="003E3C62"/>
    <w:rsid w:val="003E540B"/>
    <w:rsid w:val="003E5957"/>
    <w:rsid w:val="003E5B00"/>
    <w:rsid w:val="003E5D29"/>
    <w:rsid w:val="003E62E9"/>
    <w:rsid w:val="003E670F"/>
    <w:rsid w:val="003E701B"/>
    <w:rsid w:val="003E727B"/>
    <w:rsid w:val="003E7404"/>
    <w:rsid w:val="003E757E"/>
    <w:rsid w:val="003F0A66"/>
    <w:rsid w:val="003F12B7"/>
    <w:rsid w:val="003F12ED"/>
    <w:rsid w:val="003F13C3"/>
    <w:rsid w:val="003F14A2"/>
    <w:rsid w:val="003F2259"/>
    <w:rsid w:val="003F2D91"/>
    <w:rsid w:val="003F334F"/>
    <w:rsid w:val="003F44AC"/>
    <w:rsid w:val="003F4A7E"/>
    <w:rsid w:val="003F5070"/>
    <w:rsid w:val="003F5905"/>
    <w:rsid w:val="003F69B5"/>
    <w:rsid w:val="003F7750"/>
    <w:rsid w:val="004003DD"/>
    <w:rsid w:val="004009C3"/>
    <w:rsid w:val="004013D8"/>
    <w:rsid w:val="004015A4"/>
    <w:rsid w:val="00403E7B"/>
    <w:rsid w:val="004054FD"/>
    <w:rsid w:val="00405FF8"/>
    <w:rsid w:val="004065E8"/>
    <w:rsid w:val="004067BF"/>
    <w:rsid w:val="00407ACF"/>
    <w:rsid w:val="00407C6D"/>
    <w:rsid w:val="00407FA4"/>
    <w:rsid w:val="00410393"/>
    <w:rsid w:val="00410E70"/>
    <w:rsid w:val="00410F3C"/>
    <w:rsid w:val="00411D2E"/>
    <w:rsid w:val="0041294A"/>
    <w:rsid w:val="004135E5"/>
    <w:rsid w:val="00413DFF"/>
    <w:rsid w:val="00414066"/>
    <w:rsid w:val="004143F9"/>
    <w:rsid w:val="00414A0B"/>
    <w:rsid w:val="00414A73"/>
    <w:rsid w:val="00414EA8"/>
    <w:rsid w:val="0041507A"/>
    <w:rsid w:val="00415411"/>
    <w:rsid w:val="00415BA4"/>
    <w:rsid w:val="00415DEA"/>
    <w:rsid w:val="00416512"/>
    <w:rsid w:val="00417FF8"/>
    <w:rsid w:val="004200C1"/>
    <w:rsid w:val="00420398"/>
    <w:rsid w:val="00420C13"/>
    <w:rsid w:val="00420E18"/>
    <w:rsid w:val="00420FF6"/>
    <w:rsid w:val="0042150A"/>
    <w:rsid w:val="00422655"/>
    <w:rsid w:val="00423A13"/>
    <w:rsid w:val="004257AC"/>
    <w:rsid w:val="00426CFB"/>
    <w:rsid w:val="00426D84"/>
    <w:rsid w:val="004272F5"/>
    <w:rsid w:val="0042770E"/>
    <w:rsid w:val="00430049"/>
    <w:rsid w:val="0043142B"/>
    <w:rsid w:val="00431506"/>
    <w:rsid w:val="00432132"/>
    <w:rsid w:val="0043263C"/>
    <w:rsid w:val="0043281F"/>
    <w:rsid w:val="00432B5F"/>
    <w:rsid w:val="004330EB"/>
    <w:rsid w:val="0043411C"/>
    <w:rsid w:val="00434936"/>
    <w:rsid w:val="00434A45"/>
    <w:rsid w:val="00434C45"/>
    <w:rsid w:val="004355FB"/>
    <w:rsid w:val="00436A7E"/>
    <w:rsid w:val="00437357"/>
    <w:rsid w:val="00437BE6"/>
    <w:rsid w:val="00437DD2"/>
    <w:rsid w:val="00437DE1"/>
    <w:rsid w:val="004407FB"/>
    <w:rsid w:val="00440B8A"/>
    <w:rsid w:val="00440F52"/>
    <w:rsid w:val="004423C0"/>
    <w:rsid w:val="0044277C"/>
    <w:rsid w:val="004428B3"/>
    <w:rsid w:val="00442B96"/>
    <w:rsid w:val="004432E2"/>
    <w:rsid w:val="0044337C"/>
    <w:rsid w:val="00444886"/>
    <w:rsid w:val="00445968"/>
    <w:rsid w:val="00446E8A"/>
    <w:rsid w:val="00447B44"/>
    <w:rsid w:val="00447F8B"/>
    <w:rsid w:val="00450308"/>
    <w:rsid w:val="00450DCF"/>
    <w:rsid w:val="00450E0B"/>
    <w:rsid w:val="004510A8"/>
    <w:rsid w:val="00451BEE"/>
    <w:rsid w:val="00451F47"/>
    <w:rsid w:val="0045274F"/>
    <w:rsid w:val="004529D0"/>
    <w:rsid w:val="00452CAD"/>
    <w:rsid w:val="00452EFE"/>
    <w:rsid w:val="00453C58"/>
    <w:rsid w:val="004554E2"/>
    <w:rsid w:val="004566FC"/>
    <w:rsid w:val="00460432"/>
    <w:rsid w:val="00460514"/>
    <w:rsid w:val="00461EE7"/>
    <w:rsid w:val="00462003"/>
    <w:rsid w:val="00462A96"/>
    <w:rsid w:val="00462ABE"/>
    <w:rsid w:val="00462B43"/>
    <w:rsid w:val="00462CEA"/>
    <w:rsid w:val="004635F6"/>
    <w:rsid w:val="00463C39"/>
    <w:rsid w:val="00466EC9"/>
    <w:rsid w:val="00467526"/>
    <w:rsid w:val="00467A04"/>
    <w:rsid w:val="00467E96"/>
    <w:rsid w:val="004713B2"/>
    <w:rsid w:val="00471ADC"/>
    <w:rsid w:val="0047239E"/>
    <w:rsid w:val="00472604"/>
    <w:rsid w:val="004726A5"/>
    <w:rsid w:val="00472E0F"/>
    <w:rsid w:val="00472EF9"/>
    <w:rsid w:val="004736BF"/>
    <w:rsid w:val="00473E2A"/>
    <w:rsid w:val="00473F28"/>
    <w:rsid w:val="00474AEA"/>
    <w:rsid w:val="00474C10"/>
    <w:rsid w:val="00474F4B"/>
    <w:rsid w:val="00475B64"/>
    <w:rsid w:val="00475D72"/>
    <w:rsid w:val="00477CEE"/>
    <w:rsid w:val="00480321"/>
    <w:rsid w:val="00480F2F"/>
    <w:rsid w:val="00481935"/>
    <w:rsid w:val="00482BB6"/>
    <w:rsid w:val="004837C0"/>
    <w:rsid w:val="004841C5"/>
    <w:rsid w:val="00484926"/>
    <w:rsid w:val="00485185"/>
    <w:rsid w:val="00485468"/>
    <w:rsid w:val="004869A6"/>
    <w:rsid w:val="00486FBF"/>
    <w:rsid w:val="00487558"/>
    <w:rsid w:val="0048770F"/>
    <w:rsid w:val="00490108"/>
    <w:rsid w:val="00490AEF"/>
    <w:rsid w:val="00490EF9"/>
    <w:rsid w:val="00491C1A"/>
    <w:rsid w:val="00491FBA"/>
    <w:rsid w:val="00492767"/>
    <w:rsid w:val="0049295C"/>
    <w:rsid w:val="00492A87"/>
    <w:rsid w:val="00493084"/>
    <w:rsid w:val="00493842"/>
    <w:rsid w:val="00493A9C"/>
    <w:rsid w:val="004948B5"/>
    <w:rsid w:val="00495539"/>
    <w:rsid w:val="004957F2"/>
    <w:rsid w:val="00495EFF"/>
    <w:rsid w:val="004A0016"/>
    <w:rsid w:val="004A0C93"/>
    <w:rsid w:val="004A1732"/>
    <w:rsid w:val="004A2A13"/>
    <w:rsid w:val="004A2D75"/>
    <w:rsid w:val="004A341B"/>
    <w:rsid w:val="004A3997"/>
    <w:rsid w:val="004A4DEF"/>
    <w:rsid w:val="004A4E83"/>
    <w:rsid w:val="004A53B2"/>
    <w:rsid w:val="004A5729"/>
    <w:rsid w:val="004A58B0"/>
    <w:rsid w:val="004A5A10"/>
    <w:rsid w:val="004A5AB1"/>
    <w:rsid w:val="004A5B77"/>
    <w:rsid w:val="004A63D5"/>
    <w:rsid w:val="004A6F1D"/>
    <w:rsid w:val="004A7801"/>
    <w:rsid w:val="004B1201"/>
    <w:rsid w:val="004B18C7"/>
    <w:rsid w:val="004B1A77"/>
    <w:rsid w:val="004B1CF6"/>
    <w:rsid w:val="004B1E5C"/>
    <w:rsid w:val="004B23CF"/>
    <w:rsid w:val="004B4A9B"/>
    <w:rsid w:val="004B51F0"/>
    <w:rsid w:val="004B6D0E"/>
    <w:rsid w:val="004B6E88"/>
    <w:rsid w:val="004C21EE"/>
    <w:rsid w:val="004C2407"/>
    <w:rsid w:val="004C2BB7"/>
    <w:rsid w:val="004C39DB"/>
    <w:rsid w:val="004C3A1B"/>
    <w:rsid w:val="004C502D"/>
    <w:rsid w:val="004C5037"/>
    <w:rsid w:val="004C510F"/>
    <w:rsid w:val="004C57D3"/>
    <w:rsid w:val="004C5B45"/>
    <w:rsid w:val="004D0806"/>
    <w:rsid w:val="004D0A96"/>
    <w:rsid w:val="004D15AD"/>
    <w:rsid w:val="004D1BA3"/>
    <w:rsid w:val="004D2308"/>
    <w:rsid w:val="004D3549"/>
    <w:rsid w:val="004D3875"/>
    <w:rsid w:val="004D4C03"/>
    <w:rsid w:val="004D5301"/>
    <w:rsid w:val="004D69A7"/>
    <w:rsid w:val="004D728C"/>
    <w:rsid w:val="004D79C5"/>
    <w:rsid w:val="004D7E65"/>
    <w:rsid w:val="004E086F"/>
    <w:rsid w:val="004E0F84"/>
    <w:rsid w:val="004E11F5"/>
    <w:rsid w:val="004E1709"/>
    <w:rsid w:val="004E1C1A"/>
    <w:rsid w:val="004E43BC"/>
    <w:rsid w:val="004E46FD"/>
    <w:rsid w:val="004E4B8B"/>
    <w:rsid w:val="004E56A5"/>
    <w:rsid w:val="004E6CC3"/>
    <w:rsid w:val="004E6D51"/>
    <w:rsid w:val="004E761E"/>
    <w:rsid w:val="004E788C"/>
    <w:rsid w:val="004E7BE9"/>
    <w:rsid w:val="004F0303"/>
    <w:rsid w:val="004F042B"/>
    <w:rsid w:val="004F04B8"/>
    <w:rsid w:val="004F08EC"/>
    <w:rsid w:val="004F1FF4"/>
    <w:rsid w:val="004F2322"/>
    <w:rsid w:val="004F37F8"/>
    <w:rsid w:val="004F39B0"/>
    <w:rsid w:val="004F3C3B"/>
    <w:rsid w:val="004F4EF1"/>
    <w:rsid w:val="004F66AA"/>
    <w:rsid w:val="004F6B8F"/>
    <w:rsid w:val="004F7B12"/>
    <w:rsid w:val="0050014A"/>
    <w:rsid w:val="00500F40"/>
    <w:rsid w:val="005021DE"/>
    <w:rsid w:val="005026C6"/>
    <w:rsid w:val="00502C40"/>
    <w:rsid w:val="00503612"/>
    <w:rsid w:val="00504110"/>
    <w:rsid w:val="005046B7"/>
    <w:rsid w:val="00504C4A"/>
    <w:rsid w:val="0050719F"/>
    <w:rsid w:val="00507DC9"/>
    <w:rsid w:val="00510204"/>
    <w:rsid w:val="00510BD0"/>
    <w:rsid w:val="00510D76"/>
    <w:rsid w:val="00512593"/>
    <w:rsid w:val="0051299D"/>
    <w:rsid w:val="00512B16"/>
    <w:rsid w:val="0051322A"/>
    <w:rsid w:val="0051408B"/>
    <w:rsid w:val="00514B12"/>
    <w:rsid w:val="00515B03"/>
    <w:rsid w:val="00515E71"/>
    <w:rsid w:val="00517392"/>
    <w:rsid w:val="0052332F"/>
    <w:rsid w:val="005253CA"/>
    <w:rsid w:val="005268E7"/>
    <w:rsid w:val="00526929"/>
    <w:rsid w:val="0052707B"/>
    <w:rsid w:val="00527D91"/>
    <w:rsid w:val="00527F1D"/>
    <w:rsid w:val="00527F72"/>
    <w:rsid w:val="00530C0F"/>
    <w:rsid w:val="005314CC"/>
    <w:rsid w:val="00532180"/>
    <w:rsid w:val="00534700"/>
    <w:rsid w:val="0053512B"/>
    <w:rsid w:val="00535C9A"/>
    <w:rsid w:val="00535E03"/>
    <w:rsid w:val="00536044"/>
    <w:rsid w:val="005360D7"/>
    <w:rsid w:val="005362EE"/>
    <w:rsid w:val="00536460"/>
    <w:rsid w:val="00536D17"/>
    <w:rsid w:val="005376FF"/>
    <w:rsid w:val="00537B22"/>
    <w:rsid w:val="005400B7"/>
    <w:rsid w:val="005401B9"/>
    <w:rsid w:val="005409CE"/>
    <w:rsid w:val="00541051"/>
    <w:rsid w:val="005414E4"/>
    <w:rsid w:val="005415FF"/>
    <w:rsid w:val="005419A5"/>
    <w:rsid w:val="00541CA4"/>
    <w:rsid w:val="005422DE"/>
    <w:rsid w:val="005435E7"/>
    <w:rsid w:val="005446A1"/>
    <w:rsid w:val="005448FE"/>
    <w:rsid w:val="00545BD3"/>
    <w:rsid w:val="005474A4"/>
    <w:rsid w:val="00550FEE"/>
    <w:rsid w:val="00551287"/>
    <w:rsid w:val="005525F5"/>
    <w:rsid w:val="0055323F"/>
    <w:rsid w:val="00553894"/>
    <w:rsid w:val="00555625"/>
    <w:rsid w:val="00556B43"/>
    <w:rsid w:val="0055728F"/>
    <w:rsid w:val="00557C3A"/>
    <w:rsid w:val="00560697"/>
    <w:rsid w:val="005607AA"/>
    <w:rsid w:val="005610BC"/>
    <w:rsid w:val="00561F13"/>
    <w:rsid w:val="00562DE5"/>
    <w:rsid w:val="0056409D"/>
    <w:rsid w:val="00564C44"/>
    <w:rsid w:val="00565336"/>
    <w:rsid w:val="00566007"/>
    <w:rsid w:val="005667E5"/>
    <w:rsid w:val="00566B80"/>
    <w:rsid w:val="00566C60"/>
    <w:rsid w:val="0056763E"/>
    <w:rsid w:val="00567A12"/>
    <w:rsid w:val="00567E2C"/>
    <w:rsid w:val="00567EA2"/>
    <w:rsid w:val="00567EE8"/>
    <w:rsid w:val="00570510"/>
    <w:rsid w:val="00570DDC"/>
    <w:rsid w:val="00571069"/>
    <w:rsid w:val="0057174C"/>
    <w:rsid w:val="005720BD"/>
    <w:rsid w:val="00572686"/>
    <w:rsid w:val="005731B5"/>
    <w:rsid w:val="00573205"/>
    <w:rsid w:val="0057399C"/>
    <w:rsid w:val="005739B4"/>
    <w:rsid w:val="00574312"/>
    <w:rsid w:val="00574AD5"/>
    <w:rsid w:val="00574D01"/>
    <w:rsid w:val="00574F7B"/>
    <w:rsid w:val="005756F8"/>
    <w:rsid w:val="00575A84"/>
    <w:rsid w:val="0057632F"/>
    <w:rsid w:val="005769A6"/>
    <w:rsid w:val="00576FD1"/>
    <w:rsid w:val="00577286"/>
    <w:rsid w:val="00577CA6"/>
    <w:rsid w:val="0058073C"/>
    <w:rsid w:val="00580825"/>
    <w:rsid w:val="00581677"/>
    <w:rsid w:val="00581BC5"/>
    <w:rsid w:val="00582357"/>
    <w:rsid w:val="0058298C"/>
    <w:rsid w:val="00582B3E"/>
    <w:rsid w:val="00582DC1"/>
    <w:rsid w:val="005835D9"/>
    <w:rsid w:val="00583ED0"/>
    <w:rsid w:val="005845B4"/>
    <w:rsid w:val="005855B1"/>
    <w:rsid w:val="00586701"/>
    <w:rsid w:val="00587B71"/>
    <w:rsid w:val="00587FD1"/>
    <w:rsid w:val="00590C55"/>
    <w:rsid w:val="005911FE"/>
    <w:rsid w:val="00591D15"/>
    <w:rsid w:val="00592F36"/>
    <w:rsid w:val="00593AE9"/>
    <w:rsid w:val="00593B7B"/>
    <w:rsid w:val="00594048"/>
    <w:rsid w:val="0059421E"/>
    <w:rsid w:val="0059427A"/>
    <w:rsid w:val="00595000"/>
    <w:rsid w:val="00595385"/>
    <w:rsid w:val="00597855"/>
    <w:rsid w:val="005A0930"/>
    <w:rsid w:val="005A12A2"/>
    <w:rsid w:val="005A1541"/>
    <w:rsid w:val="005A1547"/>
    <w:rsid w:val="005A1678"/>
    <w:rsid w:val="005A2369"/>
    <w:rsid w:val="005A2F3C"/>
    <w:rsid w:val="005A32D7"/>
    <w:rsid w:val="005A3799"/>
    <w:rsid w:val="005A4203"/>
    <w:rsid w:val="005A44A7"/>
    <w:rsid w:val="005A482C"/>
    <w:rsid w:val="005A4A42"/>
    <w:rsid w:val="005A4EBF"/>
    <w:rsid w:val="005A5B9C"/>
    <w:rsid w:val="005A5CA6"/>
    <w:rsid w:val="005A5CB5"/>
    <w:rsid w:val="005A6FAC"/>
    <w:rsid w:val="005A70FE"/>
    <w:rsid w:val="005A7BC9"/>
    <w:rsid w:val="005A7E3D"/>
    <w:rsid w:val="005B02DA"/>
    <w:rsid w:val="005B0969"/>
    <w:rsid w:val="005B0A6B"/>
    <w:rsid w:val="005B0DC3"/>
    <w:rsid w:val="005B137A"/>
    <w:rsid w:val="005B195E"/>
    <w:rsid w:val="005B1B1A"/>
    <w:rsid w:val="005B1CD2"/>
    <w:rsid w:val="005B284B"/>
    <w:rsid w:val="005B2AD6"/>
    <w:rsid w:val="005B2BD3"/>
    <w:rsid w:val="005B48D4"/>
    <w:rsid w:val="005B5F0A"/>
    <w:rsid w:val="005B7703"/>
    <w:rsid w:val="005C02FB"/>
    <w:rsid w:val="005C191F"/>
    <w:rsid w:val="005C1B98"/>
    <w:rsid w:val="005C2CC2"/>
    <w:rsid w:val="005C2D7B"/>
    <w:rsid w:val="005C3B94"/>
    <w:rsid w:val="005C6233"/>
    <w:rsid w:val="005C6886"/>
    <w:rsid w:val="005C7091"/>
    <w:rsid w:val="005C72E3"/>
    <w:rsid w:val="005D0EC7"/>
    <w:rsid w:val="005D1D4C"/>
    <w:rsid w:val="005D2548"/>
    <w:rsid w:val="005D30DC"/>
    <w:rsid w:val="005D355F"/>
    <w:rsid w:val="005D361E"/>
    <w:rsid w:val="005D37E1"/>
    <w:rsid w:val="005D3935"/>
    <w:rsid w:val="005D3C22"/>
    <w:rsid w:val="005D462C"/>
    <w:rsid w:val="005D4F6E"/>
    <w:rsid w:val="005D67EF"/>
    <w:rsid w:val="005D72E3"/>
    <w:rsid w:val="005E02F9"/>
    <w:rsid w:val="005E1734"/>
    <w:rsid w:val="005E17A5"/>
    <w:rsid w:val="005E1808"/>
    <w:rsid w:val="005E1E31"/>
    <w:rsid w:val="005E28A0"/>
    <w:rsid w:val="005E45B4"/>
    <w:rsid w:val="005E4682"/>
    <w:rsid w:val="005E46E9"/>
    <w:rsid w:val="005E47E8"/>
    <w:rsid w:val="005E6A64"/>
    <w:rsid w:val="005F0085"/>
    <w:rsid w:val="005F053C"/>
    <w:rsid w:val="005F0A3A"/>
    <w:rsid w:val="005F1413"/>
    <w:rsid w:val="005F160D"/>
    <w:rsid w:val="005F1A02"/>
    <w:rsid w:val="005F1E84"/>
    <w:rsid w:val="005F2429"/>
    <w:rsid w:val="005F2B91"/>
    <w:rsid w:val="005F35C8"/>
    <w:rsid w:val="005F400D"/>
    <w:rsid w:val="005F412B"/>
    <w:rsid w:val="005F4526"/>
    <w:rsid w:val="005F5037"/>
    <w:rsid w:val="005F6F20"/>
    <w:rsid w:val="005F74FA"/>
    <w:rsid w:val="005F76BF"/>
    <w:rsid w:val="005F7DAE"/>
    <w:rsid w:val="00600161"/>
    <w:rsid w:val="006001A5"/>
    <w:rsid w:val="006009DF"/>
    <w:rsid w:val="00600D8A"/>
    <w:rsid w:val="00601228"/>
    <w:rsid w:val="006019AA"/>
    <w:rsid w:val="00601B24"/>
    <w:rsid w:val="00601D9A"/>
    <w:rsid w:val="00602705"/>
    <w:rsid w:val="00602A5F"/>
    <w:rsid w:val="00602E50"/>
    <w:rsid w:val="00603048"/>
    <w:rsid w:val="00603BF7"/>
    <w:rsid w:val="00605065"/>
    <w:rsid w:val="006052A4"/>
    <w:rsid w:val="00605EAB"/>
    <w:rsid w:val="00607530"/>
    <w:rsid w:val="00607C75"/>
    <w:rsid w:val="00611626"/>
    <w:rsid w:val="00612888"/>
    <w:rsid w:val="00612C58"/>
    <w:rsid w:val="00612F0C"/>
    <w:rsid w:val="006134B4"/>
    <w:rsid w:val="006139B3"/>
    <w:rsid w:val="00614513"/>
    <w:rsid w:val="0061481D"/>
    <w:rsid w:val="00615020"/>
    <w:rsid w:val="0061527D"/>
    <w:rsid w:val="00616578"/>
    <w:rsid w:val="006169EE"/>
    <w:rsid w:val="00616C6C"/>
    <w:rsid w:val="00617676"/>
    <w:rsid w:val="0062059B"/>
    <w:rsid w:val="00620E61"/>
    <w:rsid w:val="00621169"/>
    <w:rsid w:val="006220EC"/>
    <w:rsid w:val="00622A7A"/>
    <w:rsid w:val="00622B7C"/>
    <w:rsid w:val="00622BE8"/>
    <w:rsid w:val="0062468D"/>
    <w:rsid w:val="00624C69"/>
    <w:rsid w:val="00625CE1"/>
    <w:rsid w:val="00626DC7"/>
    <w:rsid w:val="00627886"/>
    <w:rsid w:val="00627ADE"/>
    <w:rsid w:val="00630046"/>
    <w:rsid w:val="00630133"/>
    <w:rsid w:val="006301E1"/>
    <w:rsid w:val="00631820"/>
    <w:rsid w:val="006318C3"/>
    <w:rsid w:val="00632882"/>
    <w:rsid w:val="0063471A"/>
    <w:rsid w:val="00635656"/>
    <w:rsid w:val="00636802"/>
    <w:rsid w:val="00637814"/>
    <w:rsid w:val="0064081C"/>
    <w:rsid w:val="00640C26"/>
    <w:rsid w:val="00640D8F"/>
    <w:rsid w:val="006413B6"/>
    <w:rsid w:val="00641B8A"/>
    <w:rsid w:val="0064299E"/>
    <w:rsid w:val="006434FA"/>
    <w:rsid w:val="0064375A"/>
    <w:rsid w:val="00644287"/>
    <w:rsid w:val="0064430C"/>
    <w:rsid w:val="0064433F"/>
    <w:rsid w:val="00644BEC"/>
    <w:rsid w:val="00644CA4"/>
    <w:rsid w:val="00644E3C"/>
    <w:rsid w:val="00645687"/>
    <w:rsid w:val="006461B2"/>
    <w:rsid w:val="0064642E"/>
    <w:rsid w:val="00647122"/>
    <w:rsid w:val="00647BF3"/>
    <w:rsid w:val="006524D6"/>
    <w:rsid w:val="00652768"/>
    <w:rsid w:val="0065294F"/>
    <w:rsid w:val="0065326E"/>
    <w:rsid w:val="00653A4D"/>
    <w:rsid w:val="00653B0C"/>
    <w:rsid w:val="00654A27"/>
    <w:rsid w:val="00654E0F"/>
    <w:rsid w:val="006557B7"/>
    <w:rsid w:val="00655E7D"/>
    <w:rsid w:val="00656723"/>
    <w:rsid w:val="00657210"/>
    <w:rsid w:val="0065791D"/>
    <w:rsid w:val="00657BBF"/>
    <w:rsid w:val="00657C3E"/>
    <w:rsid w:val="00660608"/>
    <w:rsid w:val="00660836"/>
    <w:rsid w:val="00662A60"/>
    <w:rsid w:val="00662B3F"/>
    <w:rsid w:val="00663486"/>
    <w:rsid w:val="00663B75"/>
    <w:rsid w:val="00664BEB"/>
    <w:rsid w:val="00664E98"/>
    <w:rsid w:val="00670319"/>
    <w:rsid w:val="006704BD"/>
    <w:rsid w:val="0067075A"/>
    <w:rsid w:val="006708D3"/>
    <w:rsid w:val="0067095D"/>
    <w:rsid w:val="00670B48"/>
    <w:rsid w:val="00670FD1"/>
    <w:rsid w:val="006717F6"/>
    <w:rsid w:val="006721D0"/>
    <w:rsid w:val="006755B8"/>
    <w:rsid w:val="006757F3"/>
    <w:rsid w:val="00675B8C"/>
    <w:rsid w:val="0067697E"/>
    <w:rsid w:val="00677464"/>
    <w:rsid w:val="006777B6"/>
    <w:rsid w:val="00680005"/>
    <w:rsid w:val="00680B77"/>
    <w:rsid w:val="00680E52"/>
    <w:rsid w:val="006816BA"/>
    <w:rsid w:val="00682B59"/>
    <w:rsid w:val="00683B63"/>
    <w:rsid w:val="00683EE7"/>
    <w:rsid w:val="00683F89"/>
    <w:rsid w:val="00685331"/>
    <w:rsid w:val="0068575D"/>
    <w:rsid w:val="006859B1"/>
    <w:rsid w:val="006859DC"/>
    <w:rsid w:val="006869BF"/>
    <w:rsid w:val="00691161"/>
    <w:rsid w:val="00691D46"/>
    <w:rsid w:val="00692614"/>
    <w:rsid w:val="00692983"/>
    <w:rsid w:val="00692EB6"/>
    <w:rsid w:val="006930C2"/>
    <w:rsid w:val="00694EE4"/>
    <w:rsid w:val="00695347"/>
    <w:rsid w:val="006957DD"/>
    <w:rsid w:val="006964B1"/>
    <w:rsid w:val="00696F93"/>
    <w:rsid w:val="006A0763"/>
    <w:rsid w:val="006A0AC2"/>
    <w:rsid w:val="006A1577"/>
    <w:rsid w:val="006A1589"/>
    <w:rsid w:val="006A189E"/>
    <w:rsid w:val="006A22C8"/>
    <w:rsid w:val="006A572F"/>
    <w:rsid w:val="006A5C49"/>
    <w:rsid w:val="006A5FAD"/>
    <w:rsid w:val="006A6146"/>
    <w:rsid w:val="006A6171"/>
    <w:rsid w:val="006A7084"/>
    <w:rsid w:val="006A729B"/>
    <w:rsid w:val="006A772A"/>
    <w:rsid w:val="006A784E"/>
    <w:rsid w:val="006A7E49"/>
    <w:rsid w:val="006A7F60"/>
    <w:rsid w:val="006B0714"/>
    <w:rsid w:val="006B091D"/>
    <w:rsid w:val="006B14FE"/>
    <w:rsid w:val="006B1D50"/>
    <w:rsid w:val="006B2627"/>
    <w:rsid w:val="006B280D"/>
    <w:rsid w:val="006B403E"/>
    <w:rsid w:val="006B452E"/>
    <w:rsid w:val="006B45F4"/>
    <w:rsid w:val="006B4F37"/>
    <w:rsid w:val="006B5362"/>
    <w:rsid w:val="006B56EA"/>
    <w:rsid w:val="006B61EE"/>
    <w:rsid w:val="006B62D8"/>
    <w:rsid w:val="006B77A9"/>
    <w:rsid w:val="006C12CD"/>
    <w:rsid w:val="006C15C9"/>
    <w:rsid w:val="006C2288"/>
    <w:rsid w:val="006C26DF"/>
    <w:rsid w:val="006C3502"/>
    <w:rsid w:val="006C43F9"/>
    <w:rsid w:val="006C4497"/>
    <w:rsid w:val="006C52FE"/>
    <w:rsid w:val="006C6138"/>
    <w:rsid w:val="006C64B5"/>
    <w:rsid w:val="006C6B6D"/>
    <w:rsid w:val="006C6CF5"/>
    <w:rsid w:val="006C7AA8"/>
    <w:rsid w:val="006C7D21"/>
    <w:rsid w:val="006D0408"/>
    <w:rsid w:val="006D054C"/>
    <w:rsid w:val="006D0AEC"/>
    <w:rsid w:val="006D1B3D"/>
    <w:rsid w:val="006D2BFA"/>
    <w:rsid w:val="006D37A7"/>
    <w:rsid w:val="006D3C50"/>
    <w:rsid w:val="006D3CB4"/>
    <w:rsid w:val="006D4595"/>
    <w:rsid w:val="006D5553"/>
    <w:rsid w:val="006D55B1"/>
    <w:rsid w:val="006D6603"/>
    <w:rsid w:val="006D72DE"/>
    <w:rsid w:val="006D7A17"/>
    <w:rsid w:val="006D7EBC"/>
    <w:rsid w:val="006E00F5"/>
    <w:rsid w:val="006E1CB0"/>
    <w:rsid w:val="006E23E0"/>
    <w:rsid w:val="006E2C5D"/>
    <w:rsid w:val="006E305B"/>
    <w:rsid w:val="006E34F6"/>
    <w:rsid w:val="006E3C9C"/>
    <w:rsid w:val="006E3F45"/>
    <w:rsid w:val="006E455A"/>
    <w:rsid w:val="006E5150"/>
    <w:rsid w:val="006E5993"/>
    <w:rsid w:val="006E5A61"/>
    <w:rsid w:val="006E5D86"/>
    <w:rsid w:val="006E654F"/>
    <w:rsid w:val="006F0647"/>
    <w:rsid w:val="006F079A"/>
    <w:rsid w:val="006F07E2"/>
    <w:rsid w:val="006F0E4D"/>
    <w:rsid w:val="006F222C"/>
    <w:rsid w:val="006F36AD"/>
    <w:rsid w:val="006F3C96"/>
    <w:rsid w:val="006F463A"/>
    <w:rsid w:val="006F57BF"/>
    <w:rsid w:val="006F5876"/>
    <w:rsid w:val="006F719B"/>
    <w:rsid w:val="006F7564"/>
    <w:rsid w:val="00700EAF"/>
    <w:rsid w:val="00700F64"/>
    <w:rsid w:val="007023C6"/>
    <w:rsid w:val="0070243D"/>
    <w:rsid w:val="007025F3"/>
    <w:rsid w:val="0070329D"/>
    <w:rsid w:val="00703520"/>
    <w:rsid w:val="00703C8A"/>
    <w:rsid w:val="007046C8"/>
    <w:rsid w:val="007046FF"/>
    <w:rsid w:val="007047D4"/>
    <w:rsid w:val="00704930"/>
    <w:rsid w:val="007053EA"/>
    <w:rsid w:val="00705B76"/>
    <w:rsid w:val="007062E2"/>
    <w:rsid w:val="007063FF"/>
    <w:rsid w:val="00706938"/>
    <w:rsid w:val="0070714B"/>
    <w:rsid w:val="007076B2"/>
    <w:rsid w:val="007078AB"/>
    <w:rsid w:val="00710C50"/>
    <w:rsid w:val="00710CEA"/>
    <w:rsid w:val="00712B36"/>
    <w:rsid w:val="00713762"/>
    <w:rsid w:val="00713CB8"/>
    <w:rsid w:val="00714959"/>
    <w:rsid w:val="00714A0D"/>
    <w:rsid w:val="00714A30"/>
    <w:rsid w:val="00715919"/>
    <w:rsid w:val="00717364"/>
    <w:rsid w:val="0071743A"/>
    <w:rsid w:val="00717805"/>
    <w:rsid w:val="007206C9"/>
    <w:rsid w:val="00721B73"/>
    <w:rsid w:val="007223D5"/>
    <w:rsid w:val="00723129"/>
    <w:rsid w:val="007231B9"/>
    <w:rsid w:val="0072348A"/>
    <w:rsid w:val="00723524"/>
    <w:rsid w:val="00723C9C"/>
    <w:rsid w:val="00724D80"/>
    <w:rsid w:val="007255B5"/>
    <w:rsid w:val="00725935"/>
    <w:rsid w:val="00725D97"/>
    <w:rsid w:val="00727233"/>
    <w:rsid w:val="00727AA4"/>
    <w:rsid w:val="00727DAC"/>
    <w:rsid w:val="0073003D"/>
    <w:rsid w:val="007322A3"/>
    <w:rsid w:val="007330FE"/>
    <w:rsid w:val="00734B18"/>
    <w:rsid w:val="00734F32"/>
    <w:rsid w:val="007353C6"/>
    <w:rsid w:val="00735843"/>
    <w:rsid w:val="00735922"/>
    <w:rsid w:val="00735FDA"/>
    <w:rsid w:val="00736690"/>
    <w:rsid w:val="00736A14"/>
    <w:rsid w:val="00736FBF"/>
    <w:rsid w:val="007376EF"/>
    <w:rsid w:val="00737C7D"/>
    <w:rsid w:val="00737F07"/>
    <w:rsid w:val="00740D91"/>
    <w:rsid w:val="00740E18"/>
    <w:rsid w:val="00741DA5"/>
    <w:rsid w:val="0074200B"/>
    <w:rsid w:val="00742EFB"/>
    <w:rsid w:val="007431D7"/>
    <w:rsid w:val="00743B19"/>
    <w:rsid w:val="00743BAE"/>
    <w:rsid w:val="00744638"/>
    <w:rsid w:val="00744D34"/>
    <w:rsid w:val="00745151"/>
    <w:rsid w:val="00745286"/>
    <w:rsid w:val="0074657E"/>
    <w:rsid w:val="00747A3C"/>
    <w:rsid w:val="00747CFF"/>
    <w:rsid w:val="007503B6"/>
    <w:rsid w:val="00751D23"/>
    <w:rsid w:val="00751EF2"/>
    <w:rsid w:val="00752425"/>
    <w:rsid w:val="00752DA0"/>
    <w:rsid w:val="00753555"/>
    <w:rsid w:val="00753D75"/>
    <w:rsid w:val="00753F6E"/>
    <w:rsid w:val="0075454C"/>
    <w:rsid w:val="00755F01"/>
    <w:rsid w:val="0075712A"/>
    <w:rsid w:val="00757991"/>
    <w:rsid w:val="00760177"/>
    <w:rsid w:val="00760749"/>
    <w:rsid w:val="00762223"/>
    <w:rsid w:val="00762528"/>
    <w:rsid w:val="00762ACF"/>
    <w:rsid w:val="00762D37"/>
    <w:rsid w:val="007637A4"/>
    <w:rsid w:val="0076432D"/>
    <w:rsid w:val="00764809"/>
    <w:rsid w:val="00764F01"/>
    <w:rsid w:val="00765043"/>
    <w:rsid w:val="007650A5"/>
    <w:rsid w:val="007653D1"/>
    <w:rsid w:val="007666FF"/>
    <w:rsid w:val="007668B7"/>
    <w:rsid w:val="00766D5A"/>
    <w:rsid w:val="00766EB0"/>
    <w:rsid w:val="0077057D"/>
    <w:rsid w:val="0077085F"/>
    <w:rsid w:val="00770895"/>
    <w:rsid w:val="00771F7C"/>
    <w:rsid w:val="00771FA9"/>
    <w:rsid w:val="00772493"/>
    <w:rsid w:val="007724CB"/>
    <w:rsid w:val="00773154"/>
    <w:rsid w:val="007740B0"/>
    <w:rsid w:val="00774942"/>
    <w:rsid w:val="00774D1C"/>
    <w:rsid w:val="00774F4C"/>
    <w:rsid w:val="00775D3F"/>
    <w:rsid w:val="00775D49"/>
    <w:rsid w:val="00775D88"/>
    <w:rsid w:val="007763B1"/>
    <w:rsid w:val="00776581"/>
    <w:rsid w:val="0077691F"/>
    <w:rsid w:val="00776B4B"/>
    <w:rsid w:val="007772D7"/>
    <w:rsid w:val="00777671"/>
    <w:rsid w:val="00780CC4"/>
    <w:rsid w:val="00780EBC"/>
    <w:rsid w:val="007813C1"/>
    <w:rsid w:val="00781BE3"/>
    <w:rsid w:val="0078222F"/>
    <w:rsid w:val="00782AB0"/>
    <w:rsid w:val="00784383"/>
    <w:rsid w:val="00785222"/>
    <w:rsid w:val="00786D71"/>
    <w:rsid w:val="00787611"/>
    <w:rsid w:val="00790637"/>
    <w:rsid w:val="00790F50"/>
    <w:rsid w:val="00790FE7"/>
    <w:rsid w:val="00791192"/>
    <w:rsid w:val="007911EB"/>
    <w:rsid w:val="00791E34"/>
    <w:rsid w:val="00792508"/>
    <w:rsid w:val="00792C3D"/>
    <w:rsid w:val="00792D58"/>
    <w:rsid w:val="007934DC"/>
    <w:rsid w:val="007938D0"/>
    <w:rsid w:val="00793EFB"/>
    <w:rsid w:val="00794948"/>
    <w:rsid w:val="00794B49"/>
    <w:rsid w:val="00794ED3"/>
    <w:rsid w:val="00795948"/>
    <w:rsid w:val="00795A2A"/>
    <w:rsid w:val="00795A8B"/>
    <w:rsid w:val="007973DB"/>
    <w:rsid w:val="007975B6"/>
    <w:rsid w:val="007A0359"/>
    <w:rsid w:val="007A1F4F"/>
    <w:rsid w:val="007A2B45"/>
    <w:rsid w:val="007A2FC8"/>
    <w:rsid w:val="007A55B4"/>
    <w:rsid w:val="007A5E82"/>
    <w:rsid w:val="007B06B9"/>
    <w:rsid w:val="007B0A29"/>
    <w:rsid w:val="007B2A0F"/>
    <w:rsid w:val="007B384E"/>
    <w:rsid w:val="007B485E"/>
    <w:rsid w:val="007B4EA8"/>
    <w:rsid w:val="007B562B"/>
    <w:rsid w:val="007B5718"/>
    <w:rsid w:val="007B6156"/>
    <w:rsid w:val="007B66E1"/>
    <w:rsid w:val="007B6A42"/>
    <w:rsid w:val="007B7A08"/>
    <w:rsid w:val="007C0422"/>
    <w:rsid w:val="007C0F6D"/>
    <w:rsid w:val="007C2B5E"/>
    <w:rsid w:val="007C50E5"/>
    <w:rsid w:val="007C5345"/>
    <w:rsid w:val="007C623E"/>
    <w:rsid w:val="007C629C"/>
    <w:rsid w:val="007C65CD"/>
    <w:rsid w:val="007C6C93"/>
    <w:rsid w:val="007D0D8C"/>
    <w:rsid w:val="007D3721"/>
    <w:rsid w:val="007D377B"/>
    <w:rsid w:val="007D4E45"/>
    <w:rsid w:val="007D588E"/>
    <w:rsid w:val="007D6504"/>
    <w:rsid w:val="007D6547"/>
    <w:rsid w:val="007D6E16"/>
    <w:rsid w:val="007D72FB"/>
    <w:rsid w:val="007D7CF2"/>
    <w:rsid w:val="007E01F3"/>
    <w:rsid w:val="007E13A6"/>
    <w:rsid w:val="007E1E66"/>
    <w:rsid w:val="007E27D3"/>
    <w:rsid w:val="007E27E0"/>
    <w:rsid w:val="007E2AF2"/>
    <w:rsid w:val="007E2C6B"/>
    <w:rsid w:val="007E3BAB"/>
    <w:rsid w:val="007E4AD0"/>
    <w:rsid w:val="007E519A"/>
    <w:rsid w:val="007E569E"/>
    <w:rsid w:val="007E579D"/>
    <w:rsid w:val="007E5EA0"/>
    <w:rsid w:val="007E66FA"/>
    <w:rsid w:val="007E686A"/>
    <w:rsid w:val="007E6932"/>
    <w:rsid w:val="007E6C3A"/>
    <w:rsid w:val="007E6CF4"/>
    <w:rsid w:val="007E6ED5"/>
    <w:rsid w:val="007E79D8"/>
    <w:rsid w:val="007E7F54"/>
    <w:rsid w:val="007F060B"/>
    <w:rsid w:val="007F0E05"/>
    <w:rsid w:val="007F1286"/>
    <w:rsid w:val="007F12A3"/>
    <w:rsid w:val="007F18E1"/>
    <w:rsid w:val="007F2388"/>
    <w:rsid w:val="007F2446"/>
    <w:rsid w:val="007F3CE0"/>
    <w:rsid w:val="007F57D7"/>
    <w:rsid w:val="007F5B2E"/>
    <w:rsid w:val="007F62C4"/>
    <w:rsid w:val="007F65F2"/>
    <w:rsid w:val="007F686A"/>
    <w:rsid w:val="007F6D76"/>
    <w:rsid w:val="007F7AB2"/>
    <w:rsid w:val="007F7DDD"/>
    <w:rsid w:val="008000FA"/>
    <w:rsid w:val="0080109D"/>
    <w:rsid w:val="00801476"/>
    <w:rsid w:val="008014ED"/>
    <w:rsid w:val="00801510"/>
    <w:rsid w:val="00802166"/>
    <w:rsid w:val="0080236D"/>
    <w:rsid w:val="008025A1"/>
    <w:rsid w:val="00802BCD"/>
    <w:rsid w:val="00802D96"/>
    <w:rsid w:val="00803449"/>
    <w:rsid w:val="00803A90"/>
    <w:rsid w:val="00803F12"/>
    <w:rsid w:val="0080446F"/>
    <w:rsid w:val="00804D37"/>
    <w:rsid w:val="00806C4C"/>
    <w:rsid w:val="008079D8"/>
    <w:rsid w:val="00807A90"/>
    <w:rsid w:val="0081003A"/>
    <w:rsid w:val="0081267E"/>
    <w:rsid w:val="008129CC"/>
    <w:rsid w:val="008131CA"/>
    <w:rsid w:val="00814A65"/>
    <w:rsid w:val="00814FCD"/>
    <w:rsid w:val="00815999"/>
    <w:rsid w:val="00816246"/>
    <w:rsid w:val="008162EE"/>
    <w:rsid w:val="00817B0C"/>
    <w:rsid w:val="00817C3E"/>
    <w:rsid w:val="0082048F"/>
    <w:rsid w:val="008212E9"/>
    <w:rsid w:val="008216AA"/>
    <w:rsid w:val="00821DD2"/>
    <w:rsid w:val="00822C8A"/>
    <w:rsid w:val="00822EAA"/>
    <w:rsid w:val="0082392B"/>
    <w:rsid w:val="00824196"/>
    <w:rsid w:val="008247BE"/>
    <w:rsid w:val="00824B47"/>
    <w:rsid w:val="00824BEA"/>
    <w:rsid w:val="00825DF4"/>
    <w:rsid w:val="00826B5A"/>
    <w:rsid w:val="0083271E"/>
    <w:rsid w:val="00832EEE"/>
    <w:rsid w:val="008332F2"/>
    <w:rsid w:val="00833607"/>
    <w:rsid w:val="00833EA8"/>
    <w:rsid w:val="00835A19"/>
    <w:rsid w:val="00835A4F"/>
    <w:rsid w:val="00835C40"/>
    <w:rsid w:val="00836013"/>
    <w:rsid w:val="008360DD"/>
    <w:rsid w:val="00837348"/>
    <w:rsid w:val="00841012"/>
    <w:rsid w:val="008411E4"/>
    <w:rsid w:val="00841316"/>
    <w:rsid w:val="0084147D"/>
    <w:rsid w:val="00842E96"/>
    <w:rsid w:val="00843884"/>
    <w:rsid w:val="00845085"/>
    <w:rsid w:val="008459AC"/>
    <w:rsid w:val="00846B2B"/>
    <w:rsid w:val="008473FC"/>
    <w:rsid w:val="00850A27"/>
    <w:rsid w:val="00850C51"/>
    <w:rsid w:val="0085181F"/>
    <w:rsid w:val="008521C4"/>
    <w:rsid w:val="00852D6A"/>
    <w:rsid w:val="008532CE"/>
    <w:rsid w:val="00853AA8"/>
    <w:rsid w:val="00853D19"/>
    <w:rsid w:val="008541BD"/>
    <w:rsid w:val="008546E5"/>
    <w:rsid w:val="00854A5A"/>
    <w:rsid w:val="00854DD6"/>
    <w:rsid w:val="008551D4"/>
    <w:rsid w:val="0085522F"/>
    <w:rsid w:val="008554C7"/>
    <w:rsid w:val="0085560B"/>
    <w:rsid w:val="008575EC"/>
    <w:rsid w:val="008575FA"/>
    <w:rsid w:val="00860717"/>
    <w:rsid w:val="00860821"/>
    <w:rsid w:val="00860D84"/>
    <w:rsid w:val="00861090"/>
    <w:rsid w:val="008611A3"/>
    <w:rsid w:val="0086161A"/>
    <w:rsid w:val="00861D77"/>
    <w:rsid w:val="00861ED7"/>
    <w:rsid w:val="008620CF"/>
    <w:rsid w:val="0086287E"/>
    <w:rsid w:val="00862A11"/>
    <w:rsid w:val="00862ED1"/>
    <w:rsid w:val="008636B1"/>
    <w:rsid w:val="008637B7"/>
    <w:rsid w:val="00863B9D"/>
    <w:rsid w:val="00864599"/>
    <w:rsid w:val="00864782"/>
    <w:rsid w:val="00865852"/>
    <w:rsid w:val="008679FB"/>
    <w:rsid w:val="00867E4B"/>
    <w:rsid w:val="00867F5E"/>
    <w:rsid w:val="008701C5"/>
    <w:rsid w:val="00870AF3"/>
    <w:rsid w:val="00870F49"/>
    <w:rsid w:val="008714DB"/>
    <w:rsid w:val="008716BC"/>
    <w:rsid w:val="008718E6"/>
    <w:rsid w:val="00872650"/>
    <w:rsid w:val="008747B7"/>
    <w:rsid w:val="00874949"/>
    <w:rsid w:val="008753FB"/>
    <w:rsid w:val="0087640F"/>
    <w:rsid w:val="00877C61"/>
    <w:rsid w:val="00877D35"/>
    <w:rsid w:val="00877DF7"/>
    <w:rsid w:val="00880EF3"/>
    <w:rsid w:val="0088141B"/>
    <w:rsid w:val="00881AA7"/>
    <w:rsid w:val="00883B66"/>
    <w:rsid w:val="00883E2A"/>
    <w:rsid w:val="00884D7F"/>
    <w:rsid w:val="00890F3C"/>
    <w:rsid w:val="00891003"/>
    <w:rsid w:val="0089150C"/>
    <w:rsid w:val="00891CA1"/>
    <w:rsid w:val="00892A02"/>
    <w:rsid w:val="00894438"/>
    <w:rsid w:val="00895622"/>
    <w:rsid w:val="0089566F"/>
    <w:rsid w:val="00895762"/>
    <w:rsid w:val="0089628E"/>
    <w:rsid w:val="008978D6"/>
    <w:rsid w:val="00897B3A"/>
    <w:rsid w:val="00897C82"/>
    <w:rsid w:val="00897DED"/>
    <w:rsid w:val="008A0330"/>
    <w:rsid w:val="008A0E0A"/>
    <w:rsid w:val="008A1AB5"/>
    <w:rsid w:val="008A24A8"/>
    <w:rsid w:val="008A24DB"/>
    <w:rsid w:val="008A2593"/>
    <w:rsid w:val="008A3235"/>
    <w:rsid w:val="008A3515"/>
    <w:rsid w:val="008A380F"/>
    <w:rsid w:val="008A4340"/>
    <w:rsid w:val="008A4553"/>
    <w:rsid w:val="008A4732"/>
    <w:rsid w:val="008A6957"/>
    <w:rsid w:val="008A71F2"/>
    <w:rsid w:val="008A7614"/>
    <w:rsid w:val="008B046F"/>
    <w:rsid w:val="008B086C"/>
    <w:rsid w:val="008B0B15"/>
    <w:rsid w:val="008B12C2"/>
    <w:rsid w:val="008B17EF"/>
    <w:rsid w:val="008B1A05"/>
    <w:rsid w:val="008B3449"/>
    <w:rsid w:val="008B3B27"/>
    <w:rsid w:val="008B3E58"/>
    <w:rsid w:val="008B3F81"/>
    <w:rsid w:val="008B402F"/>
    <w:rsid w:val="008B428E"/>
    <w:rsid w:val="008B43B3"/>
    <w:rsid w:val="008B43D9"/>
    <w:rsid w:val="008B45A6"/>
    <w:rsid w:val="008B4E55"/>
    <w:rsid w:val="008B4EDE"/>
    <w:rsid w:val="008B59F4"/>
    <w:rsid w:val="008B5EFE"/>
    <w:rsid w:val="008B5F70"/>
    <w:rsid w:val="008B6778"/>
    <w:rsid w:val="008C0079"/>
    <w:rsid w:val="008C08DB"/>
    <w:rsid w:val="008C1BEF"/>
    <w:rsid w:val="008C1E3D"/>
    <w:rsid w:val="008C24E1"/>
    <w:rsid w:val="008C2CEB"/>
    <w:rsid w:val="008C34B4"/>
    <w:rsid w:val="008C41A6"/>
    <w:rsid w:val="008C4A15"/>
    <w:rsid w:val="008C4FE7"/>
    <w:rsid w:val="008C5318"/>
    <w:rsid w:val="008C5D52"/>
    <w:rsid w:val="008C5E7F"/>
    <w:rsid w:val="008C67BC"/>
    <w:rsid w:val="008C6D91"/>
    <w:rsid w:val="008C7121"/>
    <w:rsid w:val="008C7C7C"/>
    <w:rsid w:val="008D0426"/>
    <w:rsid w:val="008D0657"/>
    <w:rsid w:val="008D0749"/>
    <w:rsid w:val="008D0EBC"/>
    <w:rsid w:val="008D1762"/>
    <w:rsid w:val="008D36F4"/>
    <w:rsid w:val="008D3D6C"/>
    <w:rsid w:val="008D40BF"/>
    <w:rsid w:val="008D4670"/>
    <w:rsid w:val="008D4A1E"/>
    <w:rsid w:val="008D4C9B"/>
    <w:rsid w:val="008D56E5"/>
    <w:rsid w:val="008D6C49"/>
    <w:rsid w:val="008D6C4D"/>
    <w:rsid w:val="008D79D4"/>
    <w:rsid w:val="008E1D3F"/>
    <w:rsid w:val="008E2336"/>
    <w:rsid w:val="008E2953"/>
    <w:rsid w:val="008E3713"/>
    <w:rsid w:val="008E53F4"/>
    <w:rsid w:val="008E54B2"/>
    <w:rsid w:val="008E5759"/>
    <w:rsid w:val="008E57C7"/>
    <w:rsid w:val="008E5AE1"/>
    <w:rsid w:val="008E5D53"/>
    <w:rsid w:val="008E641C"/>
    <w:rsid w:val="008E7C89"/>
    <w:rsid w:val="008E7FE3"/>
    <w:rsid w:val="008F06F8"/>
    <w:rsid w:val="008F0D87"/>
    <w:rsid w:val="008F0E69"/>
    <w:rsid w:val="008F12F1"/>
    <w:rsid w:val="008F1986"/>
    <w:rsid w:val="008F24A8"/>
    <w:rsid w:val="008F25D3"/>
    <w:rsid w:val="008F48FF"/>
    <w:rsid w:val="008F4B7D"/>
    <w:rsid w:val="008F4BE0"/>
    <w:rsid w:val="008F59C7"/>
    <w:rsid w:val="008F6A6A"/>
    <w:rsid w:val="008F71CE"/>
    <w:rsid w:val="008F753C"/>
    <w:rsid w:val="0090039F"/>
    <w:rsid w:val="00900545"/>
    <w:rsid w:val="00900D1E"/>
    <w:rsid w:val="009011FC"/>
    <w:rsid w:val="009016BA"/>
    <w:rsid w:val="00901E0F"/>
    <w:rsid w:val="00901E3F"/>
    <w:rsid w:val="00901F22"/>
    <w:rsid w:val="00902002"/>
    <w:rsid w:val="00902BB6"/>
    <w:rsid w:val="00902D4A"/>
    <w:rsid w:val="0090322D"/>
    <w:rsid w:val="00903286"/>
    <w:rsid w:val="00903829"/>
    <w:rsid w:val="00903F23"/>
    <w:rsid w:val="00905559"/>
    <w:rsid w:val="00905FDE"/>
    <w:rsid w:val="00906F88"/>
    <w:rsid w:val="00907E9F"/>
    <w:rsid w:val="009100EA"/>
    <w:rsid w:val="00910B97"/>
    <w:rsid w:val="00910C17"/>
    <w:rsid w:val="00910E25"/>
    <w:rsid w:val="00912110"/>
    <w:rsid w:val="009139C6"/>
    <w:rsid w:val="00914833"/>
    <w:rsid w:val="00914E69"/>
    <w:rsid w:val="009153EE"/>
    <w:rsid w:val="00915511"/>
    <w:rsid w:val="00915575"/>
    <w:rsid w:val="009168DA"/>
    <w:rsid w:val="00916A29"/>
    <w:rsid w:val="009178F0"/>
    <w:rsid w:val="00920330"/>
    <w:rsid w:val="0092039B"/>
    <w:rsid w:val="00923454"/>
    <w:rsid w:val="00923FC7"/>
    <w:rsid w:val="009269A9"/>
    <w:rsid w:val="00927077"/>
    <w:rsid w:val="00930519"/>
    <w:rsid w:val="00930AD1"/>
    <w:rsid w:val="00930B74"/>
    <w:rsid w:val="009315CF"/>
    <w:rsid w:val="00932419"/>
    <w:rsid w:val="009327DB"/>
    <w:rsid w:val="009332AA"/>
    <w:rsid w:val="00933EEF"/>
    <w:rsid w:val="00934096"/>
    <w:rsid w:val="009351D9"/>
    <w:rsid w:val="00936B12"/>
    <w:rsid w:val="00937438"/>
    <w:rsid w:val="00937C68"/>
    <w:rsid w:val="00940052"/>
    <w:rsid w:val="00941C53"/>
    <w:rsid w:val="00942019"/>
    <w:rsid w:val="009424E2"/>
    <w:rsid w:val="009429D8"/>
    <w:rsid w:val="00943B75"/>
    <w:rsid w:val="00943C05"/>
    <w:rsid w:val="0094426D"/>
    <w:rsid w:val="0094448A"/>
    <w:rsid w:val="0094532B"/>
    <w:rsid w:val="0094534D"/>
    <w:rsid w:val="009453C3"/>
    <w:rsid w:val="009461FB"/>
    <w:rsid w:val="009464AB"/>
    <w:rsid w:val="00950829"/>
    <w:rsid w:val="0095105C"/>
    <w:rsid w:val="0095191C"/>
    <w:rsid w:val="00951EDA"/>
    <w:rsid w:val="00952679"/>
    <w:rsid w:val="009529DF"/>
    <w:rsid w:val="00952DDB"/>
    <w:rsid w:val="0095358F"/>
    <w:rsid w:val="009539FD"/>
    <w:rsid w:val="00954177"/>
    <w:rsid w:val="009543A0"/>
    <w:rsid w:val="00957870"/>
    <w:rsid w:val="00957C27"/>
    <w:rsid w:val="00957F01"/>
    <w:rsid w:val="00960074"/>
    <w:rsid w:val="009601E3"/>
    <w:rsid w:val="00960423"/>
    <w:rsid w:val="0096056E"/>
    <w:rsid w:val="00960C2A"/>
    <w:rsid w:val="009619A9"/>
    <w:rsid w:val="009626F2"/>
    <w:rsid w:val="00962B2F"/>
    <w:rsid w:val="00962C86"/>
    <w:rsid w:val="00962F75"/>
    <w:rsid w:val="00962F76"/>
    <w:rsid w:val="00963042"/>
    <w:rsid w:val="00963170"/>
    <w:rsid w:val="009631E5"/>
    <w:rsid w:val="009634D9"/>
    <w:rsid w:val="00963D11"/>
    <w:rsid w:val="00964232"/>
    <w:rsid w:val="00964401"/>
    <w:rsid w:val="009652F4"/>
    <w:rsid w:val="009663C0"/>
    <w:rsid w:val="009664AB"/>
    <w:rsid w:val="00966E8A"/>
    <w:rsid w:val="00967C9B"/>
    <w:rsid w:val="00967EE2"/>
    <w:rsid w:val="00967F4E"/>
    <w:rsid w:val="00970242"/>
    <w:rsid w:val="0097285B"/>
    <w:rsid w:val="0097335E"/>
    <w:rsid w:val="00973C11"/>
    <w:rsid w:val="00973DC8"/>
    <w:rsid w:val="00973E51"/>
    <w:rsid w:val="009740E1"/>
    <w:rsid w:val="00974ABA"/>
    <w:rsid w:val="00974B78"/>
    <w:rsid w:val="00974C7F"/>
    <w:rsid w:val="00974D36"/>
    <w:rsid w:val="00974D4B"/>
    <w:rsid w:val="00975697"/>
    <w:rsid w:val="00975925"/>
    <w:rsid w:val="00975ABB"/>
    <w:rsid w:val="00976165"/>
    <w:rsid w:val="0097682A"/>
    <w:rsid w:val="00977676"/>
    <w:rsid w:val="0097775B"/>
    <w:rsid w:val="0097791A"/>
    <w:rsid w:val="00977F76"/>
    <w:rsid w:val="00980ED6"/>
    <w:rsid w:val="0098137E"/>
    <w:rsid w:val="009834CB"/>
    <w:rsid w:val="00983FD2"/>
    <w:rsid w:val="0098427C"/>
    <w:rsid w:val="00984412"/>
    <w:rsid w:val="00984F90"/>
    <w:rsid w:val="0098642A"/>
    <w:rsid w:val="009869F2"/>
    <w:rsid w:val="0098700C"/>
    <w:rsid w:val="00987DBD"/>
    <w:rsid w:val="00990A52"/>
    <w:rsid w:val="00991114"/>
    <w:rsid w:val="00991386"/>
    <w:rsid w:val="00992A64"/>
    <w:rsid w:val="009936FC"/>
    <w:rsid w:val="00993946"/>
    <w:rsid w:val="009940C1"/>
    <w:rsid w:val="009941D1"/>
    <w:rsid w:val="00994EC8"/>
    <w:rsid w:val="00995482"/>
    <w:rsid w:val="0099571F"/>
    <w:rsid w:val="0099654F"/>
    <w:rsid w:val="00997A70"/>
    <w:rsid w:val="00997DF3"/>
    <w:rsid w:val="00997E0C"/>
    <w:rsid w:val="009A043E"/>
    <w:rsid w:val="009A08E3"/>
    <w:rsid w:val="009A144C"/>
    <w:rsid w:val="009A145E"/>
    <w:rsid w:val="009A16C6"/>
    <w:rsid w:val="009A3E42"/>
    <w:rsid w:val="009A44D5"/>
    <w:rsid w:val="009A477E"/>
    <w:rsid w:val="009A4D52"/>
    <w:rsid w:val="009A5D73"/>
    <w:rsid w:val="009A69C2"/>
    <w:rsid w:val="009A7A55"/>
    <w:rsid w:val="009B08B6"/>
    <w:rsid w:val="009B0BE5"/>
    <w:rsid w:val="009B1558"/>
    <w:rsid w:val="009B1CA5"/>
    <w:rsid w:val="009B3BE2"/>
    <w:rsid w:val="009B3D12"/>
    <w:rsid w:val="009B4C44"/>
    <w:rsid w:val="009B611B"/>
    <w:rsid w:val="009B6AC2"/>
    <w:rsid w:val="009B76DF"/>
    <w:rsid w:val="009C1675"/>
    <w:rsid w:val="009C2B20"/>
    <w:rsid w:val="009C329F"/>
    <w:rsid w:val="009C3B46"/>
    <w:rsid w:val="009C49F1"/>
    <w:rsid w:val="009C4B1A"/>
    <w:rsid w:val="009C4F44"/>
    <w:rsid w:val="009C56D9"/>
    <w:rsid w:val="009C6AC8"/>
    <w:rsid w:val="009D034B"/>
    <w:rsid w:val="009D0BB8"/>
    <w:rsid w:val="009D259F"/>
    <w:rsid w:val="009D285C"/>
    <w:rsid w:val="009D37AB"/>
    <w:rsid w:val="009D3900"/>
    <w:rsid w:val="009D44DD"/>
    <w:rsid w:val="009D520E"/>
    <w:rsid w:val="009D6DEF"/>
    <w:rsid w:val="009D707D"/>
    <w:rsid w:val="009E0AA1"/>
    <w:rsid w:val="009E14B3"/>
    <w:rsid w:val="009E1615"/>
    <w:rsid w:val="009E2425"/>
    <w:rsid w:val="009E2DB4"/>
    <w:rsid w:val="009E3E31"/>
    <w:rsid w:val="009E49D4"/>
    <w:rsid w:val="009E4FD7"/>
    <w:rsid w:val="009E59E0"/>
    <w:rsid w:val="009E6412"/>
    <w:rsid w:val="009E6736"/>
    <w:rsid w:val="009E6889"/>
    <w:rsid w:val="009E6BB0"/>
    <w:rsid w:val="009E7898"/>
    <w:rsid w:val="009E7BC9"/>
    <w:rsid w:val="009F08B3"/>
    <w:rsid w:val="009F0BB9"/>
    <w:rsid w:val="009F2398"/>
    <w:rsid w:val="009F275E"/>
    <w:rsid w:val="009F3247"/>
    <w:rsid w:val="009F3480"/>
    <w:rsid w:val="009F3595"/>
    <w:rsid w:val="009F408D"/>
    <w:rsid w:val="009F52DF"/>
    <w:rsid w:val="009F56CE"/>
    <w:rsid w:val="009F5931"/>
    <w:rsid w:val="009F6CA8"/>
    <w:rsid w:val="009F6D37"/>
    <w:rsid w:val="009F7F50"/>
    <w:rsid w:val="00A011F5"/>
    <w:rsid w:val="00A014C6"/>
    <w:rsid w:val="00A02148"/>
    <w:rsid w:val="00A02468"/>
    <w:rsid w:val="00A02B3A"/>
    <w:rsid w:val="00A03079"/>
    <w:rsid w:val="00A03464"/>
    <w:rsid w:val="00A03D5D"/>
    <w:rsid w:val="00A03E9F"/>
    <w:rsid w:val="00A0486A"/>
    <w:rsid w:val="00A04E72"/>
    <w:rsid w:val="00A04EC7"/>
    <w:rsid w:val="00A0517F"/>
    <w:rsid w:val="00A05360"/>
    <w:rsid w:val="00A07954"/>
    <w:rsid w:val="00A10032"/>
    <w:rsid w:val="00A10A3A"/>
    <w:rsid w:val="00A10A9C"/>
    <w:rsid w:val="00A1116D"/>
    <w:rsid w:val="00A112EA"/>
    <w:rsid w:val="00A12275"/>
    <w:rsid w:val="00A13DA3"/>
    <w:rsid w:val="00A13F29"/>
    <w:rsid w:val="00A146DA"/>
    <w:rsid w:val="00A1483A"/>
    <w:rsid w:val="00A14A52"/>
    <w:rsid w:val="00A14EDD"/>
    <w:rsid w:val="00A15957"/>
    <w:rsid w:val="00A15AB9"/>
    <w:rsid w:val="00A16257"/>
    <w:rsid w:val="00A16F33"/>
    <w:rsid w:val="00A17133"/>
    <w:rsid w:val="00A17606"/>
    <w:rsid w:val="00A177E1"/>
    <w:rsid w:val="00A17A5B"/>
    <w:rsid w:val="00A2224C"/>
    <w:rsid w:val="00A22633"/>
    <w:rsid w:val="00A22932"/>
    <w:rsid w:val="00A2393F"/>
    <w:rsid w:val="00A23A21"/>
    <w:rsid w:val="00A26BEB"/>
    <w:rsid w:val="00A277C3"/>
    <w:rsid w:val="00A2795D"/>
    <w:rsid w:val="00A302C6"/>
    <w:rsid w:val="00A3047B"/>
    <w:rsid w:val="00A305D7"/>
    <w:rsid w:val="00A3089A"/>
    <w:rsid w:val="00A3148C"/>
    <w:rsid w:val="00A31C66"/>
    <w:rsid w:val="00A324AF"/>
    <w:rsid w:val="00A326AD"/>
    <w:rsid w:val="00A32B4B"/>
    <w:rsid w:val="00A32DD5"/>
    <w:rsid w:val="00A32E47"/>
    <w:rsid w:val="00A33796"/>
    <w:rsid w:val="00A35083"/>
    <w:rsid w:val="00A3511A"/>
    <w:rsid w:val="00A35384"/>
    <w:rsid w:val="00A35D27"/>
    <w:rsid w:val="00A379C4"/>
    <w:rsid w:val="00A37D3C"/>
    <w:rsid w:val="00A401E4"/>
    <w:rsid w:val="00A41346"/>
    <w:rsid w:val="00A41B7D"/>
    <w:rsid w:val="00A41ED9"/>
    <w:rsid w:val="00A431EE"/>
    <w:rsid w:val="00A43486"/>
    <w:rsid w:val="00A44A3F"/>
    <w:rsid w:val="00A451BA"/>
    <w:rsid w:val="00A457A3"/>
    <w:rsid w:val="00A46D90"/>
    <w:rsid w:val="00A470F2"/>
    <w:rsid w:val="00A47276"/>
    <w:rsid w:val="00A47D92"/>
    <w:rsid w:val="00A47F02"/>
    <w:rsid w:val="00A50003"/>
    <w:rsid w:val="00A50F73"/>
    <w:rsid w:val="00A52FFF"/>
    <w:rsid w:val="00A532B0"/>
    <w:rsid w:val="00A53B4F"/>
    <w:rsid w:val="00A53FE6"/>
    <w:rsid w:val="00A54005"/>
    <w:rsid w:val="00A5409C"/>
    <w:rsid w:val="00A5438A"/>
    <w:rsid w:val="00A5517D"/>
    <w:rsid w:val="00A557E3"/>
    <w:rsid w:val="00A56849"/>
    <w:rsid w:val="00A56893"/>
    <w:rsid w:val="00A56917"/>
    <w:rsid w:val="00A57D04"/>
    <w:rsid w:val="00A60305"/>
    <w:rsid w:val="00A608C4"/>
    <w:rsid w:val="00A61513"/>
    <w:rsid w:val="00A615C5"/>
    <w:rsid w:val="00A61C73"/>
    <w:rsid w:val="00A61F59"/>
    <w:rsid w:val="00A62259"/>
    <w:rsid w:val="00A62777"/>
    <w:rsid w:val="00A6339E"/>
    <w:rsid w:val="00A64399"/>
    <w:rsid w:val="00A643CB"/>
    <w:rsid w:val="00A659D9"/>
    <w:rsid w:val="00A65A9A"/>
    <w:rsid w:val="00A66632"/>
    <w:rsid w:val="00A67BF8"/>
    <w:rsid w:val="00A7061E"/>
    <w:rsid w:val="00A70CDA"/>
    <w:rsid w:val="00A72040"/>
    <w:rsid w:val="00A725AD"/>
    <w:rsid w:val="00A72778"/>
    <w:rsid w:val="00A73DD0"/>
    <w:rsid w:val="00A73DD5"/>
    <w:rsid w:val="00A74917"/>
    <w:rsid w:val="00A74D88"/>
    <w:rsid w:val="00A7503D"/>
    <w:rsid w:val="00A75A84"/>
    <w:rsid w:val="00A76956"/>
    <w:rsid w:val="00A76B11"/>
    <w:rsid w:val="00A76C50"/>
    <w:rsid w:val="00A779B6"/>
    <w:rsid w:val="00A77D40"/>
    <w:rsid w:val="00A808FF"/>
    <w:rsid w:val="00A809DF"/>
    <w:rsid w:val="00A80DAB"/>
    <w:rsid w:val="00A81216"/>
    <w:rsid w:val="00A81738"/>
    <w:rsid w:val="00A82478"/>
    <w:rsid w:val="00A827D6"/>
    <w:rsid w:val="00A82AB9"/>
    <w:rsid w:val="00A8320D"/>
    <w:rsid w:val="00A83D98"/>
    <w:rsid w:val="00A845AE"/>
    <w:rsid w:val="00A84E21"/>
    <w:rsid w:val="00A864A2"/>
    <w:rsid w:val="00A90EB2"/>
    <w:rsid w:val="00A91024"/>
    <w:rsid w:val="00A9341C"/>
    <w:rsid w:val="00A9360B"/>
    <w:rsid w:val="00A94298"/>
    <w:rsid w:val="00A949B4"/>
    <w:rsid w:val="00A94A79"/>
    <w:rsid w:val="00A94B58"/>
    <w:rsid w:val="00A9598E"/>
    <w:rsid w:val="00A96192"/>
    <w:rsid w:val="00A9740F"/>
    <w:rsid w:val="00A97443"/>
    <w:rsid w:val="00A97533"/>
    <w:rsid w:val="00A97BBA"/>
    <w:rsid w:val="00A97C3E"/>
    <w:rsid w:val="00AA031B"/>
    <w:rsid w:val="00AA057C"/>
    <w:rsid w:val="00AA1D87"/>
    <w:rsid w:val="00AA1FE4"/>
    <w:rsid w:val="00AA20A6"/>
    <w:rsid w:val="00AA238A"/>
    <w:rsid w:val="00AA2C6C"/>
    <w:rsid w:val="00AA43D5"/>
    <w:rsid w:val="00AA5191"/>
    <w:rsid w:val="00AA5D0A"/>
    <w:rsid w:val="00AA5E97"/>
    <w:rsid w:val="00AA62A3"/>
    <w:rsid w:val="00AA6AD4"/>
    <w:rsid w:val="00AA6B24"/>
    <w:rsid w:val="00AB029E"/>
    <w:rsid w:val="00AB0749"/>
    <w:rsid w:val="00AB0A76"/>
    <w:rsid w:val="00AB0E0E"/>
    <w:rsid w:val="00AB1CB5"/>
    <w:rsid w:val="00AB3AE2"/>
    <w:rsid w:val="00AB4268"/>
    <w:rsid w:val="00AB46A9"/>
    <w:rsid w:val="00AB4890"/>
    <w:rsid w:val="00AB4D07"/>
    <w:rsid w:val="00AB572D"/>
    <w:rsid w:val="00AB5758"/>
    <w:rsid w:val="00AB625C"/>
    <w:rsid w:val="00AB694C"/>
    <w:rsid w:val="00AB77F3"/>
    <w:rsid w:val="00AC00DC"/>
    <w:rsid w:val="00AC1936"/>
    <w:rsid w:val="00AC1B43"/>
    <w:rsid w:val="00AC22A5"/>
    <w:rsid w:val="00AC2422"/>
    <w:rsid w:val="00AC36D7"/>
    <w:rsid w:val="00AC485B"/>
    <w:rsid w:val="00AC4EAD"/>
    <w:rsid w:val="00AC53DF"/>
    <w:rsid w:val="00AC57B1"/>
    <w:rsid w:val="00AC59A9"/>
    <w:rsid w:val="00AC61D0"/>
    <w:rsid w:val="00AC6E0F"/>
    <w:rsid w:val="00AC7FA1"/>
    <w:rsid w:val="00AD08DF"/>
    <w:rsid w:val="00AD18B6"/>
    <w:rsid w:val="00AD1C3A"/>
    <w:rsid w:val="00AD25E9"/>
    <w:rsid w:val="00AD2C05"/>
    <w:rsid w:val="00AD31BF"/>
    <w:rsid w:val="00AD47AB"/>
    <w:rsid w:val="00AD51C0"/>
    <w:rsid w:val="00AD54FB"/>
    <w:rsid w:val="00AD5898"/>
    <w:rsid w:val="00AD5FDD"/>
    <w:rsid w:val="00AD625C"/>
    <w:rsid w:val="00AD63F0"/>
    <w:rsid w:val="00AD666D"/>
    <w:rsid w:val="00AD6E73"/>
    <w:rsid w:val="00AD703F"/>
    <w:rsid w:val="00AD76CB"/>
    <w:rsid w:val="00AD7836"/>
    <w:rsid w:val="00AD7D9B"/>
    <w:rsid w:val="00AE0120"/>
    <w:rsid w:val="00AE0701"/>
    <w:rsid w:val="00AE09DA"/>
    <w:rsid w:val="00AE0C11"/>
    <w:rsid w:val="00AE1940"/>
    <w:rsid w:val="00AE2460"/>
    <w:rsid w:val="00AE26CF"/>
    <w:rsid w:val="00AE2F0A"/>
    <w:rsid w:val="00AE3930"/>
    <w:rsid w:val="00AE3A27"/>
    <w:rsid w:val="00AE6161"/>
    <w:rsid w:val="00AE78AB"/>
    <w:rsid w:val="00AF2A0E"/>
    <w:rsid w:val="00AF2E4E"/>
    <w:rsid w:val="00AF34BB"/>
    <w:rsid w:val="00AF51A5"/>
    <w:rsid w:val="00AF56A6"/>
    <w:rsid w:val="00AF65D6"/>
    <w:rsid w:val="00AF6DCE"/>
    <w:rsid w:val="00AF7196"/>
    <w:rsid w:val="00B002EE"/>
    <w:rsid w:val="00B01079"/>
    <w:rsid w:val="00B01562"/>
    <w:rsid w:val="00B01801"/>
    <w:rsid w:val="00B01830"/>
    <w:rsid w:val="00B01846"/>
    <w:rsid w:val="00B01FD6"/>
    <w:rsid w:val="00B030B1"/>
    <w:rsid w:val="00B04249"/>
    <w:rsid w:val="00B04350"/>
    <w:rsid w:val="00B04A77"/>
    <w:rsid w:val="00B04BB4"/>
    <w:rsid w:val="00B04C35"/>
    <w:rsid w:val="00B0500A"/>
    <w:rsid w:val="00B059DC"/>
    <w:rsid w:val="00B05A18"/>
    <w:rsid w:val="00B0787B"/>
    <w:rsid w:val="00B07CEB"/>
    <w:rsid w:val="00B07E71"/>
    <w:rsid w:val="00B1013C"/>
    <w:rsid w:val="00B10285"/>
    <w:rsid w:val="00B104DA"/>
    <w:rsid w:val="00B10B6C"/>
    <w:rsid w:val="00B110A4"/>
    <w:rsid w:val="00B1114A"/>
    <w:rsid w:val="00B111B4"/>
    <w:rsid w:val="00B11F12"/>
    <w:rsid w:val="00B12A3C"/>
    <w:rsid w:val="00B12DAD"/>
    <w:rsid w:val="00B12E93"/>
    <w:rsid w:val="00B1394A"/>
    <w:rsid w:val="00B13B36"/>
    <w:rsid w:val="00B13F00"/>
    <w:rsid w:val="00B147A0"/>
    <w:rsid w:val="00B149C9"/>
    <w:rsid w:val="00B1555A"/>
    <w:rsid w:val="00B15E56"/>
    <w:rsid w:val="00B15EEC"/>
    <w:rsid w:val="00B1690A"/>
    <w:rsid w:val="00B16FBB"/>
    <w:rsid w:val="00B1707D"/>
    <w:rsid w:val="00B17105"/>
    <w:rsid w:val="00B17166"/>
    <w:rsid w:val="00B17601"/>
    <w:rsid w:val="00B179E7"/>
    <w:rsid w:val="00B2028C"/>
    <w:rsid w:val="00B20500"/>
    <w:rsid w:val="00B2081F"/>
    <w:rsid w:val="00B20A65"/>
    <w:rsid w:val="00B20B72"/>
    <w:rsid w:val="00B20CA7"/>
    <w:rsid w:val="00B20ED1"/>
    <w:rsid w:val="00B20FD1"/>
    <w:rsid w:val="00B21367"/>
    <w:rsid w:val="00B21D35"/>
    <w:rsid w:val="00B2205D"/>
    <w:rsid w:val="00B2207F"/>
    <w:rsid w:val="00B22D28"/>
    <w:rsid w:val="00B22F9F"/>
    <w:rsid w:val="00B23392"/>
    <w:rsid w:val="00B23533"/>
    <w:rsid w:val="00B246B9"/>
    <w:rsid w:val="00B24B4E"/>
    <w:rsid w:val="00B257E0"/>
    <w:rsid w:val="00B25BC9"/>
    <w:rsid w:val="00B304C6"/>
    <w:rsid w:val="00B31682"/>
    <w:rsid w:val="00B31DC5"/>
    <w:rsid w:val="00B329C3"/>
    <w:rsid w:val="00B335F2"/>
    <w:rsid w:val="00B355E6"/>
    <w:rsid w:val="00B377A6"/>
    <w:rsid w:val="00B4166D"/>
    <w:rsid w:val="00B41FB2"/>
    <w:rsid w:val="00B420EF"/>
    <w:rsid w:val="00B42CBD"/>
    <w:rsid w:val="00B45989"/>
    <w:rsid w:val="00B46B37"/>
    <w:rsid w:val="00B46DD1"/>
    <w:rsid w:val="00B47086"/>
    <w:rsid w:val="00B4780A"/>
    <w:rsid w:val="00B50D44"/>
    <w:rsid w:val="00B5174E"/>
    <w:rsid w:val="00B51DF2"/>
    <w:rsid w:val="00B52925"/>
    <w:rsid w:val="00B53456"/>
    <w:rsid w:val="00B5399C"/>
    <w:rsid w:val="00B54AD4"/>
    <w:rsid w:val="00B5658E"/>
    <w:rsid w:val="00B56A65"/>
    <w:rsid w:val="00B56D82"/>
    <w:rsid w:val="00B5732C"/>
    <w:rsid w:val="00B60211"/>
    <w:rsid w:val="00B611B5"/>
    <w:rsid w:val="00B61CD1"/>
    <w:rsid w:val="00B61E20"/>
    <w:rsid w:val="00B62BE0"/>
    <w:rsid w:val="00B636AE"/>
    <w:rsid w:val="00B63DF5"/>
    <w:rsid w:val="00B63FD0"/>
    <w:rsid w:val="00B645F0"/>
    <w:rsid w:val="00B64DEC"/>
    <w:rsid w:val="00B65100"/>
    <w:rsid w:val="00B65CBE"/>
    <w:rsid w:val="00B663A9"/>
    <w:rsid w:val="00B66F41"/>
    <w:rsid w:val="00B6763E"/>
    <w:rsid w:val="00B679AD"/>
    <w:rsid w:val="00B7021C"/>
    <w:rsid w:val="00B704F1"/>
    <w:rsid w:val="00B70683"/>
    <w:rsid w:val="00B714AA"/>
    <w:rsid w:val="00B72276"/>
    <w:rsid w:val="00B72482"/>
    <w:rsid w:val="00B72788"/>
    <w:rsid w:val="00B729A7"/>
    <w:rsid w:val="00B72A1F"/>
    <w:rsid w:val="00B72A81"/>
    <w:rsid w:val="00B72C73"/>
    <w:rsid w:val="00B72F2B"/>
    <w:rsid w:val="00B73D0F"/>
    <w:rsid w:val="00B73E45"/>
    <w:rsid w:val="00B73EA7"/>
    <w:rsid w:val="00B749B5"/>
    <w:rsid w:val="00B762A0"/>
    <w:rsid w:val="00B76920"/>
    <w:rsid w:val="00B76DCB"/>
    <w:rsid w:val="00B771B1"/>
    <w:rsid w:val="00B772B1"/>
    <w:rsid w:val="00B775EE"/>
    <w:rsid w:val="00B80A44"/>
    <w:rsid w:val="00B80C4D"/>
    <w:rsid w:val="00B81350"/>
    <w:rsid w:val="00B81732"/>
    <w:rsid w:val="00B81A56"/>
    <w:rsid w:val="00B8263D"/>
    <w:rsid w:val="00B82ADB"/>
    <w:rsid w:val="00B833B3"/>
    <w:rsid w:val="00B83C1A"/>
    <w:rsid w:val="00B8412A"/>
    <w:rsid w:val="00B847C1"/>
    <w:rsid w:val="00B8535E"/>
    <w:rsid w:val="00B86340"/>
    <w:rsid w:val="00B864F8"/>
    <w:rsid w:val="00B865B6"/>
    <w:rsid w:val="00B86DAF"/>
    <w:rsid w:val="00B86FF3"/>
    <w:rsid w:val="00B875E4"/>
    <w:rsid w:val="00B8792B"/>
    <w:rsid w:val="00B87D47"/>
    <w:rsid w:val="00B87D76"/>
    <w:rsid w:val="00B87FD2"/>
    <w:rsid w:val="00B903AF"/>
    <w:rsid w:val="00B906D2"/>
    <w:rsid w:val="00B90737"/>
    <w:rsid w:val="00B91C5F"/>
    <w:rsid w:val="00B922C8"/>
    <w:rsid w:val="00B92FE9"/>
    <w:rsid w:val="00B930FA"/>
    <w:rsid w:val="00B94209"/>
    <w:rsid w:val="00B946E2"/>
    <w:rsid w:val="00B94FB0"/>
    <w:rsid w:val="00B95316"/>
    <w:rsid w:val="00B9595D"/>
    <w:rsid w:val="00B959A2"/>
    <w:rsid w:val="00B95C4C"/>
    <w:rsid w:val="00B96100"/>
    <w:rsid w:val="00B97044"/>
    <w:rsid w:val="00B97A43"/>
    <w:rsid w:val="00BA0145"/>
    <w:rsid w:val="00BA0253"/>
    <w:rsid w:val="00BA06B9"/>
    <w:rsid w:val="00BA0B94"/>
    <w:rsid w:val="00BA0BE9"/>
    <w:rsid w:val="00BA0F27"/>
    <w:rsid w:val="00BA1C84"/>
    <w:rsid w:val="00BA2224"/>
    <w:rsid w:val="00BA2B37"/>
    <w:rsid w:val="00BA2C02"/>
    <w:rsid w:val="00BA2DDB"/>
    <w:rsid w:val="00BA3804"/>
    <w:rsid w:val="00BA4488"/>
    <w:rsid w:val="00BA48D7"/>
    <w:rsid w:val="00BA4ED2"/>
    <w:rsid w:val="00BA4FB2"/>
    <w:rsid w:val="00BA5D7A"/>
    <w:rsid w:val="00BA5F99"/>
    <w:rsid w:val="00BA6222"/>
    <w:rsid w:val="00BA6621"/>
    <w:rsid w:val="00BA6890"/>
    <w:rsid w:val="00BA7336"/>
    <w:rsid w:val="00BA73E9"/>
    <w:rsid w:val="00BA7A82"/>
    <w:rsid w:val="00BA7B4F"/>
    <w:rsid w:val="00BB0035"/>
    <w:rsid w:val="00BB0FA3"/>
    <w:rsid w:val="00BB1363"/>
    <w:rsid w:val="00BB197A"/>
    <w:rsid w:val="00BB2038"/>
    <w:rsid w:val="00BB3D36"/>
    <w:rsid w:val="00BB45AC"/>
    <w:rsid w:val="00BB4BAB"/>
    <w:rsid w:val="00BB4FCB"/>
    <w:rsid w:val="00BB5281"/>
    <w:rsid w:val="00BB6F00"/>
    <w:rsid w:val="00BB701C"/>
    <w:rsid w:val="00BB737E"/>
    <w:rsid w:val="00BC040D"/>
    <w:rsid w:val="00BC1C1C"/>
    <w:rsid w:val="00BC2998"/>
    <w:rsid w:val="00BC3A02"/>
    <w:rsid w:val="00BC4147"/>
    <w:rsid w:val="00BC4CCA"/>
    <w:rsid w:val="00BC50F1"/>
    <w:rsid w:val="00BC5652"/>
    <w:rsid w:val="00BC5A24"/>
    <w:rsid w:val="00BC63ED"/>
    <w:rsid w:val="00BC7084"/>
    <w:rsid w:val="00BD043B"/>
    <w:rsid w:val="00BD059C"/>
    <w:rsid w:val="00BD08AE"/>
    <w:rsid w:val="00BD157E"/>
    <w:rsid w:val="00BD2420"/>
    <w:rsid w:val="00BD2B41"/>
    <w:rsid w:val="00BD2E87"/>
    <w:rsid w:val="00BD3307"/>
    <w:rsid w:val="00BD356D"/>
    <w:rsid w:val="00BD5020"/>
    <w:rsid w:val="00BD5064"/>
    <w:rsid w:val="00BD56AE"/>
    <w:rsid w:val="00BD6084"/>
    <w:rsid w:val="00BD6674"/>
    <w:rsid w:val="00BD6DF6"/>
    <w:rsid w:val="00BD7489"/>
    <w:rsid w:val="00BD7C81"/>
    <w:rsid w:val="00BD7FDC"/>
    <w:rsid w:val="00BE08EA"/>
    <w:rsid w:val="00BE0BB9"/>
    <w:rsid w:val="00BE1882"/>
    <w:rsid w:val="00BE18A1"/>
    <w:rsid w:val="00BE1AB8"/>
    <w:rsid w:val="00BE1F86"/>
    <w:rsid w:val="00BE294B"/>
    <w:rsid w:val="00BE3FA4"/>
    <w:rsid w:val="00BE434D"/>
    <w:rsid w:val="00BE5A19"/>
    <w:rsid w:val="00BE6280"/>
    <w:rsid w:val="00BE650B"/>
    <w:rsid w:val="00BF11EF"/>
    <w:rsid w:val="00BF159B"/>
    <w:rsid w:val="00BF1CCB"/>
    <w:rsid w:val="00BF213D"/>
    <w:rsid w:val="00BF2C9F"/>
    <w:rsid w:val="00BF317C"/>
    <w:rsid w:val="00BF3ACF"/>
    <w:rsid w:val="00BF3F51"/>
    <w:rsid w:val="00BF501F"/>
    <w:rsid w:val="00BF51F4"/>
    <w:rsid w:val="00BF592C"/>
    <w:rsid w:val="00BF625F"/>
    <w:rsid w:val="00BF6407"/>
    <w:rsid w:val="00BF6CFB"/>
    <w:rsid w:val="00BF6F38"/>
    <w:rsid w:val="00BF7293"/>
    <w:rsid w:val="00C00AD6"/>
    <w:rsid w:val="00C00C2C"/>
    <w:rsid w:val="00C00F67"/>
    <w:rsid w:val="00C011A8"/>
    <w:rsid w:val="00C01AC8"/>
    <w:rsid w:val="00C02B05"/>
    <w:rsid w:val="00C035E6"/>
    <w:rsid w:val="00C04355"/>
    <w:rsid w:val="00C04514"/>
    <w:rsid w:val="00C06245"/>
    <w:rsid w:val="00C07688"/>
    <w:rsid w:val="00C07743"/>
    <w:rsid w:val="00C07982"/>
    <w:rsid w:val="00C10FE6"/>
    <w:rsid w:val="00C118AE"/>
    <w:rsid w:val="00C12B31"/>
    <w:rsid w:val="00C133C1"/>
    <w:rsid w:val="00C1350A"/>
    <w:rsid w:val="00C13960"/>
    <w:rsid w:val="00C139EF"/>
    <w:rsid w:val="00C146D0"/>
    <w:rsid w:val="00C147D6"/>
    <w:rsid w:val="00C14E56"/>
    <w:rsid w:val="00C158E9"/>
    <w:rsid w:val="00C15B15"/>
    <w:rsid w:val="00C15B2E"/>
    <w:rsid w:val="00C16ED0"/>
    <w:rsid w:val="00C20C2D"/>
    <w:rsid w:val="00C2179E"/>
    <w:rsid w:val="00C220D9"/>
    <w:rsid w:val="00C223BD"/>
    <w:rsid w:val="00C22DB3"/>
    <w:rsid w:val="00C233B1"/>
    <w:rsid w:val="00C23BC1"/>
    <w:rsid w:val="00C259D6"/>
    <w:rsid w:val="00C25B4F"/>
    <w:rsid w:val="00C262A6"/>
    <w:rsid w:val="00C26E0B"/>
    <w:rsid w:val="00C26FFF"/>
    <w:rsid w:val="00C27B10"/>
    <w:rsid w:val="00C27FDB"/>
    <w:rsid w:val="00C30241"/>
    <w:rsid w:val="00C30624"/>
    <w:rsid w:val="00C308BE"/>
    <w:rsid w:val="00C31100"/>
    <w:rsid w:val="00C31852"/>
    <w:rsid w:val="00C31E08"/>
    <w:rsid w:val="00C3234E"/>
    <w:rsid w:val="00C32CED"/>
    <w:rsid w:val="00C34645"/>
    <w:rsid w:val="00C34CB7"/>
    <w:rsid w:val="00C3509F"/>
    <w:rsid w:val="00C35BD9"/>
    <w:rsid w:val="00C35E05"/>
    <w:rsid w:val="00C36840"/>
    <w:rsid w:val="00C3694E"/>
    <w:rsid w:val="00C3705A"/>
    <w:rsid w:val="00C37520"/>
    <w:rsid w:val="00C37C94"/>
    <w:rsid w:val="00C402E5"/>
    <w:rsid w:val="00C40687"/>
    <w:rsid w:val="00C4124B"/>
    <w:rsid w:val="00C412B1"/>
    <w:rsid w:val="00C41B8C"/>
    <w:rsid w:val="00C42640"/>
    <w:rsid w:val="00C42E92"/>
    <w:rsid w:val="00C431C0"/>
    <w:rsid w:val="00C43524"/>
    <w:rsid w:val="00C436A3"/>
    <w:rsid w:val="00C45167"/>
    <w:rsid w:val="00C45FDA"/>
    <w:rsid w:val="00C46C5F"/>
    <w:rsid w:val="00C46EC2"/>
    <w:rsid w:val="00C51037"/>
    <w:rsid w:val="00C51114"/>
    <w:rsid w:val="00C52B77"/>
    <w:rsid w:val="00C52CFE"/>
    <w:rsid w:val="00C5324E"/>
    <w:rsid w:val="00C539DD"/>
    <w:rsid w:val="00C53C25"/>
    <w:rsid w:val="00C53F15"/>
    <w:rsid w:val="00C54362"/>
    <w:rsid w:val="00C60194"/>
    <w:rsid w:val="00C60381"/>
    <w:rsid w:val="00C6047D"/>
    <w:rsid w:val="00C6077B"/>
    <w:rsid w:val="00C60A5F"/>
    <w:rsid w:val="00C61C17"/>
    <w:rsid w:val="00C622CA"/>
    <w:rsid w:val="00C62346"/>
    <w:rsid w:val="00C62A58"/>
    <w:rsid w:val="00C63062"/>
    <w:rsid w:val="00C63676"/>
    <w:rsid w:val="00C63E44"/>
    <w:rsid w:val="00C6401B"/>
    <w:rsid w:val="00C64715"/>
    <w:rsid w:val="00C65607"/>
    <w:rsid w:val="00C666EF"/>
    <w:rsid w:val="00C66D05"/>
    <w:rsid w:val="00C67156"/>
    <w:rsid w:val="00C677F0"/>
    <w:rsid w:val="00C67EFD"/>
    <w:rsid w:val="00C67FA6"/>
    <w:rsid w:val="00C70CDE"/>
    <w:rsid w:val="00C7107E"/>
    <w:rsid w:val="00C71084"/>
    <w:rsid w:val="00C72BD5"/>
    <w:rsid w:val="00C72D72"/>
    <w:rsid w:val="00C73090"/>
    <w:rsid w:val="00C7336A"/>
    <w:rsid w:val="00C73D6E"/>
    <w:rsid w:val="00C743C8"/>
    <w:rsid w:val="00C754FA"/>
    <w:rsid w:val="00C80168"/>
    <w:rsid w:val="00C817E8"/>
    <w:rsid w:val="00C81AF1"/>
    <w:rsid w:val="00C822EB"/>
    <w:rsid w:val="00C82660"/>
    <w:rsid w:val="00C830DB"/>
    <w:rsid w:val="00C83B65"/>
    <w:rsid w:val="00C86E6B"/>
    <w:rsid w:val="00C877FC"/>
    <w:rsid w:val="00C8786F"/>
    <w:rsid w:val="00C87ABD"/>
    <w:rsid w:val="00C90301"/>
    <w:rsid w:val="00C90F73"/>
    <w:rsid w:val="00C91752"/>
    <w:rsid w:val="00C91F4C"/>
    <w:rsid w:val="00C9202B"/>
    <w:rsid w:val="00C92BDE"/>
    <w:rsid w:val="00C92C41"/>
    <w:rsid w:val="00C93819"/>
    <w:rsid w:val="00C94986"/>
    <w:rsid w:val="00C96798"/>
    <w:rsid w:val="00C97356"/>
    <w:rsid w:val="00CA08B3"/>
    <w:rsid w:val="00CA0F89"/>
    <w:rsid w:val="00CA14C6"/>
    <w:rsid w:val="00CA14E1"/>
    <w:rsid w:val="00CA33DE"/>
    <w:rsid w:val="00CA49DC"/>
    <w:rsid w:val="00CA4D1B"/>
    <w:rsid w:val="00CA6490"/>
    <w:rsid w:val="00CA69DA"/>
    <w:rsid w:val="00CB0737"/>
    <w:rsid w:val="00CB0C96"/>
    <w:rsid w:val="00CB10B2"/>
    <w:rsid w:val="00CB1AB7"/>
    <w:rsid w:val="00CB2071"/>
    <w:rsid w:val="00CB2957"/>
    <w:rsid w:val="00CB2DF4"/>
    <w:rsid w:val="00CB34E0"/>
    <w:rsid w:val="00CB3C59"/>
    <w:rsid w:val="00CB4AF4"/>
    <w:rsid w:val="00CB5744"/>
    <w:rsid w:val="00CB6252"/>
    <w:rsid w:val="00CB6588"/>
    <w:rsid w:val="00CB69F4"/>
    <w:rsid w:val="00CB7187"/>
    <w:rsid w:val="00CB778D"/>
    <w:rsid w:val="00CC06B0"/>
    <w:rsid w:val="00CC08D0"/>
    <w:rsid w:val="00CC09A5"/>
    <w:rsid w:val="00CC15E8"/>
    <w:rsid w:val="00CC2ECA"/>
    <w:rsid w:val="00CC3283"/>
    <w:rsid w:val="00CC375F"/>
    <w:rsid w:val="00CC3C05"/>
    <w:rsid w:val="00CC4215"/>
    <w:rsid w:val="00CC4873"/>
    <w:rsid w:val="00CC52E9"/>
    <w:rsid w:val="00CC559E"/>
    <w:rsid w:val="00CC607F"/>
    <w:rsid w:val="00CC6F1D"/>
    <w:rsid w:val="00CC71B3"/>
    <w:rsid w:val="00CC745B"/>
    <w:rsid w:val="00CD02C6"/>
    <w:rsid w:val="00CD03F5"/>
    <w:rsid w:val="00CD05A2"/>
    <w:rsid w:val="00CD0D2A"/>
    <w:rsid w:val="00CD285D"/>
    <w:rsid w:val="00CD2F91"/>
    <w:rsid w:val="00CD32F2"/>
    <w:rsid w:val="00CD3557"/>
    <w:rsid w:val="00CD3719"/>
    <w:rsid w:val="00CD4D81"/>
    <w:rsid w:val="00CD521B"/>
    <w:rsid w:val="00CD5434"/>
    <w:rsid w:val="00CD5B4A"/>
    <w:rsid w:val="00CD60D0"/>
    <w:rsid w:val="00CD63C4"/>
    <w:rsid w:val="00CD7BE2"/>
    <w:rsid w:val="00CE01CF"/>
    <w:rsid w:val="00CE1089"/>
    <w:rsid w:val="00CE1626"/>
    <w:rsid w:val="00CE2A95"/>
    <w:rsid w:val="00CE3CB2"/>
    <w:rsid w:val="00CE3D3F"/>
    <w:rsid w:val="00CE3DC7"/>
    <w:rsid w:val="00CE5266"/>
    <w:rsid w:val="00CE527C"/>
    <w:rsid w:val="00CE5895"/>
    <w:rsid w:val="00CE6A06"/>
    <w:rsid w:val="00CE72E7"/>
    <w:rsid w:val="00CF0372"/>
    <w:rsid w:val="00CF0E6A"/>
    <w:rsid w:val="00CF280D"/>
    <w:rsid w:val="00CF2C6A"/>
    <w:rsid w:val="00CF4EB1"/>
    <w:rsid w:val="00CF59F9"/>
    <w:rsid w:val="00CF6B97"/>
    <w:rsid w:val="00CF76B0"/>
    <w:rsid w:val="00D00C7C"/>
    <w:rsid w:val="00D01C01"/>
    <w:rsid w:val="00D02488"/>
    <w:rsid w:val="00D03785"/>
    <w:rsid w:val="00D041CB"/>
    <w:rsid w:val="00D04F6B"/>
    <w:rsid w:val="00D0502A"/>
    <w:rsid w:val="00D06C1A"/>
    <w:rsid w:val="00D06EBF"/>
    <w:rsid w:val="00D0746D"/>
    <w:rsid w:val="00D07609"/>
    <w:rsid w:val="00D076C2"/>
    <w:rsid w:val="00D0784B"/>
    <w:rsid w:val="00D07A2D"/>
    <w:rsid w:val="00D10133"/>
    <w:rsid w:val="00D10490"/>
    <w:rsid w:val="00D10524"/>
    <w:rsid w:val="00D10754"/>
    <w:rsid w:val="00D10BD0"/>
    <w:rsid w:val="00D10C15"/>
    <w:rsid w:val="00D119E1"/>
    <w:rsid w:val="00D11DBE"/>
    <w:rsid w:val="00D124B1"/>
    <w:rsid w:val="00D143DB"/>
    <w:rsid w:val="00D149D3"/>
    <w:rsid w:val="00D1506A"/>
    <w:rsid w:val="00D156E7"/>
    <w:rsid w:val="00D169D2"/>
    <w:rsid w:val="00D1799A"/>
    <w:rsid w:val="00D17C77"/>
    <w:rsid w:val="00D17CCC"/>
    <w:rsid w:val="00D17CD2"/>
    <w:rsid w:val="00D17E25"/>
    <w:rsid w:val="00D207BA"/>
    <w:rsid w:val="00D210DE"/>
    <w:rsid w:val="00D211FF"/>
    <w:rsid w:val="00D2208C"/>
    <w:rsid w:val="00D22192"/>
    <w:rsid w:val="00D22CFA"/>
    <w:rsid w:val="00D24841"/>
    <w:rsid w:val="00D25A2A"/>
    <w:rsid w:val="00D26AC1"/>
    <w:rsid w:val="00D26ADE"/>
    <w:rsid w:val="00D27386"/>
    <w:rsid w:val="00D279C7"/>
    <w:rsid w:val="00D30258"/>
    <w:rsid w:val="00D31552"/>
    <w:rsid w:val="00D31CA6"/>
    <w:rsid w:val="00D31FD0"/>
    <w:rsid w:val="00D320C5"/>
    <w:rsid w:val="00D32783"/>
    <w:rsid w:val="00D33295"/>
    <w:rsid w:val="00D33B43"/>
    <w:rsid w:val="00D343D7"/>
    <w:rsid w:val="00D34B97"/>
    <w:rsid w:val="00D35CC5"/>
    <w:rsid w:val="00D37132"/>
    <w:rsid w:val="00D37732"/>
    <w:rsid w:val="00D37B45"/>
    <w:rsid w:val="00D40408"/>
    <w:rsid w:val="00D416C2"/>
    <w:rsid w:val="00D41D05"/>
    <w:rsid w:val="00D425A0"/>
    <w:rsid w:val="00D42C4E"/>
    <w:rsid w:val="00D4372F"/>
    <w:rsid w:val="00D43A46"/>
    <w:rsid w:val="00D43BE4"/>
    <w:rsid w:val="00D44660"/>
    <w:rsid w:val="00D474BC"/>
    <w:rsid w:val="00D542E1"/>
    <w:rsid w:val="00D54DD8"/>
    <w:rsid w:val="00D54E94"/>
    <w:rsid w:val="00D55D43"/>
    <w:rsid w:val="00D55E37"/>
    <w:rsid w:val="00D5650B"/>
    <w:rsid w:val="00D56935"/>
    <w:rsid w:val="00D56BAC"/>
    <w:rsid w:val="00D571EC"/>
    <w:rsid w:val="00D57D8B"/>
    <w:rsid w:val="00D6039E"/>
    <w:rsid w:val="00D60466"/>
    <w:rsid w:val="00D60C7F"/>
    <w:rsid w:val="00D60DD2"/>
    <w:rsid w:val="00D6112D"/>
    <w:rsid w:val="00D6156C"/>
    <w:rsid w:val="00D616B2"/>
    <w:rsid w:val="00D61EB1"/>
    <w:rsid w:val="00D634B0"/>
    <w:rsid w:val="00D647B2"/>
    <w:rsid w:val="00D64A0E"/>
    <w:rsid w:val="00D64DA5"/>
    <w:rsid w:val="00D66BB2"/>
    <w:rsid w:val="00D674F2"/>
    <w:rsid w:val="00D67BE4"/>
    <w:rsid w:val="00D70C11"/>
    <w:rsid w:val="00D70D37"/>
    <w:rsid w:val="00D70E93"/>
    <w:rsid w:val="00D71008"/>
    <w:rsid w:val="00D710F4"/>
    <w:rsid w:val="00D71CBB"/>
    <w:rsid w:val="00D74956"/>
    <w:rsid w:val="00D74FFE"/>
    <w:rsid w:val="00D75CE5"/>
    <w:rsid w:val="00D760C8"/>
    <w:rsid w:val="00D77093"/>
    <w:rsid w:val="00D77818"/>
    <w:rsid w:val="00D77FA2"/>
    <w:rsid w:val="00D8139C"/>
    <w:rsid w:val="00D822F3"/>
    <w:rsid w:val="00D843A6"/>
    <w:rsid w:val="00D84CB9"/>
    <w:rsid w:val="00D851EB"/>
    <w:rsid w:val="00D85C22"/>
    <w:rsid w:val="00D8719D"/>
    <w:rsid w:val="00D8732A"/>
    <w:rsid w:val="00D87553"/>
    <w:rsid w:val="00D87C14"/>
    <w:rsid w:val="00D87C78"/>
    <w:rsid w:val="00D87FB5"/>
    <w:rsid w:val="00D908F8"/>
    <w:rsid w:val="00D90A11"/>
    <w:rsid w:val="00D90E76"/>
    <w:rsid w:val="00D91A77"/>
    <w:rsid w:val="00D921AA"/>
    <w:rsid w:val="00D923C1"/>
    <w:rsid w:val="00D92CDC"/>
    <w:rsid w:val="00D94000"/>
    <w:rsid w:val="00D9435C"/>
    <w:rsid w:val="00D9502B"/>
    <w:rsid w:val="00D95951"/>
    <w:rsid w:val="00D95DF3"/>
    <w:rsid w:val="00D9605C"/>
    <w:rsid w:val="00D965A3"/>
    <w:rsid w:val="00D96F02"/>
    <w:rsid w:val="00DA00AC"/>
    <w:rsid w:val="00DA07DD"/>
    <w:rsid w:val="00DA0C3C"/>
    <w:rsid w:val="00DA2C4A"/>
    <w:rsid w:val="00DA3C9E"/>
    <w:rsid w:val="00DA437D"/>
    <w:rsid w:val="00DA47B5"/>
    <w:rsid w:val="00DA51FC"/>
    <w:rsid w:val="00DA54C0"/>
    <w:rsid w:val="00DA55FE"/>
    <w:rsid w:val="00DA680E"/>
    <w:rsid w:val="00DA7267"/>
    <w:rsid w:val="00DA7C32"/>
    <w:rsid w:val="00DA7C70"/>
    <w:rsid w:val="00DB1221"/>
    <w:rsid w:val="00DB16AB"/>
    <w:rsid w:val="00DB20CB"/>
    <w:rsid w:val="00DB221B"/>
    <w:rsid w:val="00DB31FD"/>
    <w:rsid w:val="00DB3A7E"/>
    <w:rsid w:val="00DB3AE3"/>
    <w:rsid w:val="00DB7DA0"/>
    <w:rsid w:val="00DC02C4"/>
    <w:rsid w:val="00DC08FE"/>
    <w:rsid w:val="00DC2E98"/>
    <w:rsid w:val="00DC2F23"/>
    <w:rsid w:val="00DC3227"/>
    <w:rsid w:val="00DC3585"/>
    <w:rsid w:val="00DC4E3F"/>
    <w:rsid w:val="00DC4FDB"/>
    <w:rsid w:val="00DC5053"/>
    <w:rsid w:val="00DC571D"/>
    <w:rsid w:val="00DC5DD8"/>
    <w:rsid w:val="00DC6848"/>
    <w:rsid w:val="00DD0426"/>
    <w:rsid w:val="00DD051B"/>
    <w:rsid w:val="00DD0563"/>
    <w:rsid w:val="00DD0E2A"/>
    <w:rsid w:val="00DD2073"/>
    <w:rsid w:val="00DD23B0"/>
    <w:rsid w:val="00DD29FC"/>
    <w:rsid w:val="00DD2B2B"/>
    <w:rsid w:val="00DD31CF"/>
    <w:rsid w:val="00DD3411"/>
    <w:rsid w:val="00DD3422"/>
    <w:rsid w:val="00DD3C11"/>
    <w:rsid w:val="00DD4517"/>
    <w:rsid w:val="00DD46C9"/>
    <w:rsid w:val="00DD4AC3"/>
    <w:rsid w:val="00DD51F1"/>
    <w:rsid w:val="00DD5239"/>
    <w:rsid w:val="00DD6103"/>
    <w:rsid w:val="00DD66D7"/>
    <w:rsid w:val="00DD6860"/>
    <w:rsid w:val="00DD7163"/>
    <w:rsid w:val="00DD7589"/>
    <w:rsid w:val="00DD7CEC"/>
    <w:rsid w:val="00DD7E0B"/>
    <w:rsid w:val="00DE01FF"/>
    <w:rsid w:val="00DE069E"/>
    <w:rsid w:val="00DE0885"/>
    <w:rsid w:val="00DE0B52"/>
    <w:rsid w:val="00DE0CF9"/>
    <w:rsid w:val="00DE20EB"/>
    <w:rsid w:val="00DE22B3"/>
    <w:rsid w:val="00DE234A"/>
    <w:rsid w:val="00DE29AE"/>
    <w:rsid w:val="00DE32E4"/>
    <w:rsid w:val="00DE42DB"/>
    <w:rsid w:val="00DE5328"/>
    <w:rsid w:val="00DE5388"/>
    <w:rsid w:val="00DE5726"/>
    <w:rsid w:val="00DE7C19"/>
    <w:rsid w:val="00DE7C65"/>
    <w:rsid w:val="00DF028B"/>
    <w:rsid w:val="00DF0C83"/>
    <w:rsid w:val="00DF1FF6"/>
    <w:rsid w:val="00DF2342"/>
    <w:rsid w:val="00DF2B16"/>
    <w:rsid w:val="00DF352F"/>
    <w:rsid w:val="00DF3A71"/>
    <w:rsid w:val="00DF3E85"/>
    <w:rsid w:val="00DF4B92"/>
    <w:rsid w:val="00DF5060"/>
    <w:rsid w:val="00DF51E7"/>
    <w:rsid w:val="00DF5A70"/>
    <w:rsid w:val="00DF6B98"/>
    <w:rsid w:val="00E010C3"/>
    <w:rsid w:val="00E018FD"/>
    <w:rsid w:val="00E02130"/>
    <w:rsid w:val="00E021DB"/>
    <w:rsid w:val="00E02575"/>
    <w:rsid w:val="00E02C55"/>
    <w:rsid w:val="00E02CD4"/>
    <w:rsid w:val="00E03340"/>
    <w:rsid w:val="00E036A3"/>
    <w:rsid w:val="00E03C84"/>
    <w:rsid w:val="00E0439B"/>
    <w:rsid w:val="00E04CB4"/>
    <w:rsid w:val="00E05A3C"/>
    <w:rsid w:val="00E072CE"/>
    <w:rsid w:val="00E0745E"/>
    <w:rsid w:val="00E07F42"/>
    <w:rsid w:val="00E10746"/>
    <w:rsid w:val="00E112B8"/>
    <w:rsid w:val="00E12CBA"/>
    <w:rsid w:val="00E12E82"/>
    <w:rsid w:val="00E130A0"/>
    <w:rsid w:val="00E13D95"/>
    <w:rsid w:val="00E1438E"/>
    <w:rsid w:val="00E159C1"/>
    <w:rsid w:val="00E15D5D"/>
    <w:rsid w:val="00E15E9B"/>
    <w:rsid w:val="00E16900"/>
    <w:rsid w:val="00E20B57"/>
    <w:rsid w:val="00E20BAD"/>
    <w:rsid w:val="00E20F63"/>
    <w:rsid w:val="00E214C0"/>
    <w:rsid w:val="00E2166E"/>
    <w:rsid w:val="00E21E64"/>
    <w:rsid w:val="00E23A3C"/>
    <w:rsid w:val="00E246D2"/>
    <w:rsid w:val="00E247B5"/>
    <w:rsid w:val="00E2483A"/>
    <w:rsid w:val="00E253AE"/>
    <w:rsid w:val="00E2543C"/>
    <w:rsid w:val="00E256ED"/>
    <w:rsid w:val="00E25820"/>
    <w:rsid w:val="00E25CB5"/>
    <w:rsid w:val="00E25F36"/>
    <w:rsid w:val="00E2629C"/>
    <w:rsid w:val="00E27050"/>
    <w:rsid w:val="00E275C3"/>
    <w:rsid w:val="00E27E96"/>
    <w:rsid w:val="00E30294"/>
    <w:rsid w:val="00E30B4C"/>
    <w:rsid w:val="00E3119D"/>
    <w:rsid w:val="00E31F50"/>
    <w:rsid w:val="00E31FA5"/>
    <w:rsid w:val="00E337A7"/>
    <w:rsid w:val="00E33D0A"/>
    <w:rsid w:val="00E34106"/>
    <w:rsid w:val="00E343E6"/>
    <w:rsid w:val="00E34CD9"/>
    <w:rsid w:val="00E351C9"/>
    <w:rsid w:val="00E361FC"/>
    <w:rsid w:val="00E365D8"/>
    <w:rsid w:val="00E371E3"/>
    <w:rsid w:val="00E37B13"/>
    <w:rsid w:val="00E37BC2"/>
    <w:rsid w:val="00E37E36"/>
    <w:rsid w:val="00E40BC9"/>
    <w:rsid w:val="00E4124F"/>
    <w:rsid w:val="00E42023"/>
    <w:rsid w:val="00E438D2"/>
    <w:rsid w:val="00E448FD"/>
    <w:rsid w:val="00E44BFB"/>
    <w:rsid w:val="00E4613F"/>
    <w:rsid w:val="00E46329"/>
    <w:rsid w:val="00E463F2"/>
    <w:rsid w:val="00E46E8D"/>
    <w:rsid w:val="00E46FFA"/>
    <w:rsid w:val="00E4797B"/>
    <w:rsid w:val="00E50820"/>
    <w:rsid w:val="00E51327"/>
    <w:rsid w:val="00E513B9"/>
    <w:rsid w:val="00E529EE"/>
    <w:rsid w:val="00E52E20"/>
    <w:rsid w:val="00E53A9D"/>
    <w:rsid w:val="00E543D1"/>
    <w:rsid w:val="00E54427"/>
    <w:rsid w:val="00E55407"/>
    <w:rsid w:val="00E55BDF"/>
    <w:rsid w:val="00E55CF0"/>
    <w:rsid w:val="00E55F14"/>
    <w:rsid w:val="00E561A0"/>
    <w:rsid w:val="00E56863"/>
    <w:rsid w:val="00E5700B"/>
    <w:rsid w:val="00E57232"/>
    <w:rsid w:val="00E5781B"/>
    <w:rsid w:val="00E611C6"/>
    <w:rsid w:val="00E61279"/>
    <w:rsid w:val="00E618ED"/>
    <w:rsid w:val="00E619D8"/>
    <w:rsid w:val="00E61CD5"/>
    <w:rsid w:val="00E624ED"/>
    <w:rsid w:val="00E62A17"/>
    <w:rsid w:val="00E62E61"/>
    <w:rsid w:val="00E6303F"/>
    <w:rsid w:val="00E634A6"/>
    <w:rsid w:val="00E637FB"/>
    <w:rsid w:val="00E63B48"/>
    <w:rsid w:val="00E641BF"/>
    <w:rsid w:val="00E64363"/>
    <w:rsid w:val="00E655BC"/>
    <w:rsid w:val="00E65F23"/>
    <w:rsid w:val="00E6626F"/>
    <w:rsid w:val="00E67200"/>
    <w:rsid w:val="00E70203"/>
    <w:rsid w:val="00E702D4"/>
    <w:rsid w:val="00E70A00"/>
    <w:rsid w:val="00E70A54"/>
    <w:rsid w:val="00E70C88"/>
    <w:rsid w:val="00E71132"/>
    <w:rsid w:val="00E711E6"/>
    <w:rsid w:val="00E712FB"/>
    <w:rsid w:val="00E7193D"/>
    <w:rsid w:val="00E71FDB"/>
    <w:rsid w:val="00E727D7"/>
    <w:rsid w:val="00E73A78"/>
    <w:rsid w:val="00E73AE6"/>
    <w:rsid w:val="00E741AC"/>
    <w:rsid w:val="00E7480D"/>
    <w:rsid w:val="00E74D38"/>
    <w:rsid w:val="00E754BA"/>
    <w:rsid w:val="00E7650B"/>
    <w:rsid w:val="00E76716"/>
    <w:rsid w:val="00E77038"/>
    <w:rsid w:val="00E77417"/>
    <w:rsid w:val="00E803A2"/>
    <w:rsid w:val="00E80888"/>
    <w:rsid w:val="00E808A6"/>
    <w:rsid w:val="00E80A80"/>
    <w:rsid w:val="00E81CF6"/>
    <w:rsid w:val="00E8363A"/>
    <w:rsid w:val="00E838A3"/>
    <w:rsid w:val="00E83E0B"/>
    <w:rsid w:val="00E847A6"/>
    <w:rsid w:val="00E84850"/>
    <w:rsid w:val="00E858DE"/>
    <w:rsid w:val="00E85B97"/>
    <w:rsid w:val="00E85E66"/>
    <w:rsid w:val="00E863EF"/>
    <w:rsid w:val="00E86568"/>
    <w:rsid w:val="00E867A5"/>
    <w:rsid w:val="00E90251"/>
    <w:rsid w:val="00E9117A"/>
    <w:rsid w:val="00E91A17"/>
    <w:rsid w:val="00E91BDC"/>
    <w:rsid w:val="00E91D00"/>
    <w:rsid w:val="00E91E4E"/>
    <w:rsid w:val="00E91E9E"/>
    <w:rsid w:val="00E92F9A"/>
    <w:rsid w:val="00E935C2"/>
    <w:rsid w:val="00E93BB4"/>
    <w:rsid w:val="00E94089"/>
    <w:rsid w:val="00E944D0"/>
    <w:rsid w:val="00E948CF"/>
    <w:rsid w:val="00E949C7"/>
    <w:rsid w:val="00E94D2E"/>
    <w:rsid w:val="00E95EBC"/>
    <w:rsid w:val="00E96AE6"/>
    <w:rsid w:val="00E97024"/>
    <w:rsid w:val="00E97982"/>
    <w:rsid w:val="00E97C78"/>
    <w:rsid w:val="00E97C9D"/>
    <w:rsid w:val="00EA0201"/>
    <w:rsid w:val="00EA07FE"/>
    <w:rsid w:val="00EA0E12"/>
    <w:rsid w:val="00EA1156"/>
    <w:rsid w:val="00EA1922"/>
    <w:rsid w:val="00EA1E84"/>
    <w:rsid w:val="00EA2AD1"/>
    <w:rsid w:val="00EA363D"/>
    <w:rsid w:val="00EA3912"/>
    <w:rsid w:val="00EA3AE1"/>
    <w:rsid w:val="00EA4D7A"/>
    <w:rsid w:val="00EA5024"/>
    <w:rsid w:val="00EA7BDC"/>
    <w:rsid w:val="00EB064C"/>
    <w:rsid w:val="00EB086D"/>
    <w:rsid w:val="00EB0878"/>
    <w:rsid w:val="00EB0E2E"/>
    <w:rsid w:val="00EB167B"/>
    <w:rsid w:val="00EB18DE"/>
    <w:rsid w:val="00EB190B"/>
    <w:rsid w:val="00EB1D84"/>
    <w:rsid w:val="00EB1F3B"/>
    <w:rsid w:val="00EB23A2"/>
    <w:rsid w:val="00EB2572"/>
    <w:rsid w:val="00EB308D"/>
    <w:rsid w:val="00EB31AE"/>
    <w:rsid w:val="00EB33B0"/>
    <w:rsid w:val="00EB357F"/>
    <w:rsid w:val="00EB370F"/>
    <w:rsid w:val="00EB39FD"/>
    <w:rsid w:val="00EB3FB8"/>
    <w:rsid w:val="00EB4584"/>
    <w:rsid w:val="00EB476D"/>
    <w:rsid w:val="00EB5CB1"/>
    <w:rsid w:val="00EB5D54"/>
    <w:rsid w:val="00EB649E"/>
    <w:rsid w:val="00EB68C9"/>
    <w:rsid w:val="00EB73E3"/>
    <w:rsid w:val="00EB7AE3"/>
    <w:rsid w:val="00EC0480"/>
    <w:rsid w:val="00EC177F"/>
    <w:rsid w:val="00EC21B9"/>
    <w:rsid w:val="00EC36A8"/>
    <w:rsid w:val="00EC3D71"/>
    <w:rsid w:val="00EC5DA8"/>
    <w:rsid w:val="00EC5E52"/>
    <w:rsid w:val="00EC6185"/>
    <w:rsid w:val="00EC66E7"/>
    <w:rsid w:val="00EC6C3F"/>
    <w:rsid w:val="00EC7482"/>
    <w:rsid w:val="00EC76F7"/>
    <w:rsid w:val="00ED08F7"/>
    <w:rsid w:val="00ED1120"/>
    <w:rsid w:val="00ED14C1"/>
    <w:rsid w:val="00ED1CC9"/>
    <w:rsid w:val="00ED1EDF"/>
    <w:rsid w:val="00ED2445"/>
    <w:rsid w:val="00ED2BFD"/>
    <w:rsid w:val="00ED3F51"/>
    <w:rsid w:val="00ED45C3"/>
    <w:rsid w:val="00ED4697"/>
    <w:rsid w:val="00ED485F"/>
    <w:rsid w:val="00ED51CB"/>
    <w:rsid w:val="00ED562E"/>
    <w:rsid w:val="00ED571E"/>
    <w:rsid w:val="00ED6058"/>
    <w:rsid w:val="00ED617C"/>
    <w:rsid w:val="00ED6211"/>
    <w:rsid w:val="00ED66D1"/>
    <w:rsid w:val="00ED6A8D"/>
    <w:rsid w:val="00EE074E"/>
    <w:rsid w:val="00EE08BF"/>
    <w:rsid w:val="00EE0DCC"/>
    <w:rsid w:val="00EE2075"/>
    <w:rsid w:val="00EE2A44"/>
    <w:rsid w:val="00EE400C"/>
    <w:rsid w:val="00EE44A5"/>
    <w:rsid w:val="00EE44DC"/>
    <w:rsid w:val="00EE5138"/>
    <w:rsid w:val="00EE53B1"/>
    <w:rsid w:val="00EE56D9"/>
    <w:rsid w:val="00EE6BCB"/>
    <w:rsid w:val="00EE6E7E"/>
    <w:rsid w:val="00EE780F"/>
    <w:rsid w:val="00EF0D6E"/>
    <w:rsid w:val="00EF0F9B"/>
    <w:rsid w:val="00EF0FEE"/>
    <w:rsid w:val="00EF1150"/>
    <w:rsid w:val="00EF1F5D"/>
    <w:rsid w:val="00EF1F72"/>
    <w:rsid w:val="00EF3C97"/>
    <w:rsid w:val="00EF4B55"/>
    <w:rsid w:val="00EF4E8C"/>
    <w:rsid w:val="00EF535E"/>
    <w:rsid w:val="00EF5E33"/>
    <w:rsid w:val="00EF61AB"/>
    <w:rsid w:val="00EF67B8"/>
    <w:rsid w:val="00EF6F89"/>
    <w:rsid w:val="00EF7989"/>
    <w:rsid w:val="00EF7EFE"/>
    <w:rsid w:val="00F000CB"/>
    <w:rsid w:val="00F0116D"/>
    <w:rsid w:val="00F03BF5"/>
    <w:rsid w:val="00F04A44"/>
    <w:rsid w:val="00F052CB"/>
    <w:rsid w:val="00F0578F"/>
    <w:rsid w:val="00F058A3"/>
    <w:rsid w:val="00F059FD"/>
    <w:rsid w:val="00F0636C"/>
    <w:rsid w:val="00F06504"/>
    <w:rsid w:val="00F0666C"/>
    <w:rsid w:val="00F11467"/>
    <w:rsid w:val="00F12194"/>
    <w:rsid w:val="00F12769"/>
    <w:rsid w:val="00F12C40"/>
    <w:rsid w:val="00F12DFF"/>
    <w:rsid w:val="00F13457"/>
    <w:rsid w:val="00F13B21"/>
    <w:rsid w:val="00F147F8"/>
    <w:rsid w:val="00F16333"/>
    <w:rsid w:val="00F173DC"/>
    <w:rsid w:val="00F1748D"/>
    <w:rsid w:val="00F17DC3"/>
    <w:rsid w:val="00F20481"/>
    <w:rsid w:val="00F20C05"/>
    <w:rsid w:val="00F20C5F"/>
    <w:rsid w:val="00F20C7C"/>
    <w:rsid w:val="00F21222"/>
    <w:rsid w:val="00F2162B"/>
    <w:rsid w:val="00F22241"/>
    <w:rsid w:val="00F22A73"/>
    <w:rsid w:val="00F231C8"/>
    <w:rsid w:val="00F23796"/>
    <w:rsid w:val="00F2388F"/>
    <w:rsid w:val="00F238BC"/>
    <w:rsid w:val="00F262B5"/>
    <w:rsid w:val="00F264BA"/>
    <w:rsid w:val="00F27386"/>
    <w:rsid w:val="00F27E25"/>
    <w:rsid w:val="00F301B5"/>
    <w:rsid w:val="00F305F3"/>
    <w:rsid w:val="00F30C06"/>
    <w:rsid w:val="00F32075"/>
    <w:rsid w:val="00F3261B"/>
    <w:rsid w:val="00F32AEF"/>
    <w:rsid w:val="00F32B2A"/>
    <w:rsid w:val="00F33511"/>
    <w:rsid w:val="00F33799"/>
    <w:rsid w:val="00F33B0E"/>
    <w:rsid w:val="00F33E58"/>
    <w:rsid w:val="00F340F7"/>
    <w:rsid w:val="00F342AC"/>
    <w:rsid w:val="00F34666"/>
    <w:rsid w:val="00F34AB3"/>
    <w:rsid w:val="00F363FA"/>
    <w:rsid w:val="00F3641A"/>
    <w:rsid w:val="00F36F8D"/>
    <w:rsid w:val="00F37719"/>
    <w:rsid w:val="00F37A55"/>
    <w:rsid w:val="00F37BD5"/>
    <w:rsid w:val="00F37BDC"/>
    <w:rsid w:val="00F40331"/>
    <w:rsid w:val="00F40D57"/>
    <w:rsid w:val="00F42556"/>
    <w:rsid w:val="00F4289F"/>
    <w:rsid w:val="00F4427C"/>
    <w:rsid w:val="00F442AE"/>
    <w:rsid w:val="00F4433B"/>
    <w:rsid w:val="00F444AC"/>
    <w:rsid w:val="00F44C65"/>
    <w:rsid w:val="00F44FDC"/>
    <w:rsid w:val="00F45788"/>
    <w:rsid w:val="00F45FB1"/>
    <w:rsid w:val="00F462E2"/>
    <w:rsid w:val="00F47E4C"/>
    <w:rsid w:val="00F50A41"/>
    <w:rsid w:val="00F50C91"/>
    <w:rsid w:val="00F510AF"/>
    <w:rsid w:val="00F520D9"/>
    <w:rsid w:val="00F534B5"/>
    <w:rsid w:val="00F53D39"/>
    <w:rsid w:val="00F54480"/>
    <w:rsid w:val="00F54B08"/>
    <w:rsid w:val="00F55219"/>
    <w:rsid w:val="00F5628E"/>
    <w:rsid w:val="00F567DB"/>
    <w:rsid w:val="00F5762F"/>
    <w:rsid w:val="00F577D6"/>
    <w:rsid w:val="00F57933"/>
    <w:rsid w:val="00F60ADF"/>
    <w:rsid w:val="00F62171"/>
    <w:rsid w:val="00F624C0"/>
    <w:rsid w:val="00F62887"/>
    <w:rsid w:val="00F6326C"/>
    <w:rsid w:val="00F634C2"/>
    <w:rsid w:val="00F63B8C"/>
    <w:rsid w:val="00F64418"/>
    <w:rsid w:val="00F646F4"/>
    <w:rsid w:val="00F64D1D"/>
    <w:rsid w:val="00F65151"/>
    <w:rsid w:val="00F65A56"/>
    <w:rsid w:val="00F65BE8"/>
    <w:rsid w:val="00F65D3A"/>
    <w:rsid w:val="00F677DE"/>
    <w:rsid w:val="00F67994"/>
    <w:rsid w:val="00F72401"/>
    <w:rsid w:val="00F7244D"/>
    <w:rsid w:val="00F73006"/>
    <w:rsid w:val="00F73518"/>
    <w:rsid w:val="00F741EC"/>
    <w:rsid w:val="00F7441A"/>
    <w:rsid w:val="00F74AAA"/>
    <w:rsid w:val="00F7605C"/>
    <w:rsid w:val="00F76713"/>
    <w:rsid w:val="00F76887"/>
    <w:rsid w:val="00F76A7A"/>
    <w:rsid w:val="00F76F4E"/>
    <w:rsid w:val="00F77B1D"/>
    <w:rsid w:val="00F80F45"/>
    <w:rsid w:val="00F8173F"/>
    <w:rsid w:val="00F818BA"/>
    <w:rsid w:val="00F81C2E"/>
    <w:rsid w:val="00F827CD"/>
    <w:rsid w:val="00F83D85"/>
    <w:rsid w:val="00F8400D"/>
    <w:rsid w:val="00F84FD4"/>
    <w:rsid w:val="00F85030"/>
    <w:rsid w:val="00F87455"/>
    <w:rsid w:val="00F877C3"/>
    <w:rsid w:val="00F87FDD"/>
    <w:rsid w:val="00F9025E"/>
    <w:rsid w:val="00F90866"/>
    <w:rsid w:val="00F90FD5"/>
    <w:rsid w:val="00F915A2"/>
    <w:rsid w:val="00F91F4F"/>
    <w:rsid w:val="00F92434"/>
    <w:rsid w:val="00F93CAF"/>
    <w:rsid w:val="00F9495F"/>
    <w:rsid w:val="00F94A30"/>
    <w:rsid w:val="00F950A2"/>
    <w:rsid w:val="00F95C56"/>
    <w:rsid w:val="00F96C2B"/>
    <w:rsid w:val="00F97112"/>
    <w:rsid w:val="00FA11FB"/>
    <w:rsid w:val="00FA1204"/>
    <w:rsid w:val="00FA152E"/>
    <w:rsid w:val="00FA2003"/>
    <w:rsid w:val="00FA2947"/>
    <w:rsid w:val="00FA2BE9"/>
    <w:rsid w:val="00FA3233"/>
    <w:rsid w:val="00FA4055"/>
    <w:rsid w:val="00FA4077"/>
    <w:rsid w:val="00FA414C"/>
    <w:rsid w:val="00FA5E9F"/>
    <w:rsid w:val="00FA6216"/>
    <w:rsid w:val="00FA63A1"/>
    <w:rsid w:val="00FA70A5"/>
    <w:rsid w:val="00FA712E"/>
    <w:rsid w:val="00FA79F4"/>
    <w:rsid w:val="00FB018D"/>
    <w:rsid w:val="00FB102C"/>
    <w:rsid w:val="00FB130C"/>
    <w:rsid w:val="00FB147C"/>
    <w:rsid w:val="00FB1F92"/>
    <w:rsid w:val="00FB25BF"/>
    <w:rsid w:val="00FB27F6"/>
    <w:rsid w:val="00FB2981"/>
    <w:rsid w:val="00FB4143"/>
    <w:rsid w:val="00FB5133"/>
    <w:rsid w:val="00FB51DA"/>
    <w:rsid w:val="00FB5872"/>
    <w:rsid w:val="00FB619F"/>
    <w:rsid w:val="00FB659E"/>
    <w:rsid w:val="00FB6CD7"/>
    <w:rsid w:val="00FC0303"/>
    <w:rsid w:val="00FC100A"/>
    <w:rsid w:val="00FC2371"/>
    <w:rsid w:val="00FC2521"/>
    <w:rsid w:val="00FC2958"/>
    <w:rsid w:val="00FC3B51"/>
    <w:rsid w:val="00FC453A"/>
    <w:rsid w:val="00FC493F"/>
    <w:rsid w:val="00FC4C1C"/>
    <w:rsid w:val="00FC4D90"/>
    <w:rsid w:val="00FC5273"/>
    <w:rsid w:val="00FC5E39"/>
    <w:rsid w:val="00FC6A74"/>
    <w:rsid w:val="00FC6E28"/>
    <w:rsid w:val="00FC6E8C"/>
    <w:rsid w:val="00FC7594"/>
    <w:rsid w:val="00FC7FCD"/>
    <w:rsid w:val="00FC7FE4"/>
    <w:rsid w:val="00FD015F"/>
    <w:rsid w:val="00FD116F"/>
    <w:rsid w:val="00FD1493"/>
    <w:rsid w:val="00FD1F35"/>
    <w:rsid w:val="00FD200F"/>
    <w:rsid w:val="00FD286C"/>
    <w:rsid w:val="00FD3229"/>
    <w:rsid w:val="00FD43C8"/>
    <w:rsid w:val="00FD43F7"/>
    <w:rsid w:val="00FD5210"/>
    <w:rsid w:val="00FD5BD3"/>
    <w:rsid w:val="00FD605A"/>
    <w:rsid w:val="00FD655B"/>
    <w:rsid w:val="00FD6C5F"/>
    <w:rsid w:val="00FD7789"/>
    <w:rsid w:val="00FE006D"/>
    <w:rsid w:val="00FE134D"/>
    <w:rsid w:val="00FE13EA"/>
    <w:rsid w:val="00FE1400"/>
    <w:rsid w:val="00FE23D7"/>
    <w:rsid w:val="00FE286A"/>
    <w:rsid w:val="00FE425C"/>
    <w:rsid w:val="00FE474B"/>
    <w:rsid w:val="00FE4CAD"/>
    <w:rsid w:val="00FE4E4A"/>
    <w:rsid w:val="00FE4FFB"/>
    <w:rsid w:val="00FE5685"/>
    <w:rsid w:val="00FE5CD3"/>
    <w:rsid w:val="00FE5DC2"/>
    <w:rsid w:val="00FE7148"/>
    <w:rsid w:val="00FF0C1C"/>
    <w:rsid w:val="00FF0F3C"/>
    <w:rsid w:val="00FF1A0B"/>
    <w:rsid w:val="00FF284E"/>
    <w:rsid w:val="00FF2A73"/>
    <w:rsid w:val="00FF2B6F"/>
    <w:rsid w:val="00FF3490"/>
    <w:rsid w:val="00FF3C26"/>
    <w:rsid w:val="00FF52A6"/>
    <w:rsid w:val="00FF5509"/>
    <w:rsid w:val="00FF681D"/>
    <w:rsid w:val="00FF6CB7"/>
    <w:rsid w:val="00FF6D5E"/>
    <w:rsid w:val="00FF77EA"/>
    <w:rsid w:val="00FF7C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51C68B5"/>
  <w15:docId w15:val="{1B494621-D1B3-4FFC-91A0-D928C895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930"/>
    <w:pPr>
      <w:spacing w:after="120"/>
    </w:pPr>
    <w:rPr>
      <w:rFonts w:ascii="Times" w:eastAsia="Batang" w:hAnsi="Times"/>
      <w:sz w:val="24"/>
    </w:rPr>
  </w:style>
  <w:style w:type="paragraph" w:styleId="Overskrift1">
    <w:name w:val="heading 1"/>
    <w:basedOn w:val="Normal"/>
    <w:next w:val="Normal"/>
    <w:link w:val="Overskrift1Tegn"/>
    <w:qFormat/>
    <w:rsid w:val="005A0930"/>
    <w:pPr>
      <w:keepNext/>
      <w:keepLines/>
      <w:numPr>
        <w:numId w:val="73"/>
      </w:numPr>
      <w:spacing w:before="360" w:after="80" w:line="276" w:lineRule="auto"/>
      <w:outlineLvl w:val="0"/>
    </w:pPr>
    <w:rPr>
      <w:rFonts w:ascii="Arial" w:eastAsia="Times New Roman" w:hAnsi="Arial" w:cstheme="minorBidi"/>
      <w:b/>
      <w:kern w:val="28"/>
      <w:sz w:val="32"/>
      <w:szCs w:val="22"/>
    </w:rPr>
  </w:style>
  <w:style w:type="paragraph" w:styleId="Overskrift2">
    <w:name w:val="heading 2"/>
    <w:aliases w:val="Overskrift 2 Tegn Tegn,Overskrift 2 Tegn Tegn Tegn Tegn"/>
    <w:basedOn w:val="Normal"/>
    <w:next w:val="Normal"/>
    <w:link w:val="Overskrift2Tegn"/>
    <w:qFormat/>
    <w:rsid w:val="005A0930"/>
    <w:pPr>
      <w:keepNext/>
      <w:keepLines/>
      <w:numPr>
        <w:ilvl w:val="1"/>
        <w:numId w:val="73"/>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aliases w:val="Overskrift 3 Tegn Tegn Tegn Tegn"/>
    <w:basedOn w:val="Normal"/>
    <w:next w:val="Normal"/>
    <w:link w:val="Overskrift3Tegn"/>
    <w:qFormat/>
    <w:rsid w:val="005A0930"/>
    <w:pPr>
      <w:keepNext/>
      <w:keepLines/>
      <w:numPr>
        <w:ilvl w:val="2"/>
        <w:numId w:val="73"/>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5A0930"/>
    <w:pPr>
      <w:keepNext/>
      <w:keepLines/>
      <w:numPr>
        <w:ilvl w:val="3"/>
        <w:numId w:val="73"/>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5A0930"/>
    <w:pPr>
      <w:keepNext/>
      <w:numPr>
        <w:ilvl w:val="4"/>
        <w:numId w:val="73"/>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5A0930"/>
    <w:pPr>
      <w:numPr>
        <w:ilvl w:val="5"/>
        <w:numId w:val="2"/>
      </w:numPr>
      <w:spacing w:before="240" w:after="60"/>
      <w:outlineLvl w:val="5"/>
    </w:pPr>
    <w:rPr>
      <w:rFonts w:ascii="Arial" w:hAnsi="Arial"/>
      <w:i/>
    </w:rPr>
  </w:style>
  <w:style w:type="paragraph" w:styleId="Overskrift7">
    <w:name w:val="heading 7"/>
    <w:basedOn w:val="Normal"/>
    <w:next w:val="Normal"/>
    <w:link w:val="Overskrift7Tegn"/>
    <w:qFormat/>
    <w:rsid w:val="005A0930"/>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5A0930"/>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5A0930"/>
    <w:pPr>
      <w:numPr>
        <w:ilvl w:val="8"/>
        <w:numId w:val="2"/>
      </w:numPr>
      <w:spacing w:before="240" w:after="60"/>
      <w:outlineLvl w:val="8"/>
    </w:pPr>
    <w:rPr>
      <w:rFonts w:ascii="Arial" w:hAnsi="Arial"/>
      <w:i/>
      <w:sz w:val="22"/>
    </w:rPr>
  </w:style>
  <w:style w:type="character" w:default="1" w:styleId="Standardskriftforavsnitt">
    <w:name w:val="Default Paragraph Font"/>
    <w:uiPriority w:val="1"/>
    <w:semiHidden/>
    <w:unhideWhenUsed/>
    <w:rsid w:val="005A093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A0930"/>
  </w:style>
  <w:style w:type="character" w:customStyle="1" w:styleId="kursiv">
    <w:name w:val="kursiv"/>
    <w:basedOn w:val="Standardskriftforavsnitt"/>
    <w:rsid w:val="005A0930"/>
    <w:rPr>
      <w:i/>
    </w:rPr>
  </w:style>
  <w:style w:type="character" w:customStyle="1" w:styleId="halvfet">
    <w:name w:val="halvfet"/>
    <w:basedOn w:val="Standardskriftforavsnitt"/>
    <w:rsid w:val="005A0930"/>
    <w:rPr>
      <w:b/>
    </w:rPr>
  </w:style>
  <w:style w:type="paragraph" w:customStyle="1" w:styleId="avsnitt-tit">
    <w:name w:val="avsnitt-tit"/>
    <w:basedOn w:val="Normal"/>
    <w:next w:val="Normal"/>
    <w:link w:val="avsnitt-titTegn"/>
    <w:rsid w:val="00715919"/>
    <w:pPr>
      <w:spacing w:before="120" w:after="60"/>
    </w:pPr>
    <w:rPr>
      <w:i/>
    </w:rPr>
  </w:style>
  <w:style w:type="character" w:customStyle="1" w:styleId="sitat">
    <w:name w:val="sitat"/>
    <w:basedOn w:val="Standardskriftforavsnitt"/>
    <w:rsid w:val="00715919"/>
    <w:rPr>
      <w:spacing w:val="-12"/>
      <w:kern w:val="0"/>
    </w:rPr>
  </w:style>
  <w:style w:type="paragraph" w:customStyle="1" w:styleId="tabell-tit">
    <w:name w:val="tabell-tit"/>
    <w:basedOn w:val="Normal"/>
    <w:next w:val="Normal"/>
    <w:link w:val="tabell-titTegn"/>
    <w:rsid w:val="00715919"/>
    <w:rPr>
      <w:i/>
    </w:rPr>
  </w:style>
  <w:style w:type="paragraph" w:styleId="Undertittel">
    <w:name w:val="Subtitle"/>
    <w:basedOn w:val="Normal"/>
    <w:next w:val="Normal"/>
    <w:link w:val="UndertittelTegn"/>
    <w:qFormat/>
    <w:rsid w:val="005A0930"/>
    <w:pPr>
      <w:keepNext/>
      <w:keepLines/>
      <w:spacing w:before="360" w:line="276" w:lineRule="auto"/>
    </w:pPr>
    <w:rPr>
      <w:rFonts w:ascii="Arial" w:eastAsia="Times New Roman" w:hAnsi="Arial" w:cstheme="minorBidi"/>
      <w:b/>
      <w:spacing w:val="4"/>
      <w:sz w:val="28"/>
      <w:szCs w:val="22"/>
    </w:rPr>
  </w:style>
  <w:style w:type="paragraph" w:customStyle="1" w:styleId="underkap-tit">
    <w:name w:val="underkap-tit"/>
    <w:basedOn w:val="Normal"/>
    <w:next w:val="Normal"/>
    <w:rsid w:val="00715919"/>
    <w:rPr>
      <w:b/>
    </w:rPr>
  </w:style>
  <w:style w:type="paragraph" w:customStyle="1" w:styleId="heng-innrykk">
    <w:name w:val="heng-innrykk"/>
    <w:basedOn w:val="Normal"/>
    <w:next w:val="Normal"/>
    <w:rsid w:val="00715919"/>
    <w:pPr>
      <w:ind w:left="1418" w:hanging="1418"/>
    </w:pPr>
  </w:style>
  <w:style w:type="paragraph" w:customStyle="1" w:styleId="vedlegg-tit">
    <w:name w:val="vedlegg-tit"/>
    <w:basedOn w:val="Normal"/>
    <w:next w:val="Normal"/>
    <w:rsid w:val="005A0930"/>
    <w:pPr>
      <w:keepNext/>
      <w:spacing w:before="360" w:after="80" w:line="276" w:lineRule="auto"/>
      <w:jc w:val="center"/>
    </w:pPr>
    <w:rPr>
      <w:rFonts w:ascii="Arial" w:eastAsia="Times New Roman" w:hAnsi="Arial" w:cstheme="minorBidi"/>
      <w:b/>
      <w:spacing w:val="4"/>
      <w:sz w:val="28"/>
      <w:szCs w:val="22"/>
    </w:rPr>
  </w:style>
  <w:style w:type="paragraph" w:styleId="Liste">
    <w:name w:val="List"/>
    <w:basedOn w:val="Normal"/>
    <w:rsid w:val="005A0930"/>
    <w:pPr>
      <w:numPr>
        <w:numId w:val="30"/>
      </w:numPr>
      <w:contextualSpacing/>
    </w:pPr>
    <w:rPr>
      <w:rFonts w:ascii="Times New Roman" w:eastAsia="Times New Roman" w:hAnsi="Times New Roman" w:cstheme="minorBidi"/>
      <w:spacing w:val="4"/>
      <w:szCs w:val="22"/>
    </w:rPr>
  </w:style>
  <w:style w:type="paragraph" w:styleId="INNH1">
    <w:name w:val="toc 1"/>
    <w:basedOn w:val="Normal"/>
    <w:next w:val="Normal"/>
    <w:rsid w:val="005A0930"/>
    <w:pPr>
      <w:tabs>
        <w:tab w:val="right" w:pos="8306"/>
      </w:tabs>
      <w:spacing w:before="360"/>
    </w:pPr>
    <w:rPr>
      <w:rFonts w:ascii="Arial" w:hAnsi="Arial"/>
      <w:b/>
      <w:caps/>
    </w:rPr>
  </w:style>
  <w:style w:type="paragraph" w:customStyle="1" w:styleId="Uvedl-tit">
    <w:name w:val="Uvedl-tit"/>
    <w:basedOn w:val="Normal"/>
    <w:next w:val="Normal"/>
    <w:rsid w:val="00715919"/>
    <w:pPr>
      <w:spacing w:before="360" w:after="240"/>
      <w:jc w:val="center"/>
    </w:pPr>
    <w:rPr>
      <w:b/>
      <w:sz w:val="28"/>
    </w:rPr>
  </w:style>
  <w:style w:type="paragraph" w:customStyle="1" w:styleId="littlist-tit">
    <w:name w:val="littlist-tit"/>
    <w:basedOn w:val="Normal"/>
    <w:next w:val="Normal"/>
    <w:rsid w:val="00715919"/>
    <w:pPr>
      <w:spacing w:before="360" w:after="240"/>
      <w:jc w:val="center"/>
    </w:pPr>
    <w:rPr>
      <w:b/>
      <w:sz w:val="28"/>
    </w:rPr>
  </w:style>
  <w:style w:type="paragraph" w:customStyle="1" w:styleId="tit-ordforkl">
    <w:name w:val="tit-ordforkl"/>
    <w:basedOn w:val="Normal"/>
    <w:next w:val="Normal"/>
    <w:rsid w:val="00715919"/>
    <w:pPr>
      <w:spacing w:before="360" w:after="240"/>
      <w:jc w:val="center"/>
    </w:pPr>
    <w:rPr>
      <w:b/>
      <w:sz w:val="28"/>
    </w:rPr>
  </w:style>
  <w:style w:type="character" w:customStyle="1" w:styleId="skrift-hevet">
    <w:name w:val="skrift-hevet"/>
    <w:basedOn w:val="Standardskriftforavsnitt"/>
    <w:rsid w:val="005A0930"/>
    <w:rPr>
      <w:vertAlign w:val="superscript"/>
    </w:rPr>
  </w:style>
  <w:style w:type="character" w:customStyle="1" w:styleId="skrift-senket">
    <w:name w:val="skrift-senket"/>
    <w:basedOn w:val="Standardskriftforavsnitt"/>
    <w:rsid w:val="005A0930"/>
    <w:rPr>
      <w:vertAlign w:val="subscript"/>
    </w:rPr>
  </w:style>
  <w:style w:type="paragraph" w:customStyle="1" w:styleId="tittel-ramme">
    <w:name w:val="tittel-ramme"/>
    <w:basedOn w:val="Normal"/>
    <w:next w:val="Normal"/>
    <w:rsid w:val="005A0930"/>
    <w:pPr>
      <w:keepNext/>
      <w:keepLines/>
      <w:numPr>
        <w:ilvl w:val="7"/>
        <w:numId w:val="73"/>
      </w:numPr>
      <w:spacing w:before="360" w:after="80" w:line="276" w:lineRule="auto"/>
      <w:jc w:val="center"/>
    </w:pPr>
    <w:rPr>
      <w:rFonts w:ascii="Arial" w:eastAsia="Times New Roman" w:hAnsi="Arial" w:cstheme="minorBidi"/>
      <w:b/>
      <w:spacing w:val="4"/>
      <w:szCs w:val="22"/>
    </w:rPr>
  </w:style>
  <w:style w:type="paragraph" w:customStyle="1" w:styleId="dato">
    <w:name w:val="dato"/>
    <w:basedOn w:val="Normal"/>
    <w:next w:val="Normal"/>
    <w:rsid w:val="005A0930"/>
  </w:style>
  <w:style w:type="paragraph" w:customStyle="1" w:styleId="signatur">
    <w:name w:val="signatur"/>
    <w:basedOn w:val="Normal"/>
    <w:next w:val="Normal"/>
    <w:rsid w:val="005A0930"/>
  </w:style>
  <w:style w:type="paragraph" w:customStyle="1" w:styleId="figur-beskr">
    <w:name w:val="figur-beskr"/>
    <w:basedOn w:val="Normal"/>
    <w:next w:val="Normal"/>
    <w:rsid w:val="005A0930"/>
    <w:rPr>
      <w:i/>
    </w:rPr>
  </w:style>
  <w:style w:type="paragraph" w:customStyle="1" w:styleId="figur-tittel">
    <w:name w:val="figur-tittel"/>
    <w:basedOn w:val="Normal"/>
    <w:next w:val="Normal"/>
    <w:link w:val="figur-tittelTegn"/>
    <w:rsid w:val="005A0930"/>
    <w:pPr>
      <w:numPr>
        <w:ilvl w:val="5"/>
        <w:numId w:val="73"/>
      </w:numPr>
      <w:spacing w:line="276" w:lineRule="auto"/>
    </w:pPr>
    <w:rPr>
      <w:rFonts w:ascii="Arial" w:eastAsia="Times New Roman" w:hAnsi="Arial" w:cstheme="minorBidi"/>
      <w:spacing w:val="4"/>
      <w:szCs w:val="22"/>
    </w:rPr>
  </w:style>
  <w:style w:type="paragraph" w:customStyle="1" w:styleId="forfatter">
    <w:name w:val="forfatter"/>
    <w:basedOn w:val="Normal"/>
    <w:next w:val="Normal"/>
    <w:rsid w:val="005A0930"/>
    <w:pPr>
      <w:spacing w:before="240"/>
      <w:jc w:val="center"/>
    </w:pPr>
  </w:style>
  <w:style w:type="paragraph" w:customStyle="1" w:styleId="Kilde">
    <w:name w:val="Kilde"/>
    <w:basedOn w:val="Normal"/>
    <w:next w:val="Normal"/>
    <w:link w:val="KildeTegn"/>
    <w:rsid w:val="005A0930"/>
    <w:pPr>
      <w:spacing w:after="240"/>
    </w:pPr>
    <w:rPr>
      <w:sz w:val="20"/>
    </w:rPr>
  </w:style>
  <w:style w:type="paragraph" w:customStyle="1" w:styleId="tabell-noter">
    <w:name w:val="tabell-noter"/>
    <w:basedOn w:val="Normal"/>
    <w:next w:val="Normal"/>
    <w:link w:val="tabell-noterTegn"/>
    <w:rsid w:val="005A0930"/>
    <w:pPr>
      <w:tabs>
        <w:tab w:val="left" w:pos="284"/>
      </w:tabs>
      <w:spacing w:before="120"/>
      <w:contextualSpacing/>
    </w:pPr>
    <w:rPr>
      <w:rFonts w:cstheme="minorBidi"/>
      <w:sz w:val="20"/>
    </w:rPr>
  </w:style>
  <w:style w:type="paragraph" w:customStyle="1" w:styleId="vedlegg-nr">
    <w:name w:val="vedlegg-nr"/>
    <w:basedOn w:val="Normal"/>
    <w:next w:val="Normal"/>
    <w:rsid w:val="005A0930"/>
    <w:pPr>
      <w:keepNext/>
      <w:numPr>
        <w:numId w:val="14"/>
      </w:numPr>
      <w:spacing w:line="276" w:lineRule="auto"/>
    </w:pPr>
    <w:rPr>
      <w:rFonts w:ascii="Arial" w:eastAsia="Times New Roman" w:hAnsi="Arial" w:cstheme="minorBidi"/>
      <w:b/>
      <w:spacing w:val="4"/>
      <w:szCs w:val="22"/>
      <w:u w:val="single"/>
    </w:rPr>
  </w:style>
  <w:style w:type="paragraph" w:customStyle="1" w:styleId="Nou-nr">
    <w:name w:val="Nou-nr"/>
    <w:basedOn w:val="Normal"/>
    <w:next w:val="Normal"/>
    <w:rsid w:val="005A0930"/>
    <w:pPr>
      <w:jc w:val="center"/>
    </w:pPr>
    <w:rPr>
      <w:b/>
    </w:rPr>
  </w:style>
  <w:style w:type="paragraph" w:customStyle="1" w:styleId="Nou-tit">
    <w:name w:val="Nou-tit"/>
    <w:basedOn w:val="Normal"/>
    <w:next w:val="Normal"/>
    <w:rsid w:val="005A0930"/>
    <w:pPr>
      <w:spacing w:before="640" w:after="640" w:line="640" w:lineRule="exact"/>
      <w:jc w:val="center"/>
    </w:pPr>
    <w:rPr>
      <w:b/>
      <w:sz w:val="50"/>
    </w:rPr>
  </w:style>
  <w:style w:type="paragraph" w:customStyle="1" w:styleId="Nou-undertit">
    <w:name w:val="Nou-undertit"/>
    <w:basedOn w:val="Normal"/>
    <w:next w:val="Normal"/>
    <w:rsid w:val="005A0930"/>
    <w:pPr>
      <w:jc w:val="center"/>
    </w:pPr>
    <w:rPr>
      <w:i/>
      <w:sz w:val="32"/>
    </w:rPr>
  </w:style>
  <w:style w:type="paragraph" w:customStyle="1" w:styleId="oppnevnelse">
    <w:name w:val="oppnevnelse"/>
    <w:basedOn w:val="Normal"/>
    <w:next w:val="Normal"/>
    <w:rsid w:val="005A0930"/>
    <w:pPr>
      <w:jc w:val="center"/>
    </w:pPr>
    <w:rPr>
      <w:b/>
    </w:rPr>
  </w:style>
  <w:style w:type="paragraph" w:customStyle="1" w:styleId="Del-tittel">
    <w:name w:val="Del-tittel"/>
    <w:basedOn w:val="Normal"/>
    <w:next w:val="Normal"/>
    <w:link w:val="Del-tittelTegn"/>
    <w:rsid w:val="00715919"/>
    <w:pPr>
      <w:jc w:val="center"/>
    </w:pPr>
    <w:rPr>
      <w:i/>
      <w:sz w:val="44"/>
    </w:rPr>
  </w:style>
  <w:style w:type="paragraph" w:customStyle="1" w:styleId="tillmatr-tit">
    <w:name w:val="tillmatr-tit"/>
    <w:basedOn w:val="Normal"/>
    <w:next w:val="Normal"/>
    <w:rsid w:val="005A0930"/>
    <w:rPr>
      <w:i/>
      <w:sz w:val="28"/>
    </w:rPr>
  </w:style>
  <w:style w:type="paragraph" w:styleId="INNH2">
    <w:name w:val="toc 2"/>
    <w:basedOn w:val="Normal"/>
    <w:next w:val="Normal"/>
    <w:rsid w:val="005A0930"/>
    <w:pPr>
      <w:tabs>
        <w:tab w:val="right" w:pos="8306"/>
      </w:tabs>
      <w:spacing w:before="240"/>
      <w:ind w:left="200"/>
    </w:pPr>
    <w:rPr>
      <w:b/>
    </w:rPr>
  </w:style>
  <w:style w:type="paragraph" w:styleId="INNH3">
    <w:name w:val="toc 3"/>
    <w:basedOn w:val="Normal"/>
    <w:next w:val="Normal"/>
    <w:rsid w:val="005A0930"/>
    <w:pPr>
      <w:tabs>
        <w:tab w:val="right" w:pos="8306"/>
      </w:tabs>
      <w:ind w:left="400"/>
    </w:pPr>
  </w:style>
  <w:style w:type="paragraph" w:customStyle="1" w:styleId="Vedl-overs1">
    <w:name w:val="Vedl-overs 1"/>
    <w:basedOn w:val="Normal"/>
    <w:next w:val="Normal"/>
    <w:rsid w:val="00715919"/>
    <w:pPr>
      <w:ind w:left="720" w:hanging="720"/>
    </w:pPr>
    <w:rPr>
      <w:b/>
    </w:rPr>
  </w:style>
  <w:style w:type="paragraph" w:customStyle="1" w:styleId="oversend-tit">
    <w:name w:val="oversend-tit"/>
    <w:basedOn w:val="Normal"/>
    <w:next w:val="Normal"/>
    <w:rsid w:val="005A0930"/>
    <w:rPr>
      <w:i/>
      <w:sz w:val="28"/>
    </w:rPr>
  </w:style>
  <w:style w:type="paragraph" w:customStyle="1" w:styleId="Vedl-overs2">
    <w:name w:val="Vedl-overs 2"/>
    <w:basedOn w:val="Normal"/>
    <w:next w:val="Normal"/>
    <w:rsid w:val="00715919"/>
    <w:rPr>
      <w:b/>
    </w:rPr>
  </w:style>
  <w:style w:type="paragraph" w:customStyle="1" w:styleId="Vedl-overs3">
    <w:name w:val="Vedl-overs 3"/>
    <w:basedOn w:val="Normal"/>
    <w:next w:val="Normal"/>
    <w:rsid w:val="00715919"/>
    <w:rPr>
      <w:i/>
    </w:rPr>
  </w:style>
  <w:style w:type="paragraph" w:customStyle="1" w:styleId="Vedl-overs4">
    <w:name w:val="Vedl-overs 4"/>
    <w:basedOn w:val="Normal"/>
    <w:next w:val="Normal"/>
    <w:rsid w:val="00715919"/>
    <w:rPr>
      <w:i/>
    </w:rPr>
  </w:style>
  <w:style w:type="paragraph" w:customStyle="1" w:styleId="Vedl-overs5">
    <w:name w:val="Vedl-overs 5"/>
    <w:basedOn w:val="Normal"/>
    <w:next w:val="Normal"/>
    <w:rsid w:val="00715919"/>
    <w:rPr>
      <w:i/>
    </w:rPr>
  </w:style>
  <w:style w:type="paragraph" w:customStyle="1" w:styleId="Num-liste">
    <w:name w:val="Num-liste"/>
    <w:basedOn w:val="Normal"/>
    <w:rsid w:val="00715919"/>
    <w:pPr>
      <w:ind w:left="284" w:hanging="284"/>
    </w:pPr>
  </w:style>
  <w:style w:type="paragraph" w:customStyle="1" w:styleId="Komb-liste">
    <w:name w:val="Komb-liste"/>
    <w:basedOn w:val="Normal"/>
    <w:rsid w:val="00715919"/>
    <w:pPr>
      <w:numPr>
        <w:numId w:val="1"/>
      </w:numPr>
    </w:pPr>
  </w:style>
  <w:style w:type="paragraph" w:styleId="INNH4">
    <w:name w:val="toc 4"/>
    <w:basedOn w:val="Normal"/>
    <w:next w:val="Normal"/>
    <w:rsid w:val="005A0930"/>
    <w:pPr>
      <w:tabs>
        <w:tab w:val="right" w:pos="8306"/>
      </w:tabs>
      <w:ind w:left="600"/>
    </w:pPr>
  </w:style>
  <w:style w:type="paragraph" w:styleId="INNH5">
    <w:name w:val="toc 5"/>
    <w:basedOn w:val="Normal"/>
    <w:next w:val="Normal"/>
    <w:rsid w:val="005A0930"/>
    <w:pPr>
      <w:tabs>
        <w:tab w:val="right" w:pos="8306"/>
      </w:tabs>
      <w:ind w:left="800"/>
    </w:pPr>
  </w:style>
  <w:style w:type="paragraph" w:styleId="INNH6">
    <w:name w:val="toc 6"/>
    <w:basedOn w:val="Normal"/>
    <w:next w:val="Normal"/>
    <w:rsid w:val="005A0930"/>
    <w:pPr>
      <w:tabs>
        <w:tab w:val="right" w:pos="8306"/>
      </w:tabs>
      <w:ind w:left="1000"/>
    </w:pPr>
  </w:style>
  <w:style w:type="paragraph" w:styleId="INNH7">
    <w:name w:val="toc 7"/>
    <w:basedOn w:val="Normal"/>
    <w:next w:val="Normal"/>
    <w:rsid w:val="005A0930"/>
    <w:pPr>
      <w:tabs>
        <w:tab w:val="right" w:pos="8306"/>
      </w:tabs>
      <w:ind w:left="1200"/>
    </w:pPr>
  </w:style>
  <w:style w:type="paragraph" w:styleId="INNH8">
    <w:name w:val="toc 8"/>
    <w:basedOn w:val="Normal"/>
    <w:next w:val="Normal"/>
    <w:rsid w:val="005A0930"/>
    <w:pPr>
      <w:tabs>
        <w:tab w:val="right" w:pos="8306"/>
      </w:tabs>
      <w:ind w:left="1400"/>
    </w:pPr>
  </w:style>
  <w:style w:type="paragraph" w:styleId="INNH9">
    <w:name w:val="toc 9"/>
    <w:basedOn w:val="Normal"/>
    <w:next w:val="Normal"/>
    <w:rsid w:val="005A0930"/>
    <w:pPr>
      <w:tabs>
        <w:tab w:val="right" w:pos="8306"/>
      </w:tabs>
      <w:ind w:left="1600"/>
    </w:pPr>
  </w:style>
  <w:style w:type="paragraph" w:styleId="Liste2">
    <w:name w:val="List 2"/>
    <w:basedOn w:val="Normal"/>
    <w:rsid w:val="005A0930"/>
    <w:pPr>
      <w:numPr>
        <w:ilvl w:val="1"/>
        <w:numId w:val="30"/>
      </w:numPr>
      <w:spacing w:after="0" w:line="276" w:lineRule="auto"/>
    </w:pPr>
    <w:rPr>
      <w:rFonts w:ascii="Times New Roman" w:eastAsia="Times New Roman" w:hAnsi="Times New Roman" w:cstheme="minorBidi"/>
      <w:spacing w:val="4"/>
      <w:szCs w:val="22"/>
    </w:rPr>
  </w:style>
  <w:style w:type="paragraph" w:styleId="Liste3">
    <w:name w:val="List 3"/>
    <w:basedOn w:val="Normal"/>
    <w:rsid w:val="005A0930"/>
    <w:pPr>
      <w:numPr>
        <w:ilvl w:val="2"/>
        <w:numId w:val="30"/>
      </w:numPr>
      <w:spacing w:after="0" w:line="276" w:lineRule="auto"/>
    </w:pPr>
    <w:rPr>
      <w:rFonts w:ascii="Times New Roman" w:eastAsia="Times New Roman" w:hAnsi="Times New Roman" w:cstheme="minorBidi"/>
      <w:szCs w:val="22"/>
    </w:rPr>
  </w:style>
  <w:style w:type="paragraph" w:customStyle="1" w:styleId="Alfaliste0">
    <w:name w:val="Alfaliste"/>
    <w:basedOn w:val="Liste"/>
    <w:rsid w:val="00715919"/>
  </w:style>
  <w:style w:type="paragraph" w:customStyle="1" w:styleId="Alfaliste20">
    <w:name w:val="Alfaliste 2"/>
    <w:basedOn w:val="Alfaliste0"/>
    <w:rsid w:val="00715919"/>
    <w:pPr>
      <w:ind w:left="568"/>
    </w:pPr>
  </w:style>
  <w:style w:type="paragraph" w:styleId="Punktliste">
    <w:name w:val="List Bullet"/>
    <w:basedOn w:val="Normal"/>
    <w:rsid w:val="005A0930"/>
    <w:pPr>
      <w:ind w:left="283" w:hanging="283"/>
    </w:pPr>
  </w:style>
  <w:style w:type="paragraph" w:customStyle="1" w:styleId="alfaliste3">
    <w:name w:val="alfaliste 3"/>
    <w:basedOn w:val="Normal"/>
    <w:rsid w:val="005A0930"/>
    <w:pPr>
      <w:numPr>
        <w:ilvl w:val="2"/>
        <w:numId w:val="5"/>
      </w:numPr>
      <w:spacing w:after="0" w:line="276" w:lineRule="auto"/>
    </w:pPr>
    <w:rPr>
      <w:rFonts w:ascii="Times New Roman" w:eastAsia="Times New Roman" w:hAnsi="Times New Roman"/>
      <w:szCs w:val="22"/>
    </w:rPr>
  </w:style>
  <w:style w:type="paragraph" w:styleId="Liste4">
    <w:name w:val="List 4"/>
    <w:basedOn w:val="Normal"/>
    <w:rsid w:val="005A0930"/>
    <w:pPr>
      <w:numPr>
        <w:ilvl w:val="3"/>
        <w:numId w:val="30"/>
      </w:numPr>
      <w:spacing w:after="0" w:line="276" w:lineRule="auto"/>
    </w:pPr>
    <w:rPr>
      <w:rFonts w:ascii="Times New Roman" w:eastAsia="Times New Roman" w:hAnsi="Times New Roman" w:cstheme="minorBidi"/>
      <w:szCs w:val="22"/>
    </w:rPr>
  </w:style>
  <w:style w:type="paragraph" w:customStyle="1" w:styleId="romertallliste">
    <w:name w:val="romertall liste"/>
    <w:basedOn w:val="Normal"/>
    <w:rsid w:val="005A0930"/>
    <w:pPr>
      <w:numPr>
        <w:numId w:val="13"/>
      </w:numPr>
      <w:spacing w:after="0"/>
    </w:pPr>
    <w:rPr>
      <w:rFonts w:cstheme="minorBidi"/>
    </w:rPr>
  </w:style>
  <w:style w:type="paragraph" w:customStyle="1" w:styleId="romertallliste2">
    <w:name w:val="romertall liste 2"/>
    <w:basedOn w:val="Normal"/>
    <w:rsid w:val="005A0930"/>
    <w:pPr>
      <w:numPr>
        <w:ilvl w:val="1"/>
        <w:numId w:val="13"/>
      </w:numPr>
      <w:spacing w:after="0"/>
    </w:pPr>
  </w:style>
  <w:style w:type="paragraph" w:customStyle="1" w:styleId="romertallliste3">
    <w:name w:val="romertall liste 3"/>
    <w:basedOn w:val="Normal"/>
    <w:rsid w:val="005A0930"/>
    <w:pPr>
      <w:numPr>
        <w:ilvl w:val="2"/>
        <w:numId w:val="13"/>
      </w:numPr>
      <w:spacing w:after="0"/>
    </w:pPr>
  </w:style>
  <w:style w:type="character" w:customStyle="1" w:styleId="Overskrift1Tegn">
    <w:name w:val="Overskrift 1 Tegn"/>
    <w:basedOn w:val="Standardskriftforavsnitt"/>
    <w:link w:val="Overskrift1"/>
    <w:rsid w:val="005A0930"/>
    <w:rPr>
      <w:rFonts w:ascii="Arial" w:hAnsi="Arial" w:cstheme="minorBidi"/>
      <w:b/>
      <w:kern w:val="28"/>
      <w:sz w:val="32"/>
      <w:szCs w:val="22"/>
    </w:rPr>
  </w:style>
  <w:style w:type="character" w:customStyle="1" w:styleId="Overskrift2Tegn">
    <w:name w:val="Overskrift 2 Tegn"/>
    <w:aliases w:val="Overskrift 2 Tegn Tegn Tegn,Overskrift 2 Tegn Tegn Tegn Tegn Tegn1"/>
    <w:basedOn w:val="Standardskriftforavsnitt"/>
    <w:link w:val="Overskrift2"/>
    <w:rsid w:val="005A0930"/>
    <w:rPr>
      <w:rFonts w:ascii="Arial" w:hAnsi="Arial" w:cstheme="minorBidi"/>
      <w:b/>
      <w:spacing w:val="4"/>
      <w:sz w:val="28"/>
      <w:szCs w:val="22"/>
    </w:rPr>
  </w:style>
  <w:style w:type="character" w:customStyle="1" w:styleId="Overskrift3Tegn">
    <w:name w:val="Overskrift 3 Tegn"/>
    <w:aliases w:val="Overskrift 3 Tegn Tegn Tegn Tegn Tegn"/>
    <w:basedOn w:val="Standardskriftforavsnitt"/>
    <w:link w:val="Overskrift3"/>
    <w:rsid w:val="005A0930"/>
    <w:rPr>
      <w:rFonts w:ascii="Arial" w:hAnsi="Arial" w:cstheme="minorBidi"/>
      <w:b/>
      <w:sz w:val="24"/>
      <w:szCs w:val="22"/>
    </w:rPr>
  </w:style>
  <w:style w:type="character" w:customStyle="1" w:styleId="Overskrift4Tegn">
    <w:name w:val="Overskrift 4 Tegn"/>
    <w:basedOn w:val="Standardskriftforavsnitt"/>
    <w:link w:val="Overskrift4"/>
    <w:rsid w:val="005A0930"/>
    <w:rPr>
      <w:rFonts w:ascii="Arial" w:hAnsi="Arial" w:cstheme="minorBidi"/>
      <w:i/>
      <w:spacing w:val="4"/>
      <w:sz w:val="24"/>
      <w:szCs w:val="22"/>
    </w:rPr>
  </w:style>
  <w:style w:type="character" w:customStyle="1" w:styleId="Overskrift5Tegn">
    <w:name w:val="Overskrift 5 Tegn"/>
    <w:basedOn w:val="Standardskriftforavsnitt"/>
    <w:link w:val="Overskrift5"/>
    <w:rsid w:val="005A0930"/>
    <w:rPr>
      <w:rFonts w:ascii="Arial" w:hAnsi="Arial" w:cstheme="minorBidi"/>
      <w:i/>
      <w:sz w:val="24"/>
      <w:szCs w:val="22"/>
    </w:rPr>
  </w:style>
  <w:style w:type="character" w:customStyle="1" w:styleId="Overskrift6Tegn">
    <w:name w:val="Overskrift 6 Tegn"/>
    <w:basedOn w:val="Standardskriftforavsnitt"/>
    <w:link w:val="Overskrift6"/>
    <w:rsid w:val="005A0930"/>
    <w:rPr>
      <w:rFonts w:ascii="Arial" w:eastAsia="Batang" w:hAnsi="Arial"/>
      <w:i/>
      <w:sz w:val="24"/>
    </w:rPr>
  </w:style>
  <w:style w:type="character" w:customStyle="1" w:styleId="Overskrift7Tegn">
    <w:name w:val="Overskrift 7 Tegn"/>
    <w:basedOn w:val="Standardskriftforavsnitt"/>
    <w:link w:val="Overskrift7"/>
    <w:rsid w:val="005A0930"/>
    <w:rPr>
      <w:rFonts w:ascii="Arial" w:eastAsia="Batang" w:hAnsi="Arial"/>
      <w:sz w:val="24"/>
    </w:rPr>
  </w:style>
  <w:style w:type="character" w:customStyle="1" w:styleId="Overskrift8Tegn">
    <w:name w:val="Overskrift 8 Tegn"/>
    <w:basedOn w:val="Standardskriftforavsnitt"/>
    <w:link w:val="Overskrift8"/>
    <w:rsid w:val="005A0930"/>
    <w:rPr>
      <w:rFonts w:ascii="Arial" w:eastAsia="Batang" w:hAnsi="Arial"/>
      <w:i/>
      <w:sz w:val="24"/>
    </w:rPr>
  </w:style>
  <w:style w:type="character" w:customStyle="1" w:styleId="Overskrift9Tegn">
    <w:name w:val="Overskrift 9 Tegn"/>
    <w:basedOn w:val="Standardskriftforavsnitt"/>
    <w:link w:val="Overskrift9"/>
    <w:rsid w:val="005A0930"/>
    <w:rPr>
      <w:rFonts w:ascii="Arial" w:eastAsia="Batang" w:hAnsi="Arial"/>
      <w:i/>
      <w:sz w:val="22"/>
    </w:rPr>
  </w:style>
  <w:style w:type="character" w:customStyle="1" w:styleId="UndertittelTegn">
    <w:name w:val="Undertittel Tegn"/>
    <w:basedOn w:val="Standardskriftforavsnitt"/>
    <w:link w:val="Undertittel"/>
    <w:rsid w:val="005A0930"/>
    <w:rPr>
      <w:rFonts w:ascii="Arial" w:hAnsi="Arial" w:cstheme="minorBidi"/>
      <w:b/>
      <w:spacing w:val="4"/>
      <w:sz w:val="28"/>
      <w:szCs w:val="22"/>
    </w:rPr>
  </w:style>
  <w:style w:type="character" w:customStyle="1" w:styleId="avsnitt-titTegn">
    <w:name w:val="avsnitt-tit Tegn"/>
    <w:basedOn w:val="Standardskriftforavsnitt"/>
    <w:link w:val="avsnitt-tit"/>
    <w:rsid w:val="00D542E1"/>
    <w:rPr>
      <w:i/>
      <w:sz w:val="24"/>
    </w:rPr>
  </w:style>
  <w:style w:type="character" w:customStyle="1" w:styleId="tabell-titTegn">
    <w:name w:val="tabell-tit Tegn"/>
    <w:basedOn w:val="Standardskriftforavsnitt"/>
    <w:link w:val="tabell-tit"/>
    <w:rsid w:val="00D542E1"/>
    <w:rPr>
      <w:i/>
      <w:sz w:val="24"/>
    </w:rPr>
  </w:style>
  <w:style w:type="character" w:customStyle="1" w:styleId="figur-tittelTegn">
    <w:name w:val="figur-tittel Tegn"/>
    <w:basedOn w:val="Standardskriftforavsnitt"/>
    <w:link w:val="figur-tittel"/>
    <w:rsid w:val="002511D0"/>
    <w:rPr>
      <w:rFonts w:ascii="Arial" w:hAnsi="Arial" w:cstheme="minorBidi"/>
      <w:spacing w:val="4"/>
      <w:sz w:val="24"/>
      <w:szCs w:val="22"/>
    </w:rPr>
  </w:style>
  <w:style w:type="character" w:customStyle="1" w:styleId="KildeTegn">
    <w:name w:val="Kilde Tegn"/>
    <w:basedOn w:val="Standardskriftforavsnitt"/>
    <w:link w:val="Kilde"/>
    <w:rsid w:val="00D542E1"/>
    <w:rPr>
      <w:rFonts w:ascii="Times" w:eastAsia="Batang" w:hAnsi="Times"/>
    </w:rPr>
  </w:style>
  <w:style w:type="character" w:customStyle="1" w:styleId="tabell-noterTegn">
    <w:name w:val="tabell-noter Tegn"/>
    <w:basedOn w:val="Standardskriftforavsnitt"/>
    <w:link w:val="tabell-noter"/>
    <w:rsid w:val="00D542E1"/>
    <w:rPr>
      <w:rFonts w:ascii="Times" w:eastAsia="Batang" w:hAnsi="Times" w:cstheme="minorBidi"/>
    </w:rPr>
  </w:style>
  <w:style w:type="character" w:customStyle="1" w:styleId="Del-tittelTegn">
    <w:name w:val="Del-tittel Tegn"/>
    <w:basedOn w:val="Standardskriftforavsnitt"/>
    <w:link w:val="Del-tittel"/>
    <w:rsid w:val="00D542E1"/>
    <w:rPr>
      <w:i/>
      <w:sz w:val="44"/>
    </w:rPr>
  </w:style>
  <w:style w:type="paragraph" w:customStyle="1" w:styleId="tabell-tittel">
    <w:name w:val="tabell-tittel"/>
    <w:basedOn w:val="Normal"/>
    <w:next w:val="Normal"/>
    <w:rsid w:val="005A0930"/>
    <w:pPr>
      <w:keepNext/>
      <w:keepLines/>
      <w:numPr>
        <w:ilvl w:val="6"/>
        <w:numId w:val="73"/>
      </w:numPr>
      <w:spacing w:before="240" w:line="276" w:lineRule="auto"/>
    </w:pPr>
    <w:rPr>
      <w:rFonts w:ascii="Arial" w:eastAsia="Times New Roman" w:hAnsi="Arial" w:cstheme="minorBidi"/>
      <w:spacing w:val="4"/>
      <w:szCs w:val="22"/>
    </w:rPr>
  </w:style>
  <w:style w:type="paragraph" w:styleId="Fotnotetekst">
    <w:name w:val="footnote text"/>
    <w:basedOn w:val="Normal"/>
    <w:link w:val="FotnotetekstTegn"/>
    <w:rsid w:val="005A0930"/>
    <w:rPr>
      <w:sz w:val="20"/>
    </w:rPr>
  </w:style>
  <w:style w:type="character" w:customStyle="1" w:styleId="FotnotetekstTegn">
    <w:name w:val="Fotnotetekst Tegn"/>
    <w:basedOn w:val="Standardskriftforavsnitt"/>
    <w:link w:val="Fotnotetekst"/>
    <w:rsid w:val="005A0930"/>
    <w:rPr>
      <w:rFonts w:ascii="Times" w:eastAsia="Batang" w:hAnsi="Times"/>
    </w:rPr>
  </w:style>
  <w:style w:type="character" w:styleId="Fotnotereferanse">
    <w:name w:val="footnote reference"/>
    <w:basedOn w:val="Standardskriftforavsnitt"/>
    <w:rsid w:val="005A0930"/>
    <w:rPr>
      <w:vertAlign w:val="superscript"/>
    </w:rPr>
  </w:style>
  <w:style w:type="paragraph" w:styleId="Bunntekst">
    <w:name w:val="footer"/>
    <w:basedOn w:val="Normal"/>
    <w:link w:val="BunntekstTegn"/>
    <w:rsid w:val="005A0930"/>
    <w:pPr>
      <w:tabs>
        <w:tab w:val="center" w:pos="4153"/>
        <w:tab w:val="right" w:pos="8306"/>
      </w:tabs>
    </w:pPr>
    <w:rPr>
      <w:sz w:val="20"/>
    </w:rPr>
  </w:style>
  <w:style w:type="character" w:customStyle="1" w:styleId="BunntekstTegn">
    <w:name w:val="Bunntekst Tegn"/>
    <w:basedOn w:val="Standardskriftforavsnitt"/>
    <w:link w:val="Bunntekst"/>
    <w:rsid w:val="005A0930"/>
    <w:rPr>
      <w:rFonts w:ascii="Times" w:eastAsia="Batang" w:hAnsi="Times"/>
    </w:rPr>
  </w:style>
  <w:style w:type="character" w:styleId="Sidetall">
    <w:name w:val="page number"/>
    <w:basedOn w:val="Standardskriftforavsnitt"/>
    <w:rsid w:val="005A0930"/>
  </w:style>
  <w:style w:type="paragraph" w:customStyle="1" w:styleId="Tabelltekst">
    <w:name w:val="Tabelltekst"/>
    <w:rsid w:val="00D542E1"/>
    <w:pPr>
      <w:widowControl w:val="0"/>
    </w:pPr>
    <w:rPr>
      <w:color w:val="000000"/>
      <w:sz w:val="24"/>
    </w:rPr>
  </w:style>
  <w:style w:type="character" w:customStyle="1" w:styleId="Overskrift3TegnTegn">
    <w:name w:val="Overskrift 3 Tegn Tegn"/>
    <w:basedOn w:val="Standardskriftforavsnitt"/>
    <w:rsid w:val="00D542E1"/>
    <w:rPr>
      <w:b/>
      <w:bCs/>
      <w:sz w:val="26"/>
      <w:szCs w:val="26"/>
      <w:lang w:val="nb-NO" w:eastAsia="nb-NO"/>
    </w:rPr>
  </w:style>
  <w:style w:type="paragraph" w:customStyle="1" w:styleId="Boksoverskrift">
    <w:name w:val="Boks overskrift"/>
    <w:basedOn w:val="Normal"/>
    <w:next w:val="Normal"/>
    <w:rsid w:val="00D542E1"/>
    <w:pPr>
      <w:keepNext/>
      <w:pBdr>
        <w:top w:val="single" w:sz="4" w:space="1" w:color="auto"/>
        <w:left w:val="single" w:sz="4" w:space="4" w:color="auto"/>
        <w:bottom w:val="single" w:sz="4" w:space="1" w:color="auto"/>
        <w:right w:val="single" w:sz="4" w:space="4" w:color="auto"/>
      </w:pBdr>
      <w:suppressAutoHyphens/>
    </w:pPr>
    <w:rPr>
      <w:b/>
      <w:sz w:val="22"/>
    </w:rPr>
  </w:style>
  <w:style w:type="paragraph" w:styleId="Brdtekstinnrykk2">
    <w:name w:val="Body Text Indent 2"/>
    <w:basedOn w:val="Normal"/>
    <w:link w:val="Brdtekstinnrykk2Tegn"/>
    <w:uiPriority w:val="99"/>
    <w:unhideWhenUsed/>
    <w:rsid w:val="005A0930"/>
    <w:pPr>
      <w:spacing w:line="480" w:lineRule="auto"/>
      <w:ind w:left="283"/>
    </w:pPr>
  </w:style>
  <w:style w:type="character" w:customStyle="1" w:styleId="Brdtekstinnrykk2Tegn">
    <w:name w:val="Brødtekstinnrykk 2 Tegn"/>
    <w:basedOn w:val="Standardskriftforavsnitt"/>
    <w:link w:val="Brdtekstinnrykk2"/>
    <w:uiPriority w:val="99"/>
    <w:rsid w:val="005A0930"/>
    <w:rPr>
      <w:rFonts w:ascii="Times" w:eastAsia="Batang" w:hAnsi="Times"/>
      <w:sz w:val="24"/>
    </w:rPr>
  </w:style>
  <w:style w:type="paragraph" w:styleId="Brdtekstinnrykk3">
    <w:name w:val="Body Text Indent 3"/>
    <w:basedOn w:val="Normal"/>
    <w:link w:val="Brdtekstinnrykk3Tegn"/>
    <w:uiPriority w:val="99"/>
    <w:unhideWhenUsed/>
    <w:rsid w:val="005A0930"/>
    <w:pPr>
      <w:ind w:left="283"/>
    </w:pPr>
    <w:rPr>
      <w:sz w:val="16"/>
      <w:szCs w:val="16"/>
    </w:rPr>
  </w:style>
  <w:style w:type="character" w:customStyle="1" w:styleId="Brdtekstinnrykk3Tegn">
    <w:name w:val="Brødtekstinnrykk 3 Tegn"/>
    <w:basedOn w:val="Standardskriftforavsnitt"/>
    <w:link w:val="Brdtekstinnrykk3"/>
    <w:uiPriority w:val="99"/>
    <w:rsid w:val="005A0930"/>
    <w:rPr>
      <w:rFonts w:ascii="Times" w:eastAsia="Batang" w:hAnsi="Times"/>
      <w:sz w:val="16"/>
      <w:szCs w:val="16"/>
    </w:rPr>
  </w:style>
  <w:style w:type="paragraph" w:styleId="Brdtekst">
    <w:name w:val="Body Text"/>
    <w:basedOn w:val="Normal"/>
    <w:link w:val="BrdtekstTegn"/>
    <w:uiPriority w:val="99"/>
    <w:unhideWhenUsed/>
    <w:rsid w:val="005A0930"/>
  </w:style>
  <w:style w:type="character" w:customStyle="1" w:styleId="BrdtekstTegn">
    <w:name w:val="Brødtekst Tegn"/>
    <w:basedOn w:val="Standardskriftforavsnitt"/>
    <w:link w:val="Brdtekst"/>
    <w:uiPriority w:val="99"/>
    <w:rsid w:val="005A0930"/>
    <w:rPr>
      <w:rFonts w:ascii="Times" w:eastAsia="Batang" w:hAnsi="Times"/>
      <w:sz w:val="24"/>
    </w:rPr>
  </w:style>
  <w:style w:type="paragraph" w:styleId="Brdtekst2">
    <w:name w:val="Body Text 2"/>
    <w:basedOn w:val="Normal"/>
    <w:link w:val="Brdtekst2Tegn"/>
    <w:uiPriority w:val="99"/>
    <w:unhideWhenUsed/>
    <w:rsid w:val="005A0930"/>
    <w:pPr>
      <w:spacing w:line="480" w:lineRule="auto"/>
    </w:pPr>
  </w:style>
  <w:style w:type="character" w:customStyle="1" w:styleId="Brdtekst2Tegn">
    <w:name w:val="Brødtekst 2 Tegn"/>
    <w:basedOn w:val="Standardskriftforavsnitt"/>
    <w:link w:val="Brdtekst2"/>
    <w:uiPriority w:val="99"/>
    <w:rsid w:val="005A0930"/>
    <w:rPr>
      <w:rFonts w:ascii="Times" w:eastAsia="Batang" w:hAnsi="Times"/>
      <w:sz w:val="24"/>
    </w:rPr>
  </w:style>
  <w:style w:type="paragraph" w:styleId="NormalWeb">
    <w:name w:val="Normal (Web)"/>
    <w:basedOn w:val="Normal"/>
    <w:uiPriority w:val="99"/>
    <w:unhideWhenUsed/>
    <w:rsid w:val="005A0930"/>
    <w:rPr>
      <w:szCs w:val="24"/>
    </w:rPr>
  </w:style>
  <w:style w:type="character" w:customStyle="1" w:styleId="Overskrift21">
    <w:name w:val="Overskrift 21"/>
    <w:aliases w:val="Overskrift 2 Tegn Tegn1,Overskrift 2 Tegn Tegn Tegn Tegn Tegn"/>
    <w:basedOn w:val="Standardskriftforavsnitt"/>
    <w:rsid w:val="00D542E1"/>
    <w:rPr>
      <w:b/>
      <w:bCs/>
      <w:sz w:val="28"/>
      <w:szCs w:val="28"/>
      <w:lang w:val="nb-NO" w:eastAsia="nb-NO"/>
    </w:rPr>
  </w:style>
  <w:style w:type="character" w:styleId="Sterk">
    <w:name w:val="Strong"/>
    <w:basedOn w:val="Standardskriftforavsnitt"/>
    <w:uiPriority w:val="22"/>
    <w:qFormat/>
    <w:rsid w:val="005A0930"/>
    <w:rPr>
      <w:b/>
      <w:bCs/>
    </w:rPr>
  </w:style>
  <w:style w:type="paragraph" w:styleId="Bobletekst">
    <w:name w:val="Balloon Text"/>
    <w:basedOn w:val="Normal"/>
    <w:link w:val="BobletekstTegn"/>
    <w:uiPriority w:val="99"/>
    <w:semiHidden/>
    <w:unhideWhenUsed/>
    <w:rsid w:val="005A0930"/>
    <w:rPr>
      <w:rFonts w:ascii="Tahoma" w:hAnsi="Tahoma" w:cs="Tahoma"/>
      <w:sz w:val="16"/>
      <w:szCs w:val="16"/>
    </w:rPr>
  </w:style>
  <w:style w:type="character" w:customStyle="1" w:styleId="BobletekstTegn">
    <w:name w:val="Bobletekst Tegn"/>
    <w:basedOn w:val="Standardskriftforavsnitt"/>
    <w:link w:val="Bobletekst"/>
    <w:uiPriority w:val="99"/>
    <w:semiHidden/>
    <w:rsid w:val="005A0930"/>
    <w:rPr>
      <w:rFonts w:ascii="Tahoma" w:eastAsia="Batang" w:hAnsi="Tahoma" w:cs="Tahoma"/>
      <w:sz w:val="16"/>
      <w:szCs w:val="16"/>
    </w:rPr>
  </w:style>
  <w:style w:type="paragraph" w:customStyle="1" w:styleId="Bokstekst">
    <w:name w:val="Boks tekst"/>
    <w:basedOn w:val="Normal"/>
    <w:next w:val="Normal"/>
    <w:rsid w:val="00D542E1"/>
    <w:pPr>
      <w:keepNext/>
      <w:keepLines/>
      <w:pBdr>
        <w:top w:val="single" w:sz="4" w:space="1" w:color="auto"/>
        <w:left w:val="single" w:sz="4" w:space="4" w:color="auto"/>
        <w:bottom w:val="single" w:sz="4" w:space="1" w:color="auto"/>
        <w:right w:val="single" w:sz="4" w:space="4" w:color="auto"/>
      </w:pBdr>
    </w:pPr>
    <w:rPr>
      <w:sz w:val="22"/>
    </w:rPr>
  </w:style>
  <w:style w:type="character" w:styleId="Utheving">
    <w:name w:val="Emphasis"/>
    <w:basedOn w:val="Standardskriftforavsnitt"/>
    <w:uiPriority w:val="20"/>
    <w:qFormat/>
    <w:rsid w:val="005A0930"/>
    <w:rPr>
      <w:i/>
      <w:iCs/>
    </w:rPr>
  </w:style>
  <w:style w:type="paragraph" w:customStyle="1" w:styleId="DWStyle">
    <w:name w:val="DW Style"/>
    <w:rsid w:val="00D542E1"/>
    <w:rPr>
      <w:rFonts w:ascii="Helvetica" w:hAnsi="Helvetica"/>
      <w:snapToGrid w:val="0"/>
      <w:color w:val="000000"/>
      <w:sz w:val="24"/>
    </w:rPr>
  </w:style>
  <w:style w:type="paragraph" w:customStyle="1" w:styleId="Fotnote">
    <w:name w:val="Fotnote"/>
    <w:basedOn w:val="Normal"/>
    <w:rsid w:val="00D542E1"/>
    <w:pPr>
      <w:suppressAutoHyphens/>
      <w:autoSpaceDE w:val="0"/>
      <w:autoSpaceDN w:val="0"/>
      <w:adjustRightInd w:val="0"/>
      <w:spacing w:line="240" w:lineRule="exact"/>
    </w:pPr>
    <w:rPr>
      <w:noProof/>
      <w:sz w:val="20"/>
    </w:rPr>
  </w:style>
  <w:style w:type="paragraph" w:customStyle="1" w:styleId="B">
    <w:name w:val="B"/>
    <w:basedOn w:val="Normal"/>
    <w:rsid w:val="00D542E1"/>
    <w:pPr>
      <w:tabs>
        <w:tab w:val="right" w:pos="4536"/>
        <w:tab w:val="right" w:pos="5245"/>
        <w:tab w:val="right" w:pos="5954"/>
        <w:tab w:val="right" w:pos="6804"/>
        <w:tab w:val="right" w:pos="7513"/>
        <w:tab w:val="right" w:pos="8364"/>
        <w:tab w:val="right" w:pos="9356"/>
      </w:tabs>
    </w:pPr>
    <w:rPr>
      <w:rFonts w:ascii="Tms Rmn" w:hAnsi="Tms Rmn"/>
      <w:noProof/>
      <w:sz w:val="20"/>
    </w:rPr>
  </w:style>
  <w:style w:type="paragraph" w:styleId="Topptekst">
    <w:name w:val="header"/>
    <w:basedOn w:val="Normal"/>
    <w:link w:val="TopptekstTegn"/>
    <w:rsid w:val="005A0930"/>
    <w:pPr>
      <w:tabs>
        <w:tab w:val="center" w:pos="4536"/>
        <w:tab w:val="right" w:pos="9072"/>
      </w:tabs>
    </w:pPr>
    <w:rPr>
      <w:sz w:val="20"/>
    </w:rPr>
  </w:style>
  <w:style w:type="character" w:customStyle="1" w:styleId="TopptekstTegn">
    <w:name w:val="Topptekst Tegn"/>
    <w:basedOn w:val="Standardskriftforavsnitt"/>
    <w:link w:val="Topptekst"/>
    <w:rsid w:val="005A0930"/>
    <w:rPr>
      <w:rFonts w:ascii="Times" w:eastAsia="Batang" w:hAnsi="Times"/>
    </w:rPr>
  </w:style>
  <w:style w:type="paragraph" w:styleId="Brdtekstinnrykk">
    <w:name w:val="Body Text Indent"/>
    <w:basedOn w:val="Normal"/>
    <w:link w:val="BrdtekstinnrykkTegn"/>
    <w:uiPriority w:val="99"/>
    <w:unhideWhenUsed/>
    <w:rsid w:val="005A0930"/>
    <w:pPr>
      <w:ind w:left="283"/>
    </w:pPr>
  </w:style>
  <w:style w:type="character" w:customStyle="1" w:styleId="BrdtekstinnrykkTegn">
    <w:name w:val="Brødtekstinnrykk Tegn"/>
    <w:basedOn w:val="Standardskriftforavsnitt"/>
    <w:link w:val="Brdtekstinnrykk"/>
    <w:uiPriority w:val="99"/>
    <w:rsid w:val="005A0930"/>
    <w:rPr>
      <w:rFonts w:ascii="Times" w:eastAsia="Batang" w:hAnsi="Times"/>
      <w:sz w:val="24"/>
    </w:rPr>
  </w:style>
  <w:style w:type="paragraph" w:customStyle="1" w:styleId="avsnitt-tittel">
    <w:name w:val="avsnitt-tittel"/>
    <w:basedOn w:val="Normal"/>
    <w:next w:val="Normal"/>
    <w:rsid w:val="005A0930"/>
    <w:pPr>
      <w:keepNext/>
      <w:keepLines/>
      <w:spacing w:before="360" w:after="60" w:line="276" w:lineRule="auto"/>
    </w:pPr>
    <w:rPr>
      <w:rFonts w:ascii="Arial" w:eastAsia="Times New Roman" w:hAnsi="Arial" w:cstheme="minorBidi"/>
      <w:spacing w:val="4"/>
      <w:sz w:val="26"/>
      <w:szCs w:val="22"/>
    </w:rPr>
  </w:style>
  <w:style w:type="paragraph" w:customStyle="1" w:styleId="Ramme">
    <w:name w:val="Ramme"/>
    <w:basedOn w:val="Normal"/>
    <w:rsid w:val="00D542E1"/>
    <w:pPr>
      <w:suppressAutoHyphens/>
      <w:autoSpaceDE w:val="0"/>
      <w:autoSpaceDN w:val="0"/>
      <w:adjustRightInd w:val="0"/>
      <w:spacing w:line="220" w:lineRule="exact"/>
    </w:pPr>
    <w:rPr>
      <w:noProof/>
      <w:sz w:val="20"/>
    </w:rPr>
  </w:style>
  <w:style w:type="paragraph" w:styleId="Sitat0">
    <w:name w:val="Quote"/>
    <w:basedOn w:val="Normal"/>
    <w:next w:val="Normal"/>
    <w:link w:val="SitatTegn"/>
    <w:uiPriority w:val="29"/>
    <w:qFormat/>
    <w:rsid w:val="005A0930"/>
    <w:rPr>
      <w:i/>
      <w:iCs/>
      <w:color w:val="000000" w:themeColor="text1"/>
    </w:rPr>
  </w:style>
  <w:style w:type="character" w:customStyle="1" w:styleId="SitatTegn">
    <w:name w:val="Sitat Tegn"/>
    <w:basedOn w:val="Standardskriftforavsnitt"/>
    <w:link w:val="Sitat0"/>
    <w:uiPriority w:val="29"/>
    <w:rsid w:val="005A0930"/>
    <w:rPr>
      <w:rFonts w:ascii="Times" w:eastAsia="Batang" w:hAnsi="Times"/>
      <w:i/>
      <w:iCs/>
      <w:color w:val="000000" w:themeColor="text1"/>
      <w:sz w:val="24"/>
    </w:rPr>
  </w:style>
  <w:style w:type="paragraph" w:customStyle="1" w:styleId="Ingress">
    <w:name w:val="Ingress"/>
    <w:basedOn w:val="Normal"/>
    <w:next w:val="Normal"/>
    <w:rsid w:val="00D542E1"/>
    <w:pPr>
      <w:suppressAutoHyphens/>
      <w:spacing w:after="480"/>
    </w:pPr>
    <w:rPr>
      <w:i/>
      <w:sz w:val="22"/>
    </w:rPr>
  </w:style>
  <w:style w:type="paragraph" w:customStyle="1" w:styleId="font5">
    <w:name w:val="font5"/>
    <w:basedOn w:val="Normal"/>
    <w:rsid w:val="00D542E1"/>
    <w:pPr>
      <w:spacing w:before="100" w:beforeAutospacing="1" w:after="100" w:afterAutospacing="1"/>
    </w:pPr>
    <w:rPr>
      <w:rFonts w:ascii="Symbol" w:hAnsi="Symbol"/>
      <w:sz w:val="20"/>
    </w:rPr>
  </w:style>
  <w:style w:type="paragraph" w:customStyle="1" w:styleId="font6">
    <w:name w:val="font6"/>
    <w:basedOn w:val="Normal"/>
    <w:rsid w:val="00D542E1"/>
    <w:pPr>
      <w:spacing w:before="100" w:beforeAutospacing="1" w:after="100" w:afterAutospacing="1"/>
    </w:pPr>
    <w:rPr>
      <w:rFonts w:ascii="Times New (W1)" w:hAnsi="Times New (W1)"/>
      <w:sz w:val="20"/>
    </w:rPr>
  </w:style>
  <w:style w:type="paragraph" w:customStyle="1" w:styleId="xl24">
    <w:name w:val="xl24"/>
    <w:basedOn w:val="Normal"/>
    <w:rsid w:val="00D542E1"/>
    <w:pPr>
      <w:spacing w:before="100" w:beforeAutospacing="1" w:after="100" w:afterAutospacing="1"/>
      <w:jc w:val="right"/>
      <w:textAlignment w:val="top"/>
    </w:pPr>
    <w:rPr>
      <w:sz w:val="22"/>
      <w:szCs w:val="22"/>
    </w:rPr>
  </w:style>
  <w:style w:type="paragraph" w:customStyle="1" w:styleId="xl25">
    <w:name w:val="xl25"/>
    <w:basedOn w:val="Normal"/>
    <w:rsid w:val="00D542E1"/>
    <w:pPr>
      <w:spacing w:before="100" w:beforeAutospacing="1" w:after="100" w:afterAutospacing="1"/>
      <w:jc w:val="center"/>
      <w:textAlignment w:val="top"/>
    </w:pPr>
    <w:rPr>
      <w:sz w:val="22"/>
      <w:szCs w:val="22"/>
    </w:rPr>
  </w:style>
  <w:style w:type="paragraph" w:customStyle="1" w:styleId="xl26">
    <w:name w:val="xl26"/>
    <w:basedOn w:val="Normal"/>
    <w:rsid w:val="00D542E1"/>
    <w:pPr>
      <w:pBdr>
        <w:bottom w:val="single" w:sz="4" w:space="0" w:color="auto"/>
      </w:pBdr>
      <w:spacing w:before="100" w:beforeAutospacing="1" w:after="100" w:afterAutospacing="1"/>
      <w:jc w:val="center"/>
      <w:textAlignment w:val="top"/>
    </w:pPr>
    <w:rPr>
      <w:sz w:val="22"/>
      <w:szCs w:val="22"/>
    </w:rPr>
  </w:style>
  <w:style w:type="paragraph" w:customStyle="1" w:styleId="xl27">
    <w:name w:val="xl27"/>
    <w:basedOn w:val="Normal"/>
    <w:rsid w:val="00D542E1"/>
    <w:pPr>
      <w:spacing w:before="100" w:beforeAutospacing="1" w:after="100" w:afterAutospacing="1"/>
      <w:jc w:val="right"/>
      <w:textAlignment w:val="top"/>
    </w:pPr>
    <w:rPr>
      <w:szCs w:val="24"/>
    </w:rPr>
  </w:style>
  <w:style w:type="paragraph" w:customStyle="1" w:styleId="xl28">
    <w:name w:val="xl28"/>
    <w:basedOn w:val="Normal"/>
    <w:rsid w:val="00D542E1"/>
    <w:pPr>
      <w:pBdr>
        <w:bottom w:val="single" w:sz="4" w:space="0" w:color="auto"/>
      </w:pBdr>
      <w:spacing w:before="100" w:beforeAutospacing="1" w:after="100" w:afterAutospacing="1"/>
      <w:jc w:val="center"/>
      <w:textAlignment w:val="top"/>
    </w:pPr>
    <w:rPr>
      <w:szCs w:val="24"/>
    </w:rPr>
  </w:style>
  <w:style w:type="paragraph" w:styleId="Tittel">
    <w:name w:val="Title"/>
    <w:basedOn w:val="Normal"/>
    <w:next w:val="Normal"/>
    <w:link w:val="TittelTegn"/>
    <w:uiPriority w:val="10"/>
    <w:qFormat/>
    <w:rsid w:val="005A09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A0930"/>
    <w:rPr>
      <w:rFonts w:asciiTheme="majorHAnsi" w:eastAsiaTheme="majorEastAsia" w:hAnsiTheme="majorHAnsi" w:cstheme="majorBidi"/>
      <w:color w:val="17365D" w:themeColor="text2" w:themeShade="BF"/>
      <w:spacing w:val="5"/>
      <w:kern w:val="28"/>
      <w:sz w:val="52"/>
      <w:szCs w:val="52"/>
    </w:rPr>
  </w:style>
  <w:style w:type="paragraph" w:styleId="Brdtekst3">
    <w:name w:val="Body Text 3"/>
    <w:basedOn w:val="Normal"/>
    <w:link w:val="Brdtekst3Tegn"/>
    <w:uiPriority w:val="99"/>
    <w:unhideWhenUsed/>
    <w:rsid w:val="005A0930"/>
    <w:rPr>
      <w:sz w:val="16"/>
      <w:szCs w:val="16"/>
    </w:rPr>
  </w:style>
  <w:style w:type="character" w:customStyle="1" w:styleId="Brdtekst3Tegn">
    <w:name w:val="Brødtekst 3 Tegn"/>
    <w:basedOn w:val="Standardskriftforavsnitt"/>
    <w:link w:val="Brdtekst3"/>
    <w:uiPriority w:val="99"/>
    <w:rsid w:val="005A0930"/>
    <w:rPr>
      <w:rFonts w:ascii="Times" w:eastAsia="Batang" w:hAnsi="Times"/>
      <w:sz w:val="16"/>
      <w:szCs w:val="16"/>
    </w:rPr>
  </w:style>
  <w:style w:type="paragraph" w:customStyle="1" w:styleId="xl33">
    <w:name w:val="xl33"/>
    <w:basedOn w:val="Normal"/>
    <w:rsid w:val="00D542E1"/>
    <w:pPr>
      <w:spacing w:before="100" w:beforeAutospacing="1" w:after="100" w:afterAutospacing="1"/>
      <w:ind w:firstLineChars="100" w:firstLine="100"/>
      <w:textAlignment w:val="top"/>
    </w:pPr>
    <w:rPr>
      <w:szCs w:val="24"/>
    </w:rPr>
  </w:style>
  <w:style w:type="paragraph" w:customStyle="1" w:styleId="Brevtittel">
    <w:name w:val="Brevtittel"/>
    <w:basedOn w:val="Normal"/>
    <w:next w:val="Normal"/>
    <w:rsid w:val="00D542E1"/>
    <w:pPr>
      <w:spacing w:line="300" w:lineRule="exact"/>
    </w:pPr>
    <w:rPr>
      <w:rFonts w:ascii="DepCentury Old Style" w:hAnsi="DepCentury Old Style"/>
      <w:b/>
      <w:caps/>
    </w:rPr>
  </w:style>
  <w:style w:type="paragraph" w:customStyle="1" w:styleId="Forfatter0">
    <w:name w:val="Forfatter"/>
    <w:basedOn w:val="Normal"/>
    <w:next w:val="Normal"/>
    <w:rsid w:val="00D542E1"/>
    <w:pPr>
      <w:suppressAutoHyphens/>
      <w:spacing w:before="120" w:after="240"/>
    </w:pPr>
    <w:rPr>
      <w:i/>
      <w:sz w:val="26"/>
    </w:rPr>
  </w:style>
  <w:style w:type="paragraph" w:customStyle="1" w:styleId="Mellomtittel">
    <w:name w:val="Mellomtittel"/>
    <w:basedOn w:val="Normal"/>
    <w:next w:val="Normal"/>
    <w:rsid w:val="00D542E1"/>
    <w:pPr>
      <w:keepNext/>
      <w:spacing w:before="240"/>
    </w:pPr>
    <w:rPr>
      <w:b/>
      <w:sz w:val="22"/>
    </w:rPr>
  </w:style>
  <w:style w:type="paragraph" w:customStyle="1" w:styleId="Normalinnrykk">
    <w:name w:val="Normal + innrykk"/>
    <w:basedOn w:val="Normal"/>
    <w:next w:val="Normal"/>
    <w:rsid w:val="00D542E1"/>
    <w:pPr>
      <w:ind w:left="567"/>
    </w:pPr>
    <w:rPr>
      <w:sz w:val="22"/>
    </w:rPr>
  </w:style>
  <w:style w:type="paragraph" w:customStyle="1" w:styleId="Spesialbehandles">
    <w:name w:val="Spesialbehandles"/>
    <w:basedOn w:val="Normal"/>
    <w:next w:val="Normal"/>
    <w:rsid w:val="00D542E1"/>
    <w:rPr>
      <w:color w:val="000080"/>
      <w:sz w:val="22"/>
    </w:rPr>
  </w:style>
  <w:style w:type="paragraph" w:customStyle="1" w:styleId="Stikktittel">
    <w:name w:val="Stikktittel"/>
    <w:basedOn w:val="Normal"/>
    <w:next w:val="Tittel"/>
    <w:rsid w:val="00D542E1"/>
    <w:pPr>
      <w:spacing w:after="240"/>
    </w:pPr>
    <w:rPr>
      <w:i/>
      <w:sz w:val="22"/>
    </w:rPr>
  </w:style>
  <w:style w:type="paragraph" w:customStyle="1" w:styleId="ReferanserSSP">
    <w:name w:val="Referanser SSP"/>
    <w:basedOn w:val="Normal"/>
    <w:rsid w:val="00D542E1"/>
    <w:rPr>
      <w:sz w:val="18"/>
    </w:rPr>
  </w:style>
  <w:style w:type="paragraph" w:customStyle="1" w:styleId="VedleggnummerA">
    <w:name w:val="Vedlegg nummer (A"/>
    <w:aliases w:val=" B, ...),B1,...),B11,B111,B1111,B4"/>
    <w:basedOn w:val="Normal"/>
    <w:next w:val="Vedleggoverskrift"/>
    <w:rsid w:val="00D542E1"/>
    <w:pPr>
      <w:keepNext/>
      <w:pageBreakBefore/>
      <w:spacing w:after="240"/>
      <w:jc w:val="right"/>
      <w:outlineLvl w:val="0"/>
    </w:pPr>
    <w:rPr>
      <w:b/>
      <w:sz w:val="22"/>
    </w:rPr>
  </w:style>
  <w:style w:type="paragraph" w:customStyle="1" w:styleId="Vedleggoverskrift">
    <w:name w:val="Vedlegg overskrift"/>
    <w:next w:val="Normal"/>
    <w:rsid w:val="00D542E1"/>
    <w:pPr>
      <w:keepNext/>
      <w:suppressAutoHyphens/>
      <w:spacing w:after="240"/>
    </w:pPr>
    <w:rPr>
      <w:b/>
      <w:sz w:val="32"/>
    </w:rPr>
  </w:style>
  <w:style w:type="paragraph" w:customStyle="1" w:styleId="Emnekode">
    <w:name w:val="Emnekode"/>
    <w:basedOn w:val="Normal"/>
    <w:next w:val="Normal"/>
    <w:rsid w:val="00D542E1"/>
    <w:rPr>
      <w:vanish/>
      <w:color w:val="808080"/>
      <w:sz w:val="22"/>
    </w:rPr>
  </w:style>
  <w:style w:type="paragraph" w:customStyle="1" w:styleId="Emneord">
    <w:name w:val="Emneord"/>
    <w:basedOn w:val="Normal"/>
    <w:next w:val="Normal"/>
    <w:rsid w:val="00D542E1"/>
    <w:rPr>
      <w:vanish/>
      <w:color w:val="808080"/>
      <w:sz w:val="22"/>
    </w:rPr>
  </w:style>
  <w:style w:type="paragraph" w:customStyle="1" w:styleId="Frigivningstid">
    <w:name w:val="Frigivningstid"/>
    <w:basedOn w:val="Normal"/>
    <w:next w:val="Normal"/>
    <w:rsid w:val="00D542E1"/>
    <w:rPr>
      <w:vanish/>
      <w:color w:val="808080"/>
      <w:sz w:val="22"/>
    </w:rPr>
  </w:style>
  <w:style w:type="paragraph" w:customStyle="1" w:styleId="Kortstikktittel">
    <w:name w:val="Kort stikktittel"/>
    <w:basedOn w:val="Normal"/>
    <w:next w:val="Normal"/>
    <w:rsid w:val="00D542E1"/>
    <w:rPr>
      <w:vanish/>
      <w:color w:val="808080"/>
      <w:sz w:val="22"/>
    </w:rPr>
  </w:style>
  <w:style w:type="paragraph" w:customStyle="1" w:styleId="Korttittel">
    <w:name w:val="Kort tittel"/>
    <w:basedOn w:val="Normal"/>
    <w:next w:val="Normal"/>
    <w:rsid w:val="00D542E1"/>
    <w:rPr>
      <w:vanish/>
      <w:color w:val="808080"/>
      <w:sz w:val="22"/>
    </w:rPr>
  </w:style>
  <w:style w:type="paragraph" w:customStyle="1" w:styleId="Kortnavn">
    <w:name w:val="Kortnavn"/>
    <w:basedOn w:val="Normal"/>
    <w:next w:val="Normal"/>
    <w:rsid w:val="00D542E1"/>
    <w:rPr>
      <w:vanish/>
      <w:color w:val="808080"/>
      <w:sz w:val="22"/>
    </w:rPr>
  </w:style>
  <w:style w:type="paragraph" w:customStyle="1" w:styleId="Meta">
    <w:name w:val="Meta"/>
    <w:basedOn w:val="Normal"/>
    <w:next w:val="Normal"/>
    <w:rsid w:val="00D542E1"/>
    <w:rPr>
      <w:vanish/>
      <w:color w:val="808080"/>
      <w:sz w:val="22"/>
    </w:rPr>
  </w:style>
  <w:style w:type="paragraph" w:customStyle="1" w:styleId="Regionaltniv">
    <w:name w:val="Regionalt nivå"/>
    <w:basedOn w:val="Normal"/>
    <w:next w:val="Normal"/>
    <w:rsid w:val="00D542E1"/>
    <w:rPr>
      <w:vanish/>
      <w:color w:val="808080"/>
      <w:sz w:val="22"/>
    </w:rPr>
  </w:style>
  <w:style w:type="paragraph" w:styleId="Liste-forts">
    <w:name w:val="List Continue"/>
    <w:basedOn w:val="Normal"/>
    <w:uiPriority w:val="99"/>
    <w:unhideWhenUsed/>
    <w:rsid w:val="005A0930"/>
    <w:pPr>
      <w:ind w:left="283"/>
      <w:contextualSpacing/>
    </w:pPr>
  </w:style>
  <w:style w:type="paragraph" w:customStyle="1" w:styleId="Nummerliste2">
    <w:name w:val="Nummerliste_2"/>
    <w:basedOn w:val="Nummerertliste"/>
    <w:rsid w:val="00D542E1"/>
    <w:pPr>
      <w:spacing w:line="300" w:lineRule="exact"/>
      <w:ind w:left="567" w:hanging="567"/>
    </w:pPr>
    <w:rPr>
      <w:rFonts w:ascii="DepCentury Old Style" w:hAnsi="DepCentury Old Style"/>
      <w:lang w:eastAsia="en-US"/>
    </w:rPr>
  </w:style>
  <w:style w:type="paragraph" w:styleId="Nummerertliste">
    <w:name w:val="List Number"/>
    <w:basedOn w:val="Normal"/>
    <w:uiPriority w:val="99"/>
    <w:unhideWhenUsed/>
    <w:rsid w:val="005A0930"/>
    <w:pPr>
      <w:numPr>
        <w:numId w:val="9"/>
      </w:numPr>
      <w:contextualSpacing/>
    </w:pPr>
  </w:style>
  <w:style w:type="paragraph" w:customStyle="1" w:styleId="NormalsitatTegn">
    <w:name w:val="Normal sitat Tegn"/>
    <w:basedOn w:val="Normal"/>
    <w:rsid w:val="00D542E1"/>
    <w:pPr>
      <w:spacing w:line="360" w:lineRule="auto"/>
    </w:pPr>
    <w:rPr>
      <w:b/>
      <w:bCs/>
      <w:szCs w:val="24"/>
    </w:rPr>
  </w:style>
  <w:style w:type="paragraph" w:customStyle="1" w:styleId="NormalLinjeavstandHalvannen">
    <w:name w:val="Normal + Linjeavstand:  Halvannen"/>
    <w:basedOn w:val="Normal"/>
    <w:rsid w:val="00D542E1"/>
    <w:pPr>
      <w:spacing w:line="360" w:lineRule="auto"/>
    </w:pPr>
    <w:rPr>
      <w:szCs w:val="24"/>
    </w:rPr>
  </w:style>
  <w:style w:type="paragraph" w:styleId="Blokktekst">
    <w:name w:val="Block Text"/>
    <w:basedOn w:val="Normal"/>
    <w:uiPriority w:val="99"/>
    <w:unhideWhenUsed/>
    <w:rsid w:val="005A093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HTML-forhndsformatert">
    <w:name w:val="HTML Preformatted"/>
    <w:basedOn w:val="Normal"/>
    <w:link w:val="HTML-forhndsformatertTegn"/>
    <w:uiPriority w:val="99"/>
    <w:unhideWhenUsed/>
    <w:rsid w:val="005A0930"/>
    <w:rPr>
      <w:rFonts w:ascii="Consolas" w:hAnsi="Consolas"/>
      <w:sz w:val="20"/>
    </w:rPr>
  </w:style>
  <w:style w:type="character" w:customStyle="1" w:styleId="HTML-forhndsformatertTegn">
    <w:name w:val="HTML-forhåndsformatert Tegn"/>
    <w:basedOn w:val="Standardskriftforavsnitt"/>
    <w:link w:val="HTML-forhndsformatert"/>
    <w:uiPriority w:val="99"/>
    <w:rsid w:val="005A0930"/>
    <w:rPr>
      <w:rFonts w:ascii="Consolas" w:eastAsia="Batang" w:hAnsi="Consolas"/>
    </w:rPr>
  </w:style>
  <w:style w:type="paragraph" w:customStyle="1" w:styleId="Normalpetit">
    <w:name w:val="Normal petit"/>
    <w:basedOn w:val="Normal"/>
    <w:rsid w:val="00D542E1"/>
    <w:rPr>
      <w:sz w:val="18"/>
      <w:szCs w:val="18"/>
    </w:rPr>
  </w:style>
  <w:style w:type="paragraph" w:styleId="Rentekst">
    <w:name w:val="Plain Text"/>
    <w:basedOn w:val="Normal"/>
    <w:link w:val="RentekstTegn"/>
    <w:uiPriority w:val="99"/>
    <w:unhideWhenUsed/>
    <w:rsid w:val="005A0930"/>
    <w:rPr>
      <w:rFonts w:ascii="Consolas" w:hAnsi="Consolas"/>
      <w:sz w:val="21"/>
      <w:szCs w:val="21"/>
    </w:rPr>
  </w:style>
  <w:style w:type="character" w:customStyle="1" w:styleId="RentekstTegn">
    <w:name w:val="Ren tekst Tegn"/>
    <w:basedOn w:val="Standardskriftforavsnitt"/>
    <w:link w:val="Rentekst"/>
    <w:uiPriority w:val="99"/>
    <w:rsid w:val="005A0930"/>
    <w:rPr>
      <w:rFonts w:ascii="Consolas" w:eastAsia="Batang" w:hAnsi="Consolas"/>
      <w:sz w:val="21"/>
      <w:szCs w:val="21"/>
    </w:rPr>
  </w:style>
  <w:style w:type="paragraph" w:customStyle="1" w:styleId="Petit">
    <w:name w:val="Petit"/>
    <w:basedOn w:val="Normal"/>
    <w:next w:val="Normal"/>
    <w:qFormat/>
    <w:rsid w:val="005A0930"/>
    <w:pPr>
      <w:spacing w:line="276" w:lineRule="auto"/>
    </w:pPr>
    <w:rPr>
      <w:rFonts w:ascii="Times New Roman" w:eastAsia="Times New Roman" w:hAnsi="Times New Roman" w:cstheme="minorBidi"/>
      <w:spacing w:val="6"/>
      <w:sz w:val="19"/>
      <w:szCs w:val="22"/>
    </w:rPr>
  </w:style>
  <w:style w:type="paragraph" w:customStyle="1" w:styleId="StilOverskrift215ptIkkeFet">
    <w:name w:val="Stil Overskrift 2 + 15 pt Ikke Fet"/>
    <w:basedOn w:val="Overskrift2"/>
    <w:autoRedefine/>
    <w:rsid w:val="00D542E1"/>
    <w:pPr>
      <w:numPr>
        <w:ilvl w:val="0"/>
        <w:numId w:val="0"/>
      </w:numPr>
      <w:tabs>
        <w:tab w:val="num" w:pos="360"/>
      </w:tabs>
      <w:spacing w:before="240" w:after="60" w:line="360" w:lineRule="auto"/>
    </w:pPr>
    <w:rPr>
      <w:rFonts w:cs="Arial"/>
      <w:b w:val="0"/>
      <w:i/>
      <w:iCs/>
      <w:szCs w:val="28"/>
    </w:rPr>
  </w:style>
  <w:style w:type="paragraph" w:customStyle="1" w:styleId="StilOverskrift215ptIkkeFetLinjeavstandHalvannen">
    <w:name w:val="Stil Overskrift 2 + 15 pt Ikke Fet Linjeavstand:  Halvannen"/>
    <w:basedOn w:val="Overskrift2"/>
    <w:autoRedefine/>
    <w:rsid w:val="00D542E1"/>
    <w:pPr>
      <w:numPr>
        <w:ilvl w:val="0"/>
        <w:numId w:val="0"/>
      </w:numPr>
      <w:tabs>
        <w:tab w:val="num" w:pos="360"/>
      </w:tabs>
      <w:spacing w:before="240" w:after="60" w:line="360" w:lineRule="auto"/>
    </w:pPr>
    <w:rPr>
      <w:rFonts w:cs="Arial"/>
      <w:b w:val="0"/>
      <w:i/>
      <w:iCs/>
      <w:szCs w:val="28"/>
    </w:rPr>
  </w:style>
  <w:style w:type="paragraph" w:customStyle="1" w:styleId="StilOverskrift313ptLinjeavstandHalvannen">
    <w:name w:val="Stil Overskrift 3 + 13 pt Linjeavstand:  Halvannen"/>
    <w:basedOn w:val="Overskrift3"/>
    <w:autoRedefine/>
    <w:rsid w:val="00D542E1"/>
    <w:pPr>
      <w:numPr>
        <w:ilvl w:val="0"/>
        <w:numId w:val="0"/>
      </w:numPr>
      <w:tabs>
        <w:tab w:val="num" w:pos="360"/>
      </w:tabs>
      <w:spacing w:before="0" w:after="0"/>
      <w:jc w:val="both"/>
    </w:pPr>
    <w:rPr>
      <w:bCs/>
      <w:i/>
      <w:iCs/>
      <w:noProof/>
      <w:snapToGrid w:val="0"/>
      <w:szCs w:val="26"/>
    </w:rPr>
  </w:style>
  <w:style w:type="paragraph" w:customStyle="1" w:styleId="StilOverskrift412ptIkkeFetKursivLinjeavstandHalvan">
    <w:name w:val="Stil Overskrift 4 + 12 pt Ikke Fet Kursiv Linjeavstand:  Halvan..."/>
    <w:basedOn w:val="Overskrift4"/>
    <w:autoRedefine/>
    <w:rsid w:val="00D542E1"/>
    <w:pPr>
      <w:numPr>
        <w:ilvl w:val="0"/>
        <w:numId w:val="0"/>
      </w:numPr>
      <w:tabs>
        <w:tab w:val="num" w:pos="864"/>
      </w:tabs>
    </w:pPr>
    <w:rPr>
      <w:b/>
      <w:bCs/>
      <w:i w:val="0"/>
      <w:szCs w:val="24"/>
    </w:rPr>
  </w:style>
  <w:style w:type="paragraph" w:customStyle="1" w:styleId="StilOverskrift412ptIkkeFetBlokkjustertLinjeavstand">
    <w:name w:val="Stil Overskrift 4 + 12 pt Ikke Fet Blokkjustert Linjeavstand:  ..."/>
    <w:basedOn w:val="Overskrift4"/>
    <w:autoRedefine/>
    <w:rsid w:val="00D542E1"/>
    <w:pPr>
      <w:numPr>
        <w:ilvl w:val="0"/>
        <w:numId w:val="0"/>
      </w:numPr>
      <w:tabs>
        <w:tab w:val="num" w:pos="864"/>
      </w:tabs>
      <w:spacing w:line="360" w:lineRule="auto"/>
      <w:jc w:val="both"/>
    </w:pPr>
    <w:rPr>
      <w:b/>
      <w:bCs/>
      <w:i w:val="0"/>
      <w:szCs w:val="24"/>
    </w:rPr>
  </w:style>
  <w:style w:type="paragraph" w:customStyle="1" w:styleId="StilFrstelinje125cm">
    <w:name w:val="Stil Første linje:  125 cm"/>
    <w:basedOn w:val="Normal"/>
    <w:autoRedefine/>
    <w:rsid w:val="00D542E1"/>
    <w:pPr>
      <w:spacing w:before="120" w:line="360" w:lineRule="auto"/>
      <w:ind w:firstLine="708"/>
    </w:pPr>
    <w:rPr>
      <w:sz w:val="28"/>
      <w:szCs w:val="28"/>
    </w:rPr>
  </w:style>
  <w:style w:type="paragraph" w:customStyle="1" w:styleId="registre">
    <w:name w:val="registre"/>
    <w:basedOn w:val="Normal"/>
    <w:rsid w:val="00D542E1"/>
    <w:pPr>
      <w:jc w:val="both"/>
    </w:pPr>
    <w:rPr>
      <w:sz w:val="18"/>
      <w:szCs w:val="18"/>
    </w:rPr>
  </w:style>
  <w:style w:type="paragraph" w:styleId="Nummerertliste2">
    <w:name w:val="List Number 2"/>
    <w:basedOn w:val="Normal"/>
    <w:rsid w:val="005A0930"/>
    <w:pPr>
      <w:numPr>
        <w:ilvl w:val="1"/>
        <w:numId w:val="9"/>
      </w:numPr>
      <w:spacing w:after="0"/>
    </w:pPr>
    <w:rPr>
      <w:rFonts w:cstheme="minorBidi"/>
    </w:rPr>
  </w:style>
  <w:style w:type="paragraph" w:styleId="Nummerertliste3">
    <w:name w:val="List Number 3"/>
    <w:basedOn w:val="Normal"/>
    <w:rsid w:val="005A0930"/>
    <w:pPr>
      <w:numPr>
        <w:ilvl w:val="2"/>
        <w:numId w:val="9"/>
      </w:numPr>
      <w:spacing w:after="0"/>
    </w:pPr>
  </w:style>
  <w:style w:type="paragraph" w:customStyle="1" w:styleId="i-dep">
    <w:name w:val="i-dep."/>
    <w:basedOn w:val="romertallliste3"/>
    <w:rsid w:val="00D542E1"/>
    <w:pPr>
      <w:numPr>
        <w:numId w:val="0"/>
      </w:numPr>
      <w:tabs>
        <w:tab w:val="num" w:pos="705"/>
        <w:tab w:val="num" w:pos="926"/>
      </w:tabs>
      <w:ind w:left="926" w:hanging="284"/>
    </w:pPr>
    <w:rPr>
      <w:noProof/>
      <w:sz w:val="20"/>
    </w:rPr>
  </w:style>
  <w:style w:type="paragraph" w:customStyle="1" w:styleId="Figur">
    <w:name w:val="Figur"/>
    <w:basedOn w:val="Normal"/>
    <w:uiPriority w:val="99"/>
    <w:rsid w:val="005A0930"/>
    <w:pPr>
      <w:suppressAutoHyphens/>
      <w:spacing w:before="400" w:after="200" w:line="240" w:lineRule="exact"/>
      <w:jc w:val="center"/>
    </w:pPr>
    <w:rPr>
      <w:b/>
      <w:bCs/>
      <w:color w:val="FF0000"/>
    </w:rPr>
  </w:style>
  <w:style w:type="paragraph" w:customStyle="1" w:styleId="hengende-innrykk">
    <w:name w:val="hengende-innrykk"/>
    <w:basedOn w:val="Normal"/>
    <w:next w:val="Normal"/>
    <w:rsid w:val="005A0930"/>
    <w:pPr>
      <w:ind w:left="1418" w:hanging="1418"/>
    </w:pPr>
  </w:style>
  <w:style w:type="paragraph" w:customStyle="1" w:styleId="v-Overskrift1">
    <w:name w:val="v-Overskrift 1"/>
    <w:basedOn w:val="Normal"/>
    <w:rsid w:val="00D542E1"/>
    <w:pPr>
      <w:suppressAutoHyphens/>
      <w:autoSpaceDE w:val="0"/>
      <w:autoSpaceDN w:val="0"/>
      <w:adjustRightInd w:val="0"/>
      <w:spacing w:line="220" w:lineRule="exact"/>
    </w:pPr>
    <w:rPr>
      <w:noProof/>
      <w:sz w:val="20"/>
    </w:rPr>
  </w:style>
  <w:style w:type="paragraph" w:customStyle="1" w:styleId="v-Overskrift2">
    <w:name w:val="v-Overskrift 2"/>
    <w:basedOn w:val="Normal"/>
    <w:rsid w:val="00D542E1"/>
    <w:pPr>
      <w:suppressAutoHyphens/>
      <w:autoSpaceDE w:val="0"/>
      <w:autoSpaceDN w:val="0"/>
      <w:adjustRightInd w:val="0"/>
      <w:spacing w:line="220" w:lineRule="exact"/>
    </w:pPr>
    <w:rPr>
      <w:noProof/>
      <w:sz w:val="20"/>
    </w:rPr>
  </w:style>
  <w:style w:type="paragraph" w:customStyle="1" w:styleId="Undervedl-tittel">
    <w:name w:val="Undervedl-tittel"/>
    <w:basedOn w:val="Normal"/>
    <w:next w:val="Normal"/>
    <w:rsid w:val="005A0930"/>
    <w:pPr>
      <w:keepNext/>
      <w:spacing w:before="360" w:after="240"/>
    </w:pPr>
    <w:rPr>
      <w:rFonts w:ascii="Arial" w:hAnsi="Arial" w:cstheme="minorBidi"/>
      <w:b/>
      <w:sz w:val="28"/>
    </w:rPr>
  </w:style>
  <w:style w:type="paragraph" w:customStyle="1" w:styleId="undervedl-nr">
    <w:name w:val="undervedl-nr"/>
    <w:basedOn w:val="vedlegg-nr"/>
    <w:next w:val="Normal"/>
    <w:qFormat/>
    <w:rsid w:val="005A0930"/>
    <w:rPr>
      <w:b w:val="0"/>
    </w:rPr>
  </w:style>
  <w:style w:type="paragraph" w:customStyle="1" w:styleId="Kule">
    <w:name w:val="Kule"/>
    <w:rsid w:val="00D542E1"/>
    <w:pPr>
      <w:widowControl w:val="0"/>
      <w:ind w:left="289"/>
    </w:pPr>
    <w:rPr>
      <w:color w:val="000000"/>
      <w:sz w:val="24"/>
    </w:rPr>
  </w:style>
  <w:style w:type="character" w:customStyle="1" w:styleId="hovedtekst">
    <w:name w:val="hovedtekst"/>
    <w:basedOn w:val="Standardskriftforavsnitt"/>
    <w:rsid w:val="00D542E1"/>
  </w:style>
  <w:style w:type="paragraph" w:customStyle="1" w:styleId="H3">
    <w:name w:val="H3"/>
    <w:basedOn w:val="Normal"/>
    <w:next w:val="Normal"/>
    <w:rsid w:val="00D542E1"/>
    <w:pPr>
      <w:keepNext/>
      <w:spacing w:before="100" w:after="100"/>
      <w:outlineLvl w:val="3"/>
    </w:pPr>
    <w:rPr>
      <w:b/>
      <w:snapToGrid w:val="0"/>
      <w:sz w:val="28"/>
    </w:rPr>
  </w:style>
  <w:style w:type="paragraph" w:customStyle="1" w:styleId="font7">
    <w:name w:val="font7"/>
    <w:basedOn w:val="Normal"/>
    <w:rsid w:val="00D542E1"/>
    <w:pPr>
      <w:spacing w:before="100" w:beforeAutospacing="1" w:after="100" w:afterAutospacing="1"/>
    </w:pPr>
    <w:rPr>
      <w:rFonts w:ascii="Arial" w:hAnsi="Arial" w:cs="Arial"/>
      <w:sz w:val="20"/>
    </w:rPr>
  </w:style>
  <w:style w:type="paragraph" w:customStyle="1" w:styleId="Innrykk1">
    <w:name w:val="Innrykk_1"/>
    <w:basedOn w:val="Normal"/>
    <w:rsid w:val="00D542E1"/>
    <w:pPr>
      <w:spacing w:line="300" w:lineRule="exact"/>
      <w:ind w:left="567"/>
    </w:pPr>
    <w:rPr>
      <w:rFonts w:ascii="DepCentury Old Style" w:hAnsi="DepCentury Old Style"/>
    </w:rPr>
  </w:style>
  <w:style w:type="paragraph" w:customStyle="1" w:styleId="font8">
    <w:name w:val="font8"/>
    <w:basedOn w:val="Normal"/>
    <w:rsid w:val="00D542E1"/>
    <w:pPr>
      <w:spacing w:before="100" w:beforeAutospacing="1" w:after="100" w:afterAutospacing="1"/>
    </w:pPr>
    <w:rPr>
      <w:rFonts w:eastAsia="Arial Unicode MS"/>
      <w:b/>
      <w:bCs/>
      <w:color w:val="000000"/>
      <w:szCs w:val="24"/>
    </w:rPr>
  </w:style>
  <w:style w:type="paragraph" w:customStyle="1" w:styleId="xl22">
    <w:name w:val="xl22"/>
    <w:basedOn w:val="Normal"/>
    <w:rsid w:val="00D542E1"/>
    <w:pPr>
      <w:spacing w:before="100" w:beforeAutospacing="1" w:after="100" w:afterAutospacing="1"/>
    </w:pPr>
    <w:rPr>
      <w:rFonts w:eastAsia="Arial Unicode MS"/>
      <w:color w:val="000000"/>
      <w:szCs w:val="24"/>
    </w:rPr>
  </w:style>
  <w:style w:type="paragraph" w:customStyle="1" w:styleId="xl23">
    <w:name w:val="xl23"/>
    <w:basedOn w:val="Normal"/>
    <w:rsid w:val="00D542E1"/>
    <w:pPr>
      <w:spacing w:before="100" w:beforeAutospacing="1" w:after="100" w:afterAutospacing="1"/>
    </w:pPr>
    <w:rPr>
      <w:rFonts w:eastAsia="Arial Unicode MS"/>
      <w:b/>
      <w:bCs/>
      <w:color w:val="000000"/>
      <w:szCs w:val="24"/>
    </w:rPr>
  </w:style>
  <w:style w:type="paragraph" w:customStyle="1" w:styleId="H4">
    <w:name w:val="H4"/>
    <w:basedOn w:val="Normal"/>
    <w:next w:val="Normal"/>
    <w:rsid w:val="00D542E1"/>
    <w:pPr>
      <w:keepNext/>
      <w:spacing w:before="100" w:after="100"/>
      <w:outlineLvl w:val="4"/>
    </w:pPr>
    <w:rPr>
      <w:b/>
      <w:snapToGrid w:val="0"/>
    </w:rPr>
  </w:style>
  <w:style w:type="paragraph" w:customStyle="1" w:styleId="Figuroverskrift">
    <w:name w:val="Figuroverskrift"/>
    <w:next w:val="Normal"/>
    <w:link w:val="FiguroverskriftTegn"/>
    <w:rsid w:val="00D542E1"/>
    <w:pPr>
      <w:keepNext/>
      <w:spacing w:before="240" w:after="60"/>
      <w:ind w:left="1134" w:hanging="1134"/>
    </w:pPr>
    <w:rPr>
      <w:b/>
      <w:sz w:val="22"/>
    </w:rPr>
  </w:style>
  <w:style w:type="paragraph" w:customStyle="1" w:styleId="Figuroverskrift-engelsk">
    <w:name w:val="Figuroverskrift - engelsk"/>
    <w:next w:val="Normal"/>
    <w:rsid w:val="00D542E1"/>
    <w:pPr>
      <w:keepNext/>
      <w:spacing w:after="60"/>
      <w:ind w:left="1134"/>
    </w:pPr>
    <w:rPr>
      <w:i/>
      <w:sz w:val="22"/>
      <w:lang w:val="en-GB"/>
    </w:rPr>
  </w:style>
  <w:style w:type="paragraph" w:customStyle="1" w:styleId="Forfatteropplysning">
    <w:name w:val="Forfatteropplysning"/>
    <w:next w:val="Normal"/>
    <w:rsid w:val="00D542E1"/>
    <w:pPr>
      <w:keepLines/>
      <w:pBdr>
        <w:top w:val="single" w:sz="4" w:space="1" w:color="auto"/>
        <w:left w:val="single" w:sz="4" w:space="4" w:color="auto"/>
        <w:bottom w:val="single" w:sz="4" w:space="1" w:color="auto"/>
        <w:right w:val="single" w:sz="4" w:space="4" w:color="auto"/>
      </w:pBdr>
      <w:spacing w:before="120" w:after="120"/>
    </w:pPr>
    <w:rPr>
      <w:i/>
      <w:sz w:val="22"/>
    </w:rPr>
  </w:style>
  <w:style w:type="paragraph" w:customStyle="1" w:styleId="KildeFotnotetilTabFig">
    <w:name w:val="Kilde/Fotnote til Tab/Fig"/>
    <w:next w:val="Normal"/>
    <w:rsid w:val="00D542E1"/>
    <w:pPr>
      <w:keepLines/>
      <w:spacing w:before="120"/>
    </w:pPr>
    <w:rPr>
      <w:sz w:val="16"/>
    </w:rPr>
  </w:style>
  <w:style w:type="paragraph" w:customStyle="1" w:styleId="Tabelloverskrift">
    <w:name w:val="Tabelloverskrift"/>
    <w:next w:val="Normal"/>
    <w:rsid w:val="00D542E1"/>
    <w:pPr>
      <w:keepNext/>
      <w:spacing w:before="240" w:after="60"/>
      <w:ind w:left="1134" w:hanging="1134"/>
    </w:pPr>
    <w:rPr>
      <w:b/>
      <w:sz w:val="22"/>
    </w:rPr>
  </w:style>
  <w:style w:type="paragraph" w:customStyle="1" w:styleId="Tabelloverskrift-engelsk">
    <w:name w:val="Tabelloverskrift - engelsk"/>
    <w:next w:val="Normal"/>
    <w:rsid w:val="00D542E1"/>
    <w:pPr>
      <w:keepNext/>
      <w:spacing w:after="60"/>
      <w:ind w:left="1134"/>
    </w:pPr>
    <w:rPr>
      <w:i/>
      <w:sz w:val="22"/>
      <w:lang w:val="en-GB"/>
    </w:rPr>
  </w:style>
  <w:style w:type="paragraph" w:customStyle="1" w:styleId="Overskrift48">
    <w:name w:val="Overskrift 48"/>
    <w:basedOn w:val="Normal"/>
    <w:rsid w:val="00D542E1"/>
    <w:pPr>
      <w:spacing w:before="100" w:beforeAutospacing="1" w:after="100" w:afterAutospacing="1"/>
      <w:outlineLvl w:val="4"/>
    </w:pPr>
    <w:rPr>
      <w:b/>
      <w:bCs/>
      <w:szCs w:val="24"/>
    </w:rPr>
  </w:style>
  <w:style w:type="paragraph" w:customStyle="1" w:styleId="Sak">
    <w:name w:val="Sak"/>
    <w:basedOn w:val="Normal"/>
    <w:rsid w:val="00D542E1"/>
    <w:rPr>
      <w:rFonts w:ascii="Garamond" w:hAnsi="Garamond"/>
      <w:b/>
    </w:rPr>
  </w:style>
  <w:style w:type="paragraph" w:customStyle="1" w:styleId="Stil1">
    <w:name w:val="Stil1"/>
    <w:basedOn w:val="Normal"/>
    <w:rsid w:val="00D542E1"/>
    <w:rPr>
      <w:rFonts w:ascii="AGaramond" w:hAnsi="AGaramond"/>
      <w:b/>
    </w:rPr>
  </w:style>
  <w:style w:type="paragraph" w:customStyle="1" w:styleId="apibody">
    <w:name w:val="apibody"/>
    <w:basedOn w:val="Normal"/>
    <w:rsid w:val="00D542E1"/>
    <w:pPr>
      <w:spacing w:before="100" w:beforeAutospacing="1" w:after="100" w:afterAutospacing="1"/>
    </w:pPr>
    <w:rPr>
      <w:szCs w:val="24"/>
    </w:rPr>
  </w:style>
  <w:style w:type="paragraph" w:customStyle="1" w:styleId="Overskrift44">
    <w:name w:val="Overskrift 44"/>
    <w:basedOn w:val="Normal"/>
    <w:rsid w:val="00D542E1"/>
    <w:pPr>
      <w:spacing w:before="100" w:beforeAutospacing="1" w:after="100" w:afterAutospacing="1"/>
      <w:outlineLvl w:val="4"/>
    </w:pPr>
    <w:rPr>
      <w:b/>
      <w:bCs/>
      <w:szCs w:val="24"/>
    </w:rPr>
  </w:style>
  <w:style w:type="paragraph" w:customStyle="1" w:styleId="Niv3">
    <w:name w:val="Nivå 3"/>
    <w:basedOn w:val="Normal"/>
    <w:autoRedefine/>
    <w:rsid w:val="00D542E1"/>
    <w:rPr>
      <w:szCs w:val="24"/>
    </w:rPr>
  </w:style>
  <w:style w:type="paragraph" w:customStyle="1" w:styleId="apileadtext">
    <w:name w:val="apileadtext"/>
    <w:basedOn w:val="Normal"/>
    <w:rsid w:val="00D542E1"/>
    <w:pPr>
      <w:spacing w:before="100" w:beforeAutospacing="1" w:after="100" w:afterAutospacing="1"/>
    </w:pPr>
    <w:rPr>
      <w:szCs w:val="24"/>
    </w:rPr>
  </w:style>
  <w:style w:type="paragraph" w:customStyle="1" w:styleId="Overskriftfigur">
    <w:name w:val="Overskrift figur"/>
    <w:basedOn w:val="Normal"/>
    <w:next w:val="Normal"/>
    <w:link w:val="OverskriftfigurTegn"/>
    <w:rsid w:val="00D542E1"/>
    <w:pPr>
      <w:tabs>
        <w:tab w:val="left" w:pos="284"/>
      </w:tabs>
      <w:suppressAutoHyphens/>
    </w:pPr>
    <w:rPr>
      <w:rFonts w:cs="Arial"/>
      <w:bCs/>
      <w:i/>
      <w:iCs/>
      <w:sz w:val="22"/>
      <w:szCs w:val="22"/>
    </w:rPr>
  </w:style>
  <w:style w:type="character" w:customStyle="1" w:styleId="OverskriftfigurTegn">
    <w:name w:val="Overskrift figur Tegn"/>
    <w:basedOn w:val="Standardskriftforavsnitt"/>
    <w:link w:val="Overskriftfigur"/>
    <w:rsid w:val="00D542E1"/>
    <w:rPr>
      <w:rFonts w:cs="Arial"/>
      <w:bCs/>
      <w:i/>
      <w:iCs/>
      <w:sz w:val="22"/>
      <w:szCs w:val="22"/>
    </w:rPr>
  </w:style>
  <w:style w:type="paragraph" w:customStyle="1" w:styleId="Overskrift38">
    <w:name w:val="Overskrift 38"/>
    <w:basedOn w:val="Normal"/>
    <w:rsid w:val="00D542E1"/>
    <w:pPr>
      <w:spacing w:before="100" w:beforeAutospacing="1" w:after="100" w:afterAutospacing="1"/>
      <w:outlineLvl w:val="3"/>
    </w:pPr>
    <w:rPr>
      <w:b/>
      <w:bCs/>
      <w:sz w:val="28"/>
      <w:szCs w:val="28"/>
    </w:rPr>
  </w:style>
  <w:style w:type="paragraph" w:customStyle="1" w:styleId="embedded">
    <w:name w:val="embedded"/>
    <w:basedOn w:val="Normal"/>
    <w:rsid w:val="00D542E1"/>
    <w:rPr>
      <w:rFonts w:ascii="Arial" w:hAnsi="Arial" w:cs="Arial"/>
      <w:b/>
      <w:bCs/>
      <w:sz w:val="14"/>
      <w:szCs w:val="14"/>
    </w:rPr>
  </w:style>
  <w:style w:type="paragraph" w:customStyle="1" w:styleId="column">
    <w:name w:val="column"/>
    <w:basedOn w:val="Normal"/>
    <w:rsid w:val="00D542E1"/>
    <w:pPr>
      <w:spacing w:before="100" w:beforeAutospacing="1" w:after="100" w:afterAutospacing="1"/>
    </w:pPr>
    <w:rPr>
      <w:rFonts w:ascii="Arial" w:hAnsi="Arial" w:cs="Arial"/>
      <w:color w:val="000000"/>
      <w:sz w:val="19"/>
      <w:szCs w:val="19"/>
    </w:rPr>
  </w:style>
  <w:style w:type="paragraph" w:customStyle="1" w:styleId="smalltext">
    <w:name w:val="smalltext"/>
    <w:basedOn w:val="Normal"/>
    <w:rsid w:val="00D542E1"/>
    <w:pPr>
      <w:spacing w:before="100" w:beforeAutospacing="1" w:after="100" w:afterAutospacing="1"/>
    </w:pPr>
    <w:rPr>
      <w:rFonts w:ascii="Arial" w:hAnsi="Arial" w:cs="Arial"/>
      <w:color w:val="000000"/>
      <w:sz w:val="17"/>
      <w:szCs w:val="17"/>
    </w:rPr>
  </w:style>
  <w:style w:type="paragraph" w:customStyle="1" w:styleId="rcolumn">
    <w:name w:val="rcolumn"/>
    <w:basedOn w:val="Normal"/>
    <w:rsid w:val="00D542E1"/>
    <w:pPr>
      <w:spacing w:before="100" w:beforeAutospacing="1" w:after="100" w:afterAutospacing="1"/>
    </w:pPr>
    <w:rPr>
      <w:rFonts w:ascii="Arial" w:hAnsi="Arial" w:cs="Arial"/>
      <w:szCs w:val="24"/>
    </w:rPr>
  </w:style>
  <w:style w:type="paragraph" w:customStyle="1" w:styleId="alert">
    <w:name w:val="alert"/>
    <w:basedOn w:val="Normal"/>
    <w:rsid w:val="00D542E1"/>
    <w:pPr>
      <w:spacing w:before="100" w:beforeAutospacing="1" w:after="100" w:afterAutospacing="1"/>
    </w:pPr>
    <w:rPr>
      <w:color w:val="FF0000"/>
      <w:sz w:val="19"/>
      <w:szCs w:val="19"/>
    </w:rPr>
  </w:style>
  <w:style w:type="paragraph" w:customStyle="1" w:styleId="hidden">
    <w:name w:val="hidden"/>
    <w:basedOn w:val="Normal"/>
    <w:rsid w:val="00D542E1"/>
    <w:pPr>
      <w:spacing w:before="100" w:beforeAutospacing="1" w:after="100" w:afterAutospacing="1"/>
    </w:pPr>
    <w:rPr>
      <w:vanish/>
      <w:szCs w:val="24"/>
    </w:rPr>
  </w:style>
  <w:style w:type="paragraph" w:customStyle="1" w:styleId="vmlink">
    <w:name w:val="vmlink"/>
    <w:basedOn w:val="Normal"/>
    <w:rsid w:val="00D542E1"/>
    <w:pPr>
      <w:spacing w:before="100" w:beforeAutospacing="1" w:after="154"/>
    </w:pPr>
    <w:rPr>
      <w:szCs w:val="24"/>
    </w:rPr>
  </w:style>
  <w:style w:type="paragraph" w:customStyle="1" w:styleId="lmheading">
    <w:name w:val="lmheading"/>
    <w:basedOn w:val="Normal"/>
    <w:rsid w:val="00D542E1"/>
    <w:pPr>
      <w:pBdr>
        <w:bottom w:val="single" w:sz="4" w:space="0" w:color="CCCCCC"/>
      </w:pBdr>
      <w:spacing w:after="26"/>
    </w:pPr>
    <w:rPr>
      <w:b/>
      <w:bCs/>
      <w:color w:val="000000"/>
      <w:sz w:val="26"/>
      <w:szCs w:val="26"/>
    </w:rPr>
  </w:style>
  <w:style w:type="paragraph" w:customStyle="1" w:styleId="contents">
    <w:name w:val="contents"/>
    <w:basedOn w:val="Normal"/>
    <w:rsid w:val="00D542E1"/>
    <w:pPr>
      <w:spacing w:before="100" w:beforeAutospacing="1" w:after="100" w:afterAutospacing="1"/>
    </w:pPr>
    <w:rPr>
      <w:color w:val="000000"/>
      <w:sz w:val="19"/>
      <w:szCs w:val="19"/>
    </w:rPr>
  </w:style>
  <w:style w:type="paragraph" w:customStyle="1" w:styleId="globalmenu">
    <w:name w:val="globalmenu"/>
    <w:basedOn w:val="Normal"/>
    <w:rsid w:val="00D542E1"/>
    <w:pPr>
      <w:spacing w:before="100" w:beforeAutospacing="1" w:after="100" w:afterAutospacing="1"/>
    </w:pPr>
    <w:rPr>
      <w:rFonts w:ascii="Arial" w:hAnsi="Arial" w:cs="Arial"/>
      <w:color w:val="FFFFFF"/>
      <w:sz w:val="15"/>
      <w:szCs w:val="15"/>
    </w:rPr>
  </w:style>
  <w:style w:type="paragraph" w:customStyle="1" w:styleId="localmenu">
    <w:name w:val="localmenu"/>
    <w:basedOn w:val="Normal"/>
    <w:rsid w:val="00D542E1"/>
    <w:pPr>
      <w:spacing w:before="100" w:beforeAutospacing="1" w:after="100" w:afterAutospacing="1"/>
    </w:pPr>
    <w:rPr>
      <w:rFonts w:ascii="Arial" w:hAnsi="Arial" w:cs="Arial"/>
      <w:color w:val="FFFFFF"/>
      <w:sz w:val="17"/>
      <w:szCs w:val="17"/>
    </w:rPr>
  </w:style>
  <w:style w:type="paragraph" w:customStyle="1" w:styleId="funcmenu">
    <w:name w:val="funcmenu"/>
    <w:basedOn w:val="Normal"/>
    <w:rsid w:val="00D542E1"/>
    <w:pPr>
      <w:spacing w:before="100" w:beforeAutospacing="1" w:after="100" w:afterAutospacing="1"/>
    </w:pPr>
    <w:rPr>
      <w:rFonts w:ascii="Arial" w:hAnsi="Arial" w:cs="Arial"/>
      <w:color w:val="000066"/>
      <w:sz w:val="17"/>
      <w:szCs w:val="17"/>
    </w:rPr>
  </w:style>
  <w:style w:type="paragraph" w:customStyle="1" w:styleId="inactive">
    <w:name w:val="inactive"/>
    <w:basedOn w:val="Normal"/>
    <w:rsid w:val="00D542E1"/>
    <w:pPr>
      <w:spacing w:before="100" w:beforeAutospacing="1" w:after="100" w:afterAutospacing="1"/>
    </w:pPr>
    <w:rPr>
      <w:color w:val="666699"/>
      <w:szCs w:val="24"/>
    </w:rPr>
  </w:style>
  <w:style w:type="paragraph" w:customStyle="1" w:styleId="Overskrift11">
    <w:name w:val="Overskrift 11"/>
    <w:basedOn w:val="Normal"/>
    <w:rsid w:val="00D542E1"/>
    <w:pPr>
      <w:spacing w:before="100" w:beforeAutospacing="1"/>
      <w:outlineLvl w:val="1"/>
    </w:pPr>
    <w:rPr>
      <w:b/>
      <w:bCs/>
      <w:kern w:val="36"/>
      <w:sz w:val="40"/>
      <w:szCs w:val="40"/>
    </w:rPr>
  </w:style>
  <w:style w:type="paragraph" w:customStyle="1" w:styleId="Overskrift31">
    <w:name w:val="Overskrift 31"/>
    <w:basedOn w:val="Normal"/>
    <w:rsid w:val="00D542E1"/>
    <w:pPr>
      <w:spacing w:before="100" w:beforeAutospacing="1"/>
      <w:outlineLvl w:val="3"/>
    </w:pPr>
    <w:rPr>
      <w:b/>
      <w:bCs/>
      <w:sz w:val="28"/>
      <w:szCs w:val="28"/>
    </w:rPr>
  </w:style>
  <w:style w:type="paragraph" w:customStyle="1" w:styleId="Overskrift41">
    <w:name w:val="Overskrift 41"/>
    <w:basedOn w:val="Normal"/>
    <w:rsid w:val="00D542E1"/>
    <w:pPr>
      <w:spacing w:before="100" w:beforeAutospacing="1"/>
      <w:outlineLvl w:val="4"/>
    </w:pPr>
    <w:rPr>
      <w:b/>
      <w:bCs/>
      <w:szCs w:val="24"/>
    </w:rPr>
  </w:style>
  <w:style w:type="paragraph" w:customStyle="1" w:styleId="Overskrift51">
    <w:name w:val="Overskrift 51"/>
    <w:basedOn w:val="Normal"/>
    <w:rsid w:val="00D542E1"/>
    <w:pPr>
      <w:spacing w:before="100" w:beforeAutospacing="1"/>
      <w:outlineLvl w:val="5"/>
    </w:pPr>
    <w:rPr>
      <w:b/>
      <w:bCs/>
      <w:sz w:val="22"/>
      <w:szCs w:val="22"/>
    </w:rPr>
  </w:style>
  <w:style w:type="paragraph" w:customStyle="1" w:styleId="NormalWeb1">
    <w:name w:val="Normal (Web)1"/>
    <w:basedOn w:val="Normal"/>
    <w:rsid w:val="00D542E1"/>
    <w:pPr>
      <w:spacing w:after="100" w:afterAutospacing="1"/>
    </w:pPr>
    <w:rPr>
      <w:szCs w:val="24"/>
    </w:rPr>
  </w:style>
  <w:style w:type="paragraph" w:customStyle="1" w:styleId="Overskrift12">
    <w:name w:val="Overskrift 12"/>
    <w:basedOn w:val="Normal"/>
    <w:rsid w:val="00D542E1"/>
    <w:pPr>
      <w:spacing w:before="100" w:beforeAutospacing="1"/>
      <w:outlineLvl w:val="1"/>
    </w:pPr>
    <w:rPr>
      <w:b/>
      <w:bCs/>
      <w:kern w:val="36"/>
      <w:sz w:val="36"/>
      <w:szCs w:val="36"/>
    </w:rPr>
  </w:style>
  <w:style w:type="paragraph" w:customStyle="1" w:styleId="Overskrift22">
    <w:name w:val="Overskrift 22"/>
    <w:basedOn w:val="Normal"/>
    <w:rsid w:val="00D542E1"/>
    <w:pPr>
      <w:spacing w:before="100" w:beforeAutospacing="1"/>
      <w:outlineLvl w:val="2"/>
    </w:pPr>
    <w:rPr>
      <w:b/>
      <w:bCs/>
      <w:sz w:val="31"/>
      <w:szCs w:val="31"/>
    </w:rPr>
  </w:style>
  <w:style w:type="paragraph" w:customStyle="1" w:styleId="Overskrift32">
    <w:name w:val="Overskrift 32"/>
    <w:basedOn w:val="Normal"/>
    <w:rsid w:val="00D542E1"/>
    <w:pPr>
      <w:spacing w:before="100" w:beforeAutospacing="1"/>
      <w:outlineLvl w:val="3"/>
    </w:pPr>
    <w:rPr>
      <w:b/>
      <w:bCs/>
      <w:sz w:val="28"/>
      <w:szCs w:val="28"/>
    </w:rPr>
  </w:style>
  <w:style w:type="paragraph" w:customStyle="1" w:styleId="Overskrift42">
    <w:name w:val="Overskrift 42"/>
    <w:basedOn w:val="Normal"/>
    <w:rsid w:val="00D542E1"/>
    <w:pPr>
      <w:spacing w:before="100" w:beforeAutospacing="1"/>
      <w:outlineLvl w:val="4"/>
    </w:pPr>
    <w:rPr>
      <w:b/>
      <w:bCs/>
      <w:szCs w:val="24"/>
    </w:rPr>
  </w:style>
  <w:style w:type="paragraph" w:customStyle="1" w:styleId="Overskrift52">
    <w:name w:val="Overskrift 52"/>
    <w:basedOn w:val="Normal"/>
    <w:rsid w:val="00D542E1"/>
    <w:pPr>
      <w:spacing w:before="100" w:beforeAutospacing="1"/>
      <w:outlineLvl w:val="5"/>
    </w:pPr>
    <w:rPr>
      <w:b/>
      <w:bCs/>
      <w:sz w:val="23"/>
      <w:szCs w:val="23"/>
    </w:rPr>
  </w:style>
  <w:style w:type="paragraph" w:customStyle="1" w:styleId="NormalWeb2">
    <w:name w:val="Normal (Web)2"/>
    <w:basedOn w:val="Normal"/>
    <w:rsid w:val="00D542E1"/>
    <w:pPr>
      <w:spacing w:after="100" w:afterAutospacing="1"/>
    </w:pPr>
    <w:rPr>
      <w:szCs w:val="24"/>
    </w:rPr>
  </w:style>
  <w:style w:type="paragraph" w:customStyle="1" w:styleId="NormalWeb3">
    <w:name w:val="Normal (Web)3"/>
    <w:basedOn w:val="Normal"/>
    <w:rsid w:val="00D542E1"/>
    <w:rPr>
      <w:szCs w:val="24"/>
    </w:rPr>
  </w:style>
  <w:style w:type="paragraph" w:customStyle="1" w:styleId="Overskrift43">
    <w:name w:val="Overskrift 43"/>
    <w:basedOn w:val="Normal"/>
    <w:rsid w:val="00D542E1"/>
    <w:pPr>
      <w:outlineLvl w:val="4"/>
    </w:pPr>
    <w:rPr>
      <w:b/>
      <w:bCs/>
      <w:szCs w:val="24"/>
    </w:rPr>
  </w:style>
  <w:style w:type="paragraph" w:customStyle="1" w:styleId="Overskrift13">
    <w:name w:val="Overskrift 13"/>
    <w:basedOn w:val="Normal"/>
    <w:rsid w:val="00D542E1"/>
    <w:pPr>
      <w:spacing w:before="100" w:beforeAutospacing="1"/>
      <w:outlineLvl w:val="1"/>
    </w:pPr>
    <w:rPr>
      <w:b/>
      <w:bCs/>
      <w:kern w:val="36"/>
      <w:sz w:val="40"/>
      <w:szCs w:val="40"/>
    </w:rPr>
  </w:style>
  <w:style w:type="paragraph" w:customStyle="1" w:styleId="Overskrift23">
    <w:name w:val="Overskrift 23"/>
    <w:basedOn w:val="Normal"/>
    <w:rsid w:val="00D542E1"/>
    <w:pPr>
      <w:spacing w:before="100" w:beforeAutospacing="1"/>
      <w:outlineLvl w:val="2"/>
    </w:pPr>
    <w:rPr>
      <w:b/>
      <w:bCs/>
      <w:sz w:val="34"/>
      <w:szCs w:val="34"/>
    </w:rPr>
  </w:style>
  <w:style w:type="paragraph" w:customStyle="1" w:styleId="Overskrift33">
    <w:name w:val="Overskrift 33"/>
    <w:basedOn w:val="Normal"/>
    <w:rsid w:val="00D542E1"/>
    <w:pPr>
      <w:spacing w:before="100" w:beforeAutospacing="1"/>
      <w:outlineLvl w:val="3"/>
    </w:pPr>
    <w:rPr>
      <w:b/>
      <w:bCs/>
      <w:sz w:val="28"/>
      <w:szCs w:val="28"/>
    </w:rPr>
  </w:style>
  <w:style w:type="paragraph" w:customStyle="1" w:styleId="NormalWeb4">
    <w:name w:val="Normal (Web)4"/>
    <w:basedOn w:val="Normal"/>
    <w:rsid w:val="00D542E1"/>
    <w:rPr>
      <w:szCs w:val="24"/>
    </w:rPr>
  </w:style>
  <w:style w:type="paragraph" w:customStyle="1" w:styleId="NormalWeb5">
    <w:name w:val="Normal (Web)5"/>
    <w:basedOn w:val="Normal"/>
    <w:rsid w:val="00D542E1"/>
    <w:rPr>
      <w:szCs w:val="24"/>
    </w:rPr>
  </w:style>
  <w:style w:type="paragraph" w:customStyle="1" w:styleId="Overskrift14">
    <w:name w:val="Overskrift 14"/>
    <w:basedOn w:val="Normal"/>
    <w:rsid w:val="00D542E1"/>
    <w:pPr>
      <w:spacing w:before="100" w:beforeAutospacing="1" w:after="100" w:afterAutospacing="1"/>
      <w:outlineLvl w:val="1"/>
    </w:pPr>
    <w:rPr>
      <w:b/>
      <w:bCs/>
      <w:kern w:val="36"/>
      <w:sz w:val="40"/>
      <w:szCs w:val="40"/>
    </w:rPr>
  </w:style>
  <w:style w:type="paragraph" w:customStyle="1" w:styleId="Overskrift24">
    <w:name w:val="Overskrift 24"/>
    <w:basedOn w:val="Normal"/>
    <w:rsid w:val="00D542E1"/>
    <w:pPr>
      <w:spacing w:before="100" w:beforeAutospacing="1" w:after="100" w:afterAutospacing="1"/>
      <w:outlineLvl w:val="2"/>
    </w:pPr>
    <w:rPr>
      <w:b/>
      <w:bCs/>
      <w:sz w:val="34"/>
      <w:szCs w:val="34"/>
    </w:rPr>
  </w:style>
  <w:style w:type="paragraph" w:customStyle="1" w:styleId="Overskrift34">
    <w:name w:val="Overskrift 34"/>
    <w:basedOn w:val="Normal"/>
    <w:rsid w:val="00D542E1"/>
    <w:pPr>
      <w:spacing w:before="100" w:beforeAutospacing="1" w:after="100" w:afterAutospacing="1"/>
      <w:outlineLvl w:val="3"/>
    </w:pPr>
    <w:rPr>
      <w:b/>
      <w:bCs/>
      <w:sz w:val="28"/>
      <w:szCs w:val="28"/>
    </w:rPr>
  </w:style>
  <w:style w:type="paragraph" w:customStyle="1" w:styleId="Overskrift53">
    <w:name w:val="Overskrift 53"/>
    <w:basedOn w:val="Normal"/>
    <w:rsid w:val="00D542E1"/>
    <w:pPr>
      <w:spacing w:before="100" w:beforeAutospacing="1" w:after="100" w:afterAutospacing="1"/>
      <w:outlineLvl w:val="5"/>
    </w:pPr>
    <w:rPr>
      <w:b/>
      <w:bCs/>
      <w:sz w:val="22"/>
      <w:szCs w:val="22"/>
    </w:rPr>
  </w:style>
  <w:style w:type="paragraph" w:customStyle="1" w:styleId="HTML-forhndsformatert1">
    <w:name w:val="HTML-forhåndsformatert1"/>
    <w:basedOn w:val="Normal"/>
    <w:rsid w:val="00D5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sz w:val="20"/>
    </w:rPr>
  </w:style>
  <w:style w:type="paragraph" w:customStyle="1" w:styleId="Overskrift15">
    <w:name w:val="Overskrift 15"/>
    <w:basedOn w:val="Normal"/>
    <w:rsid w:val="00D542E1"/>
    <w:pPr>
      <w:spacing w:before="100" w:beforeAutospacing="1"/>
      <w:outlineLvl w:val="1"/>
    </w:pPr>
    <w:rPr>
      <w:b/>
      <w:bCs/>
      <w:kern w:val="36"/>
      <w:sz w:val="40"/>
      <w:szCs w:val="40"/>
    </w:rPr>
  </w:style>
  <w:style w:type="paragraph" w:customStyle="1" w:styleId="Overskrift25">
    <w:name w:val="Overskrift 25"/>
    <w:basedOn w:val="Normal"/>
    <w:rsid w:val="00D542E1"/>
    <w:pPr>
      <w:spacing w:before="100" w:beforeAutospacing="1"/>
      <w:outlineLvl w:val="2"/>
    </w:pPr>
    <w:rPr>
      <w:b/>
      <w:bCs/>
      <w:sz w:val="34"/>
      <w:szCs w:val="34"/>
    </w:rPr>
  </w:style>
  <w:style w:type="paragraph" w:customStyle="1" w:styleId="Overskrift35">
    <w:name w:val="Overskrift 35"/>
    <w:basedOn w:val="Normal"/>
    <w:rsid w:val="00D542E1"/>
    <w:pPr>
      <w:spacing w:before="100" w:beforeAutospacing="1"/>
      <w:outlineLvl w:val="3"/>
    </w:pPr>
    <w:rPr>
      <w:b/>
      <w:bCs/>
      <w:sz w:val="28"/>
      <w:szCs w:val="28"/>
    </w:rPr>
  </w:style>
  <w:style w:type="paragraph" w:customStyle="1" w:styleId="Overskrift45">
    <w:name w:val="Overskrift 45"/>
    <w:basedOn w:val="Normal"/>
    <w:rsid w:val="00D542E1"/>
    <w:pPr>
      <w:spacing w:before="100" w:beforeAutospacing="1"/>
      <w:outlineLvl w:val="4"/>
    </w:pPr>
    <w:rPr>
      <w:b/>
      <w:bCs/>
      <w:szCs w:val="24"/>
    </w:rPr>
  </w:style>
  <w:style w:type="paragraph" w:customStyle="1" w:styleId="Overskrift54">
    <w:name w:val="Overskrift 54"/>
    <w:basedOn w:val="Normal"/>
    <w:rsid w:val="00D542E1"/>
    <w:pPr>
      <w:spacing w:before="100" w:beforeAutospacing="1"/>
      <w:outlineLvl w:val="5"/>
    </w:pPr>
    <w:rPr>
      <w:b/>
      <w:bCs/>
      <w:sz w:val="22"/>
      <w:szCs w:val="22"/>
    </w:rPr>
  </w:style>
  <w:style w:type="paragraph" w:customStyle="1" w:styleId="NormalWeb6">
    <w:name w:val="Normal (Web)6"/>
    <w:basedOn w:val="Normal"/>
    <w:rsid w:val="00D542E1"/>
    <w:pPr>
      <w:spacing w:after="100" w:afterAutospacing="1"/>
    </w:pPr>
    <w:rPr>
      <w:szCs w:val="24"/>
    </w:rPr>
  </w:style>
  <w:style w:type="paragraph" w:customStyle="1" w:styleId="Overskrift16">
    <w:name w:val="Overskrift 16"/>
    <w:basedOn w:val="Normal"/>
    <w:rsid w:val="00D542E1"/>
    <w:pPr>
      <w:spacing w:before="100" w:beforeAutospacing="1"/>
      <w:outlineLvl w:val="1"/>
    </w:pPr>
    <w:rPr>
      <w:b/>
      <w:bCs/>
      <w:kern w:val="36"/>
      <w:sz w:val="36"/>
      <w:szCs w:val="36"/>
    </w:rPr>
  </w:style>
  <w:style w:type="paragraph" w:customStyle="1" w:styleId="Overskrift26">
    <w:name w:val="Overskrift 26"/>
    <w:basedOn w:val="Normal"/>
    <w:rsid w:val="00D542E1"/>
    <w:pPr>
      <w:spacing w:before="100" w:beforeAutospacing="1"/>
      <w:outlineLvl w:val="2"/>
    </w:pPr>
    <w:rPr>
      <w:b/>
      <w:bCs/>
      <w:sz w:val="31"/>
      <w:szCs w:val="31"/>
    </w:rPr>
  </w:style>
  <w:style w:type="paragraph" w:customStyle="1" w:styleId="Overskrift36">
    <w:name w:val="Overskrift 36"/>
    <w:basedOn w:val="Normal"/>
    <w:rsid w:val="00D542E1"/>
    <w:pPr>
      <w:spacing w:before="100" w:beforeAutospacing="1"/>
      <w:outlineLvl w:val="3"/>
    </w:pPr>
    <w:rPr>
      <w:b/>
      <w:bCs/>
      <w:sz w:val="28"/>
      <w:szCs w:val="28"/>
    </w:rPr>
  </w:style>
  <w:style w:type="paragraph" w:customStyle="1" w:styleId="Overskrift46">
    <w:name w:val="Overskrift 46"/>
    <w:basedOn w:val="Normal"/>
    <w:rsid w:val="00D542E1"/>
    <w:pPr>
      <w:spacing w:before="100" w:beforeAutospacing="1"/>
      <w:outlineLvl w:val="4"/>
    </w:pPr>
    <w:rPr>
      <w:b/>
      <w:bCs/>
      <w:szCs w:val="24"/>
    </w:rPr>
  </w:style>
  <w:style w:type="paragraph" w:customStyle="1" w:styleId="Overskrift55">
    <w:name w:val="Overskrift 55"/>
    <w:basedOn w:val="Normal"/>
    <w:rsid w:val="00D542E1"/>
    <w:pPr>
      <w:spacing w:before="100" w:beforeAutospacing="1"/>
      <w:outlineLvl w:val="5"/>
    </w:pPr>
    <w:rPr>
      <w:b/>
      <w:bCs/>
      <w:sz w:val="23"/>
      <w:szCs w:val="23"/>
    </w:rPr>
  </w:style>
  <w:style w:type="paragraph" w:customStyle="1" w:styleId="NormalWeb7">
    <w:name w:val="Normal (Web)7"/>
    <w:basedOn w:val="Normal"/>
    <w:rsid w:val="00D542E1"/>
    <w:pPr>
      <w:spacing w:after="100" w:afterAutospacing="1"/>
    </w:pPr>
    <w:rPr>
      <w:szCs w:val="24"/>
    </w:rPr>
  </w:style>
  <w:style w:type="paragraph" w:customStyle="1" w:styleId="NormalWeb8">
    <w:name w:val="Normal (Web)8"/>
    <w:basedOn w:val="Normal"/>
    <w:rsid w:val="00D542E1"/>
    <w:rPr>
      <w:szCs w:val="24"/>
    </w:rPr>
  </w:style>
  <w:style w:type="paragraph" w:customStyle="1" w:styleId="Overskrift47">
    <w:name w:val="Overskrift 47"/>
    <w:basedOn w:val="Normal"/>
    <w:rsid w:val="00D542E1"/>
    <w:pPr>
      <w:outlineLvl w:val="4"/>
    </w:pPr>
    <w:rPr>
      <w:b/>
      <w:bCs/>
      <w:szCs w:val="24"/>
    </w:rPr>
  </w:style>
  <w:style w:type="paragraph" w:customStyle="1" w:styleId="Overskrift17">
    <w:name w:val="Overskrift 17"/>
    <w:basedOn w:val="Normal"/>
    <w:rsid w:val="00D542E1"/>
    <w:pPr>
      <w:spacing w:before="100" w:beforeAutospacing="1"/>
      <w:outlineLvl w:val="1"/>
    </w:pPr>
    <w:rPr>
      <w:b/>
      <w:bCs/>
      <w:kern w:val="36"/>
      <w:sz w:val="40"/>
      <w:szCs w:val="40"/>
    </w:rPr>
  </w:style>
  <w:style w:type="paragraph" w:customStyle="1" w:styleId="Overskrift27">
    <w:name w:val="Overskrift 27"/>
    <w:basedOn w:val="Normal"/>
    <w:rsid w:val="00D542E1"/>
    <w:pPr>
      <w:spacing w:before="100" w:beforeAutospacing="1"/>
      <w:outlineLvl w:val="2"/>
    </w:pPr>
    <w:rPr>
      <w:b/>
      <w:bCs/>
      <w:sz w:val="34"/>
      <w:szCs w:val="34"/>
    </w:rPr>
  </w:style>
  <w:style w:type="paragraph" w:customStyle="1" w:styleId="Overskrift37">
    <w:name w:val="Overskrift 37"/>
    <w:basedOn w:val="Normal"/>
    <w:rsid w:val="00D542E1"/>
    <w:pPr>
      <w:spacing w:before="100" w:beforeAutospacing="1"/>
      <w:outlineLvl w:val="3"/>
    </w:pPr>
    <w:rPr>
      <w:b/>
      <w:bCs/>
      <w:sz w:val="28"/>
      <w:szCs w:val="28"/>
    </w:rPr>
  </w:style>
  <w:style w:type="paragraph" w:customStyle="1" w:styleId="NormalWeb9">
    <w:name w:val="Normal (Web)9"/>
    <w:basedOn w:val="Normal"/>
    <w:rsid w:val="00D542E1"/>
    <w:rPr>
      <w:szCs w:val="24"/>
    </w:rPr>
  </w:style>
  <w:style w:type="paragraph" w:customStyle="1" w:styleId="NormalWeb10">
    <w:name w:val="Normal (Web)10"/>
    <w:basedOn w:val="Normal"/>
    <w:rsid w:val="00D542E1"/>
    <w:rPr>
      <w:szCs w:val="24"/>
    </w:rPr>
  </w:style>
  <w:style w:type="paragraph" w:customStyle="1" w:styleId="Overskrift18">
    <w:name w:val="Overskrift 18"/>
    <w:basedOn w:val="Normal"/>
    <w:rsid w:val="00D542E1"/>
    <w:pPr>
      <w:spacing w:before="100" w:beforeAutospacing="1" w:after="100" w:afterAutospacing="1"/>
      <w:outlineLvl w:val="1"/>
    </w:pPr>
    <w:rPr>
      <w:b/>
      <w:bCs/>
      <w:kern w:val="36"/>
      <w:sz w:val="40"/>
      <w:szCs w:val="40"/>
    </w:rPr>
  </w:style>
  <w:style w:type="paragraph" w:customStyle="1" w:styleId="Overskrift28">
    <w:name w:val="Overskrift 28"/>
    <w:basedOn w:val="Normal"/>
    <w:rsid w:val="00D542E1"/>
    <w:pPr>
      <w:spacing w:before="100" w:beforeAutospacing="1" w:after="100" w:afterAutospacing="1"/>
      <w:outlineLvl w:val="2"/>
    </w:pPr>
    <w:rPr>
      <w:b/>
      <w:bCs/>
      <w:sz w:val="34"/>
      <w:szCs w:val="34"/>
    </w:rPr>
  </w:style>
  <w:style w:type="paragraph" w:customStyle="1" w:styleId="Overskrift56">
    <w:name w:val="Overskrift 56"/>
    <w:basedOn w:val="Normal"/>
    <w:rsid w:val="00D542E1"/>
    <w:pPr>
      <w:spacing w:before="100" w:beforeAutospacing="1" w:after="100" w:afterAutospacing="1"/>
      <w:outlineLvl w:val="5"/>
    </w:pPr>
    <w:rPr>
      <w:b/>
      <w:bCs/>
      <w:sz w:val="22"/>
      <w:szCs w:val="22"/>
    </w:rPr>
  </w:style>
  <w:style w:type="paragraph" w:customStyle="1" w:styleId="HTML-forhndsformatert2">
    <w:name w:val="HTML-forhåndsformatert2"/>
    <w:basedOn w:val="Normal"/>
    <w:rsid w:val="00D5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sz w:val="20"/>
    </w:rPr>
  </w:style>
  <w:style w:type="paragraph" w:customStyle="1" w:styleId="Default">
    <w:name w:val="Default"/>
    <w:rsid w:val="00D542E1"/>
    <w:pPr>
      <w:autoSpaceDE w:val="0"/>
      <w:autoSpaceDN w:val="0"/>
      <w:adjustRightInd w:val="0"/>
    </w:pPr>
    <w:rPr>
      <w:color w:val="000000"/>
      <w:sz w:val="24"/>
      <w:szCs w:val="24"/>
    </w:rPr>
  </w:style>
  <w:style w:type="paragraph" w:styleId="Merknadstekst">
    <w:name w:val="annotation text"/>
    <w:basedOn w:val="Normal"/>
    <w:link w:val="MerknadstekstTegn"/>
    <w:rsid w:val="005A0930"/>
    <w:rPr>
      <w:sz w:val="20"/>
    </w:rPr>
  </w:style>
  <w:style w:type="character" w:customStyle="1" w:styleId="MerknadstekstTegn">
    <w:name w:val="Merknadstekst Tegn"/>
    <w:basedOn w:val="Standardskriftforavsnitt"/>
    <w:link w:val="Merknadstekst"/>
    <w:rsid w:val="005A0930"/>
    <w:rPr>
      <w:rFonts w:ascii="Times" w:eastAsia="Batang" w:hAnsi="Times"/>
    </w:rPr>
  </w:style>
  <w:style w:type="paragraph" w:styleId="Kommentaremne">
    <w:name w:val="annotation subject"/>
    <w:basedOn w:val="Merknadstekst"/>
    <w:next w:val="Merknadstekst"/>
    <w:link w:val="KommentaremneTegn"/>
    <w:uiPriority w:val="99"/>
    <w:unhideWhenUsed/>
    <w:rsid w:val="005A0930"/>
    <w:rPr>
      <w:b/>
      <w:bCs/>
    </w:rPr>
  </w:style>
  <w:style w:type="character" w:customStyle="1" w:styleId="KommentaremneTegn">
    <w:name w:val="Kommentaremne Tegn"/>
    <w:basedOn w:val="MerknadstekstTegn"/>
    <w:link w:val="Kommentaremne"/>
    <w:uiPriority w:val="99"/>
    <w:rsid w:val="005A0930"/>
    <w:rPr>
      <w:rFonts w:ascii="Times" w:eastAsia="Batang" w:hAnsi="Times"/>
      <w:b/>
      <w:bCs/>
    </w:rPr>
  </w:style>
  <w:style w:type="paragraph" w:customStyle="1" w:styleId="k-a3">
    <w:name w:val="k-a3"/>
    <w:basedOn w:val="Normal"/>
    <w:rsid w:val="00D542E1"/>
    <w:pPr>
      <w:shd w:val="clear" w:color="auto" w:fill="FFFFFF"/>
      <w:spacing w:line="336" w:lineRule="atLeast"/>
    </w:pPr>
    <w:rPr>
      <w:szCs w:val="24"/>
    </w:rPr>
  </w:style>
  <w:style w:type="paragraph" w:customStyle="1" w:styleId="k-a2">
    <w:name w:val="k-a2"/>
    <w:basedOn w:val="Normal"/>
    <w:rsid w:val="00D542E1"/>
    <w:pPr>
      <w:shd w:val="clear" w:color="auto" w:fill="FFFFFF"/>
      <w:spacing w:line="336" w:lineRule="atLeast"/>
    </w:pPr>
    <w:rPr>
      <w:szCs w:val="24"/>
    </w:rPr>
  </w:style>
  <w:style w:type="paragraph" w:customStyle="1" w:styleId="H2">
    <w:name w:val="H2"/>
    <w:basedOn w:val="Normal"/>
    <w:next w:val="Normal"/>
    <w:rsid w:val="00D542E1"/>
    <w:pPr>
      <w:keepNext/>
      <w:autoSpaceDE w:val="0"/>
      <w:autoSpaceDN w:val="0"/>
      <w:adjustRightInd w:val="0"/>
      <w:spacing w:before="100" w:after="100"/>
      <w:outlineLvl w:val="2"/>
    </w:pPr>
    <w:rPr>
      <w:b/>
      <w:bCs/>
      <w:sz w:val="36"/>
      <w:szCs w:val="36"/>
      <w:lang w:val="nn-NO"/>
    </w:rPr>
  </w:style>
  <w:style w:type="paragraph" w:customStyle="1" w:styleId="Num-liste2">
    <w:name w:val="Num-liste 2"/>
    <w:basedOn w:val="Num-liste"/>
    <w:rsid w:val="00D542E1"/>
    <w:pPr>
      <w:tabs>
        <w:tab w:val="left" w:pos="363"/>
        <w:tab w:val="num" w:pos="726"/>
      </w:tabs>
      <w:ind w:left="726" w:hanging="363"/>
    </w:pPr>
    <w:rPr>
      <w:lang w:val="en-GB"/>
    </w:rPr>
  </w:style>
  <w:style w:type="paragraph" w:customStyle="1" w:styleId="Num-liste3">
    <w:name w:val="Num-liste 3"/>
    <w:basedOn w:val="Normal"/>
    <w:rsid w:val="00D542E1"/>
    <w:pPr>
      <w:tabs>
        <w:tab w:val="num" w:pos="1089"/>
      </w:tabs>
      <w:ind w:left="1089" w:hanging="363"/>
    </w:pPr>
  </w:style>
  <w:style w:type="paragraph" w:styleId="Revisjon">
    <w:name w:val="Revision"/>
    <w:hidden/>
    <w:uiPriority w:val="99"/>
    <w:semiHidden/>
    <w:rsid w:val="00D542E1"/>
    <w:rPr>
      <w:sz w:val="24"/>
    </w:rPr>
  </w:style>
  <w:style w:type="paragraph" w:styleId="Overskriftforinnholdsfortegnelse">
    <w:name w:val="TOC Heading"/>
    <w:basedOn w:val="Overskrift1"/>
    <w:next w:val="Normal"/>
    <w:uiPriority w:val="39"/>
    <w:unhideWhenUsed/>
    <w:qFormat/>
    <w:rsid w:val="005A0930"/>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k-a7">
    <w:name w:val="k-a7"/>
    <w:basedOn w:val="Normal"/>
    <w:rsid w:val="00D542E1"/>
    <w:pPr>
      <w:spacing w:line="312" w:lineRule="atLeast"/>
    </w:pPr>
    <w:rPr>
      <w:szCs w:val="24"/>
    </w:rPr>
  </w:style>
  <w:style w:type="paragraph" w:styleId="Listeavsnitt">
    <w:name w:val="List Paragraph"/>
    <w:basedOn w:val="Normal"/>
    <w:link w:val="ListeavsnittTegn"/>
    <w:uiPriority w:val="34"/>
    <w:qFormat/>
    <w:rsid w:val="005A0930"/>
    <w:pPr>
      <w:spacing w:before="60" w:after="0" w:line="276" w:lineRule="auto"/>
      <w:ind w:left="397"/>
    </w:pPr>
    <w:rPr>
      <w:rFonts w:ascii="Times New Roman" w:eastAsia="Times New Roman" w:hAnsi="Times New Roman" w:cstheme="minorBidi"/>
      <w:szCs w:val="22"/>
    </w:rPr>
  </w:style>
  <w:style w:type="character" w:customStyle="1" w:styleId="Overskrift3Tegn2">
    <w:name w:val="Overskrift 3 Tegn2"/>
    <w:aliases w:val="Overskrift 3 Tegn Tegn3,Overskrift 3 Tegn Tegn4"/>
    <w:basedOn w:val="Standardskriftforavsnitt"/>
    <w:rsid w:val="00D542E1"/>
    <w:rPr>
      <w:b/>
      <w:sz w:val="26"/>
    </w:rPr>
  </w:style>
  <w:style w:type="character" w:styleId="Merknadsreferanse">
    <w:name w:val="annotation reference"/>
    <w:basedOn w:val="Standardskriftforavsnitt"/>
    <w:rsid w:val="005A0930"/>
    <w:rPr>
      <w:sz w:val="16"/>
    </w:rPr>
  </w:style>
  <w:style w:type="character" w:customStyle="1" w:styleId="Overskrift3Tegn1">
    <w:name w:val="Overskrift 3 Tegn1"/>
    <w:aliases w:val="Overskrift 3 Tegn Tegn1"/>
    <w:basedOn w:val="Standardskriftforavsnitt"/>
    <w:rsid w:val="00D542E1"/>
    <w:rPr>
      <w:b/>
      <w:sz w:val="26"/>
      <w:lang w:val="nb-NO" w:eastAsia="nb-NO" w:bidi="ar-SA"/>
    </w:rPr>
  </w:style>
  <w:style w:type="character" w:customStyle="1" w:styleId="Kursiv0">
    <w:name w:val="Kursiv"/>
    <w:basedOn w:val="Standardskriftforavsnitt"/>
    <w:rsid w:val="00D542E1"/>
    <w:rPr>
      <w:i/>
    </w:rPr>
  </w:style>
  <w:style w:type="character" w:customStyle="1" w:styleId="brodtekst1">
    <w:name w:val="brodtekst1"/>
    <w:basedOn w:val="Standardskriftforavsnitt"/>
    <w:rsid w:val="00D542E1"/>
    <w:rPr>
      <w:rFonts w:ascii="Arial" w:hAnsi="Arial" w:cs="Arial" w:hint="default"/>
      <w:b w:val="0"/>
      <w:bCs w:val="0"/>
      <w:sz w:val="20"/>
      <w:szCs w:val="20"/>
    </w:rPr>
  </w:style>
  <w:style w:type="character" w:customStyle="1" w:styleId="Overskrift2TegnTegnTegnTegn1">
    <w:name w:val="Overskrift 2 Tegn Tegn Tegn Tegn1"/>
    <w:basedOn w:val="Standardskriftforavsnitt"/>
    <w:rsid w:val="00D542E1"/>
    <w:rPr>
      <w:b/>
      <w:bCs/>
      <w:sz w:val="28"/>
      <w:szCs w:val="28"/>
      <w:lang w:val="nb-NO" w:eastAsia="nb-NO"/>
    </w:rPr>
  </w:style>
  <w:style w:type="character" w:customStyle="1" w:styleId="ingress0">
    <w:name w:val="ingress"/>
    <w:basedOn w:val="Standardskriftforavsnitt"/>
    <w:rsid w:val="00D542E1"/>
  </w:style>
  <w:style w:type="character" w:styleId="Hyperkobling">
    <w:name w:val="Hyperlink"/>
    <w:basedOn w:val="Standardskriftforavsnitt"/>
    <w:uiPriority w:val="99"/>
    <w:unhideWhenUsed/>
    <w:rsid w:val="005A0930"/>
    <w:rPr>
      <w:color w:val="0000FF" w:themeColor="hyperlink"/>
      <w:u w:val="single"/>
    </w:rPr>
  </w:style>
  <w:style w:type="character" w:customStyle="1" w:styleId="innhold1">
    <w:name w:val="innhold1"/>
    <w:basedOn w:val="Standardskriftforavsnitt"/>
    <w:rsid w:val="00D542E1"/>
    <w:rPr>
      <w:rFonts w:ascii="Verdana" w:hAnsi="Verdana" w:hint="default"/>
      <w:color w:val="000000"/>
      <w:sz w:val="20"/>
      <w:szCs w:val="20"/>
    </w:rPr>
  </w:style>
  <w:style w:type="character" w:customStyle="1" w:styleId="artingress1">
    <w:name w:val="art_ingress1"/>
    <w:basedOn w:val="Standardskriftforavsnitt"/>
    <w:rsid w:val="00D542E1"/>
    <w:rPr>
      <w:rFonts w:ascii="Verdana" w:hAnsi="Verdana" w:hint="default"/>
      <w:b/>
      <w:bCs/>
      <w:color w:val="333333"/>
      <w:sz w:val="18"/>
      <w:szCs w:val="18"/>
    </w:rPr>
  </w:style>
  <w:style w:type="character" w:customStyle="1" w:styleId="Overskrift4TegnTegn">
    <w:name w:val="Overskrift 4 Tegn Tegn"/>
    <w:basedOn w:val="Standardskriftforavsnitt"/>
    <w:rsid w:val="00D542E1"/>
    <w:rPr>
      <w:i/>
      <w:iCs/>
      <w:sz w:val="24"/>
      <w:szCs w:val="24"/>
      <w:lang w:val="nb-NO" w:eastAsia="nb-NO"/>
    </w:rPr>
  </w:style>
  <w:style w:type="character" w:customStyle="1" w:styleId="sitatTegnTegn">
    <w:name w:val="sitat Tegn Tegn"/>
    <w:basedOn w:val="Standardskriftforavsnitt"/>
    <w:rsid w:val="00D542E1"/>
    <w:rPr>
      <w:spacing w:val="-12"/>
      <w:kern w:val="0"/>
    </w:rPr>
  </w:style>
  <w:style w:type="character" w:customStyle="1" w:styleId="sitatTegn0">
    <w:name w:val="sitat Tegn"/>
    <w:basedOn w:val="NormalsitatTegnTegn"/>
    <w:rsid w:val="00D542E1"/>
    <w:rPr>
      <w:b/>
      <w:bCs/>
      <w:sz w:val="24"/>
      <w:szCs w:val="24"/>
      <w:lang w:val="nb-NO" w:eastAsia="nb-NO"/>
    </w:rPr>
  </w:style>
  <w:style w:type="character" w:customStyle="1" w:styleId="NormalsitatTegnTegn">
    <w:name w:val="Normal sitat Tegn Tegn"/>
    <w:basedOn w:val="Standardskriftforavsnitt"/>
    <w:rsid w:val="00D542E1"/>
    <w:rPr>
      <w:b/>
      <w:bCs/>
      <w:sz w:val="24"/>
      <w:szCs w:val="24"/>
      <w:lang w:val="nb-NO" w:eastAsia="nb-NO"/>
    </w:rPr>
  </w:style>
  <w:style w:type="character" w:customStyle="1" w:styleId="Tegn">
    <w:name w:val="Tegn"/>
    <w:basedOn w:val="Standardskriftforavsnitt"/>
    <w:rsid w:val="00D542E1"/>
    <w:rPr>
      <w:i/>
      <w:iCs/>
      <w:sz w:val="28"/>
      <w:szCs w:val="28"/>
      <w:lang w:val="nb-NO" w:eastAsia="nb-NO"/>
    </w:rPr>
  </w:style>
  <w:style w:type="character" w:customStyle="1" w:styleId="Overskrift5Tegn2">
    <w:name w:val="Overskrift 5 Tegn2"/>
    <w:basedOn w:val="Standardskriftforavsnitt"/>
    <w:rsid w:val="00D542E1"/>
    <w:rPr>
      <w:b/>
      <w:bCs/>
      <w:i/>
      <w:iCs/>
      <w:sz w:val="26"/>
      <w:szCs w:val="26"/>
      <w:lang w:val="nb-NO" w:eastAsia="nb-NO"/>
    </w:rPr>
  </w:style>
  <w:style w:type="character" w:customStyle="1" w:styleId="Overskrift5Tegn1">
    <w:name w:val="Overskrift 5 Tegn1"/>
    <w:basedOn w:val="Standardskriftforavsnitt"/>
    <w:rsid w:val="00D542E1"/>
    <w:rPr>
      <w:i/>
      <w:iCs/>
      <w:sz w:val="24"/>
      <w:szCs w:val="24"/>
      <w:lang w:val="nb-NO" w:eastAsia="nb-NO"/>
    </w:rPr>
  </w:style>
  <w:style w:type="character" w:customStyle="1" w:styleId="TegnTegn">
    <w:name w:val="Tegn Tegn"/>
    <w:basedOn w:val="Standardskriftforavsnitt"/>
    <w:rsid w:val="00D542E1"/>
    <w:rPr>
      <w:b/>
      <w:sz w:val="26"/>
      <w:lang w:val="nb-NO" w:eastAsia="nb-NO" w:bidi="ar-SA"/>
    </w:rPr>
  </w:style>
  <w:style w:type="character" w:styleId="Fulgthyperkobling">
    <w:name w:val="FollowedHyperlink"/>
    <w:basedOn w:val="Standardskriftforavsnitt"/>
    <w:uiPriority w:val="99"/>
    <w:unhideWhenUsed/>
    <w:rsid w:val="005A0930"/>
    <w:rPr>
      <w:color w:val="800080" w:themeColor="followedHyperlink"/>
      <w:u w:val="single"/>
    </w:rPr>
  </w:style>
  <w:style w:type="character" w:customStyle="1" w:styleId="Tegn3">
    <w:name w:val="Tegn3"/>
    <w:basedOn w:val="Standardskriftforavsnitt"/>
    <w:uiPriority w:val="99"/>
    <w:rsid w:val="00D542E1"/>
    <w:rPr>
      <w:b/>
      <w:sz w:val="32"/>
      <w:lang w:val="nb-NO" w:eastAsia="nb-NO" w:bidi="ar-SA"/>
    </w:rPr>
  </w:style>
  <w:style w:type="character" w:customStyle="1" w:styleId="menucontainer1">
    <w:name w:val="menucontainer1"/>
    <w:basedOn w:val="Standardskriftforavsnitt"/>
    <w:rsid w:val="00D542E1"/>
    <w:rPr>
      <w:rFonts w:ascii="Arial" w:hAnsi="Arial" w:cs="Arial" w:hint="default"/>
      <w:strike w:val="0"/>
      <w:dstrike w:val="0"/>
      <w:color w:val="000000"/>
      <w:sz w:val="18"/>
      <w:szCs w:val="18"/>
      <w:u w:val="none"/>
      <w:effect w:val="none"/>
    </w:rPr>
  </w:style>
  <w:style w:type="character" w:customStyle="1" w:styleId="Tegn1">
    <w:name w:val="Tegn1"/>
    <w:basedOn w:val="Standardskriftforavsnitt"/>
    <w:rsid w:val="00D542E1"/>
    <w:rPr>
      <w:b/>
      <w:sz w:val="32"/>
      <w:lang w:val="nb-NO" w:eastAsia="nb-NO" w:bidi="ar-SA"/>
    </w:rPr>
  </w:style>
  <w:style w:type="character" w:customStyle="1" w:styleId="Overskrift3TegnTegn2">
    <w:name w:val="Overskrift 3 Tegn Tegn2"/>
    <w:basedOn w:val="Standardskriftforavsnitt"/>
    <w:rsid w:val="00D542E1"/>
    <w:rPr>
      <w:b/>
      <w:sz w:val="26"/>
      <w:lang w:val="nb-NO" w:eastAsia="nb-NO" w:bidi="ar-SA"/>
    </w:rPr>
  </w:style>
  <w:style w:type="character" w:customStyle="1" w:styleId="body1">
    <w:name w:val="body1"/>
    <w:basedOn w:val="Standardskriftforavsnitt"/>
    <w:rsid w:val="00D542E1"/>
    <w:rPr>
      <w:rFonts w:ascii="Verdana" w:hAnsi="Verdana" w:hint="default"/>
      <w:sz w:val="17"/>
      <w:szCs w:val="17"/>
    </w:rPr>
  </w:style>
  <w:style w:type="character" w:customStyle="1" w:styleId="caption1">
    <w:name w:val="caption1"/>
    <w:basedOn w:val="Standardskriftforavsnitt"/>
    <w:rsid w:val="00D542E1"/>
    <w:rPr>
      <w:rFonts w:ascii="Verdana" w:hAnsi="Verdana" w:hint="default"/>
      <w:b/>
      <w:bCs/>
      <w:color w:val="000000"/>
      <w:sz w:val="22"/>
      <w:szCs w:val="22"/>
    </w:rPr>
  </w:style>
  <w:style w:type="character" w:customStyle="1" w:styleId="Overskrift3TegnTegnTegn">
    <w:name w:val="Overskrift 3 Tegn Tegn Tegn"/>
    <w:basedOn w:val="Standardskriftforavsnitt"/>
    <w:rsid w:val="00D542E1"/>
    <w:rPr>
      <w:b/>
      <w:sz w:val="26"/>
      <w:lang w:val="nb-NO" w:eastAsia="nb-NO" w:bidi="ar-SA"/>
    </w:rPr>
  </w:style>
  <w:style w:type="character" w:customStyle="1" w:styleId="Fulgthyperkobling1">
    <w:name w:val="Fulgt hyperkobling1"/>
    <w:basedOn w:val="Standardskriftforavsnitt"/>
    <w:rsid w:val="00D542E1"/>
    <w:rPr>
      <w:strike w:val="0"/>
      <w:dstrike w:val="0"/>
      <w:vanish w:val="0"/>
      <w:webHidden w:val="0"/>
      <w:color w:val="000000"/>
      <w:sz w:val="24"/>
      <w:szCs w:val="24"/>
      <w:u w:val="none"/>
      <w:effect w:val="none"/>
      <w:specVanish w:val="0"/>
    </w:rPr>
  </w:style>
  <w:style w:type="character" w:customStyle="1" w:styleId="Fulgthyperkobling2">
    <w:name w:val="Fulgt hyperkobling2"/>
    <w:basedOn w:val="Standardskriftforavsnitt"/>
    <w:rsid w:val="00D542E1"/>
    <w:rPr>
      <w:strike w:val="0"/>
      <w:dstrike w:val="0"/>
      <w:vanish w:val="0"/>
      <w:webHidden w:val="0"/>
      <w:color w:val="000000"/>
      <w:sz w:val="24"/>
      <w:szCs w:val="24"/>
      <w:u w:val="none"/>
      <w:effect w:val="none"/>
      <w:specVanish w:val="0"/>
    </w:rPr>
  </w:style>
  <w:style w:type="character" w:customStyle="1" w:styleId="Sterk1">
    <w:name w:val="Sterk1"/>
    <w:basedOn w:val="Standardskriftforavsnitt"/>
    <w:rsid w:val="00D542E1"/>
    <w:rPr>
      <w:b w:val="0"/>
      <w:bCs w:val="0"/>
    </w:rPr>
  </w:style>
  <w:style w:type="character" w:customStyle="1" w:styleId="Sterk2">
    <w:name w:val="Sterk2"/>
    <w:basedOn w:val="Standardskriftforavsnitt"/>
    <w:rsid w:val="00D542E1"/>
    <w:rPr>
      <w:b w:val="0"/>
      <w:bCs w:val="0"/>
    </w:rPr>
  </w:style>
  <w:style w:type="character" w:customStyle="1" w:styleId="Hyperkobling1">
    <w:name w:val="Hyperkobling1"/>
    <w:basedOn w:val="Standardskriftforavsnitt"/>
    <w:rsid w:val="00D542E1"/>
    <w:rPr>
      <w:strike w:val="0"/>
      <w:dstrike w:val="0"/>
      <w:color w:val="000066"/>
      <w:u w:val="none"/>
      <w:effect w:val="none"/>
    </w:rPr>
  </w:style>
  <w:style w:type="character" w:customStyle="1" w:styleId="Fulgthyperkobling3">
    <w:name w:val="Fulgt hyperkobling3"/>
    <w:basedOn w:val="Standardskriftforavsnitt"/>
    <w:rsid w:val="00D542E1"/>
    <w:rPr>
      <w:strike w:val="0"/>
      <w:dstrike w:val="0"/>
      <w:color w:val="000066"/>
      <w:u w:val="none"/>
      <w:effect w:val="none"/>
    </w:rPr>
  </w:style>
  <w:style w:type="character" w:customStyle="1" w:styleId="Fulgthyperkobling4">
    <w:name w:val="Fulgt hyperkobling4"/>
    <w:basedOn w:val="Standardskriftforavsnitt"/>
    <w:rsid w:val="00D542E1"/>
    <w:rPr>
      <w:strike w:val="0"/>
      <w:dstrike w:val="0"/>
      <w:color w:val="000000"/>
      <w:u w:val="none"/>
      <w:effect w:val="none"/>
    </w:rPr>
  </w:style>
  <w:style w:type="character" w:customStyle="1" w:styleId="Fulgthyperkobling5">
    <w:name w:val="Fulgt hyperkobling5"/>
    <w:basedOn w:val="Standardskriftforavsnitt"/>
    <w:rsid w:val="00D542E1"/>
    <w:rPr>
      <w:strike w:val="0"/>
      <w:dstrike w:val="0"/>
      <w:vanish w:val="0"/>
      <w:webHidden w:val="0"/>
      <w:color w:val="000000"/>
      <w:sz w:val="24"/>
      <w:szCs w:val="24"/>
      <w:u w:val="none"/>
      <w:effect w:val="none"/>
      <w:specVanish w:val="0"/>
    </w:rPr>
  </w:style>
  <w:style w:type="character" w:customStyle="1" w:styleId="Fulgthyperkobling6">
    <w:name w:val="Fulgt hyperkobling6"/>
    <w:basedOn w:val="Standardskriftforavsnitt"/>
    <w:rsid w:val="00D542E1"/>
    <w:rPr>
      <w:strike w:val="0"/>
      <w:dstrike w:val="0"/>
      <w:vanish w:val="0"/>
      <w:webHidden w:val="0"/>
      <w:color w:val="000000"/>
      <w:sz w:val="24"/>
      <w:szCs w:val="24"/>
      <w:u w:val="none"/>
      <w:effect w:val="none"/>
      <w:specVanish w:val="0"/>
    </w:rPr>
  </w:style>
  <w:style w:type="character" w:customStyle="1" w:styleId="Sterk3">
    <w:name w:val="Sterk3"/>
    <w:basedOn w:val="Standardskriftforavsnitt"/>
    <w:rsid w:val="00D542E1"/>
    <w:rPr>
      <w:b w:val="0"/>
      <w:bCs w:val="0"/>
    </w:rPr>
  </w:style>
  <w:style w:type="character" w:customStyle="1" w:styleId="Sterk4">
    <w:name w:val="Sterk4"/>
    <w:basedOn w:val="Standardskriftforavsnitt"/>
    <w:rsid w:val="00D542E1"/>
    <w:rPr>
      <w:b w:val="0"/>
      <w:bCs w:val="0"/>
    </w:rPr>
  </w:style>
  <w:style w:type="character" w:customStyle="1" w:styleId="Hyperkobling2">
    <w:name w:val="Hyperkobling2"/>
    <w:basedOn w:val="Standardskriftforavsnitt"/>
    <w:rsid w:val="00D542E1"/>
    <w:rPr>
      <w:strike w:val="0"/>
      <w:dstrike w:val="0"/>
      <w:color w:val="000066"/>
      <w:u w:val="none"/>
      <w:effect w:val="none"/>
    </w:rPr>
  </w:style>
  <w:style w:type="character" w:customStyle="1" w:styleId="Fulgthyperkobling7">
    <w:name w:val="Fulgt hyperkobling7"/>
    <w:basedOn w:val="Standardskriftforavsnitt"/>
    <w:rsid w:val="00D542E1"/>
    <w:rPr>
      <w:strike w:val="0"/>
      <w:dstrike w:val="0"/>
      <w:color w:val="000066"/>
      <w:u w:val="none"/>
      <w:effect w:val="none"/>
    </w:rPr>
  </w:style>
  <w:style w:type="character" w:customStyle="1" w:styleId="Fulgthyperkobling8">
    <w:name w:val="Fulgt hyperkobling8"/>
    <w:basedOn w:val="Standardskriftforavsnitt"/>
    <w:rsid w:val="00D542E1"/>
    <w:rPr>
      <w:strike w:val="0"/>
      <w:dstrike w:val="0"/>
      <w:color w:val="000000"/>
      <w:u w:val="none"/>
      <w:effect w:val="none"/>
    </w:rPr>
  </w:style>
  <w:style w:type="character" w:customStyle="1" w:styleId="Overskrift1Tegn1">
    <w:name w:val="Overskrift 1 Tegn1"/>
    <w:basedOn w:val="Standardskriftforavsnitt"/>
    <w:rsid w:val="00D542E1"/>
    <w:rPr>
      <w:b/>
      <w:sz w:val="32"/>
    </w:rPr>
  </w:style>
  <w:style w:type="character" w:customStyle="1" w:styleId="TegnTegn2">
    <w:name w:val="Tegn Tegn2"/>
    <w:basedOn w:val="Standardskriftforavsnitt"/>
    <w:uiPriority w:val="99"/>
    <w:rsid w:val="00D542E1"/>
    <w:rPr>
      <w:b/>
      <w:sz w:val="26"/>
      <w:lang w:val="nb-NO" w:eastAsia="nb-NO" w:bidi="ar-SA"/>
    </w:rPr>
  </w:style>
  <w:style w:type="character" w:customStyle="1" w:styleId="Tegn12">
    <w:name w:val="Tegn12"/>
    <w:basedOn w:val="Standardskriftforavsnitt"/>
    <w:uiPriority w:val="99"/>
    <w:rsid w:val="00D542E1"/>
    <w:rPr>
      <w:b/>
      <w:sz w:val="32"/>
      <w:lang w:val="nb-NO" w:eastAsia="nb-NO" w:bidi="ar-SA"/>
    </w:rPr>
  </w:style>
  <w:style w:type="character" w:customStyle="1" w:styleId="k-text">
    <w:name w:val="k-text"/>
    <w:basedOn w:val="Standardskriftforavsnitt"/>
    <w:rsid w:val="00D542E1"/>
    <w:rPr>
      <w:shd w:val="clear" w:color="auto" w:fill="FFFFFF"/>
    </w:rPr>
  </w:style>
  <w:style w:type="character" w:customStyle="1" w:styleId="Overskrift3Overskrift3TegnTegn">
    <w:name w:val="Overskrift 3;Overskrift 3 Tegn Tegn"/>
    <w:basedOn w:val="Standardskriftforavsnitt"/>
    <w:rsid w:val="00D542E1"/>
    <w:rPr>
      <w:b/>
      <w:sz w:val="26"/>
      <w:lang w:val="nb-NO" w:eastAsia="nb-NO" w:bidi="ar-SA"/>
    </w:rPr>
  </w:style>
  <w:style w:type="table" w:styleId="Tabelltemaer">
    <w:name w:val="Table Theme"/>
    <w:basedOn w:val="Vanligtabell"/>
    <w:uiPriority w:val="99"/>
    <w:semiHidden/>
    <w:unhideWhenUsed/>
    <w:rsid w:val="005A093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
    <w:name w:val="Def"/>
    <w:basedOn w:val="NormalWeb"/>
    <w:qFormat/>
    <w:rsid w:val="005A0930"/>
  </w:style>
  <w:style w:type="paragraph" w:customStyle="1" w:styleId="figur-noter">
    <w:name w:val="figur-noter"/>
    <w:basedOn w:val="Normal"/>
    <w:next w:val="Normal"/>
    <w:rsid w:val="005A0930"/>
    <w:pPr>
      <w:tabs>
        <w:tab w:val="left" w:pos="284"/>
      </w:tabs>
      <w:spacing w:before="120"/>
      <w:contextualSpacing/>
    </w:pPr>
    <w:rPr>
      <w:rFonts w:cstheme="minorBidi"/>
      <w:sz w:val="20"/>
    </w:rPr>
  </w:style>
  <w:style w:type="character" w:customStyle="1" w:styleId="l-endring">
    <w:name w:val="l-endring"/>
    <w:basedOn w:val="Standardskriftforavsnitt"/>
    <w:rsid w:val="005A0930"/>
    <w:rPr>
      <w:i/>
    </w:rPr>
  </w:style>
  <w:style w:type="paragraph" w:customStyle="1" w:styleId="l-lovdeltit">
    <w:name w:val="l-lovdeltit"/>
    <w:basedOn w:val="Normal"/>
    <w:next w:val="Normal"/>
    <w:rsid w:val="005A0930"/>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5A0930"/>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5A0930"/>
    <w:pPr>
      <w:keepNext/>
      <w:spacing w:before="120" w:after="60" w:line="276" w:lineRule="auto"/>
    </w:pPr>
    <w:rPr>
      <w:rFonts w:ascii="Times New Roman" w:eastAsia="Times New Roman" w:hAnsi="Times New Roman" w:cstheme="minorBidi"/>
      <w:b/>
      <w:spacing w:val="4"/>
      <w:szCs w:val="22"/>
    </w:rPr>
  </w:style>
  <w:style w:type="paragraph" w:customStyle="1" w:styleId="l-paragraf">
    <w:name w:val="l-paragraf"/>
    <w:basedOn w:val="Normal"/>
    <w:next w:val="Normal"/>
    <w:rsid w:val="005A0930"/>
    <w:pPr>
      <w:spacing w:before="180" w:after="0" w:line="276" w:lineRule="auto"/>
    </w:pPr>
    <w:rPr>
      <w:rFonts w:eastAsia="Times New Roman" w:cstheme="minorBidi"/>
      <w:i/>
      <w:spacing w:val="4"/>
      <w:szCs w:val="22"/>
    </w:rPr>
  </w:style>
  <w:style w:type="paragraph" w:customStyle="1" w:styleId="ramme-noter">
    <w:name w:val="ramme-noter"/>
    <w:basedOn w:val="Normal"/>
    <w:next w:val="Normal"/>
    <w:rsid w:val="005A0930"/>
    <w:pPr>
      <w:tabs>
        <w:tab w:val="left" w:pos="284"/>
      </w:tabs>
      <w:spacing w:before="120"/>
      <w:contextualSpacing/>
    </w:pPr>
    <w:rPr>
      <w:rFonts w:cstheme="minorBidi"/>
      <w:sz w:val="20"/>
    </w:rPr>
  </w:style>
  <w:style w:type="paragraph" w:customStyle="1" w:styleId="Ramme-slutt">
    <w:name w:val="Ramme-slutt"/>
    <w:basedOn w:val="Normal"/>
    <w:autoRedefine/>
    <w:rsid w:val="005A0930"/>
    <w:pPr>
      <w:spacing w:before="120"/>
    </w:pPr>
    <w:rPr>
      <w:b/>
      <w:color w:val="800000"/>
    </w:rPr>
  </w:style>
  <w:style w:type="character" w:customStyle="1" w:styleId="sperret">
    <w:name w:val="sperret"/>
    <w:basedOn w:val="Standardskriftforavsnitt"/>
    <w:rsid w:val="005A0930"/>
    <w:rPr>
      <w:spacing w:val="30"/>
    </w:rPr>
  </w:style>
  <w:style w:type="character" w:customStyle="1" w:styleId="Stikkord">
    <w:name w:val="Stikkord"/>
    <w:basedOn w:val="Standardskriftforavsnitt"/>
    <w:qFormat/>
    <w:rsid w:val="005A0930"/>
    <w:rPr>
      <w:color w:val="0070C0"/>
    </w:rPr>
  </w:style>
  <w:style w:type="paragraph" w:customStyle="1" w:styleId="Tabellnavn">
    <w:name w:val="Tabellnavn"/>
    <w:basedOn w:val="NormalWeb"/>
    <w:qFormat/>
    <w:rsid w:val="005A0930"/>
    <w:rPr>
      <w:vanish/>
      <w:color w:val="00B050"/>
    </w:rPr>
  </w:style>
  <w:style w:type="paragraph" w:customStyle="1" w:styleId="Term">
    <w:name w:val="Term"/>
    <w:basedOn w:val="NormalWeb"/>
    <w:qFormat/>
    <w:rsid w:val="005A0930"/>
  </w:style>
  <w:style w:type="paragraph" w:customStyle="1" w:styleId="tittel-ordforkl">
    <w:name w:val="tittel-ordforkl"/>
    <w:basedOn w:val="Normal"/>
    <w:next w:val="Normal"/>
    <w:rsid w:val="005A0930"/>
    <w:pPr>
      <w:keepNext/>
      <w:keepLines/>
      <w:spacing w:before="360" w:after="240" w:line="276" w:lineRule="auto"/>
      <w:jc w:val="center"/>
    </w:pPr>
    <w:rPr>
      <w:rFonts w:ascii="Arial" w:eastAsia="Times New Roman" w:hAnsi="Arial" w:cstheme="minorBidi"/>
      <w:b/>
      <w:spacing w:val="4"/>
      <w:sz w:val="28"/>
      <w:szCs w:val="22"/>
    </w:rPr>
  </w:style>
  <w:style w:type="table" w:customStyle="1" w:styleId="StandardTabell">
    <w:name w:val="StandardTabell"/>
    <w:basedOn w:val="Vanligtabell"/>
    <w:uiPriority w:val="99"/>
    <w:qFormat/>
    <w:rsid w:val="005A0930"/>
    <w:rPr>
      <w:rFonts w:ascii="Times" w:eastAsiaTheme="minorHAnsi" w:hAnsi="Times"/>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A0930"/>
    <w:rPr>
      <w:rFonts w:ascii="Times" w:eastAsiaTheme="minorHAnsi" w:hAnsi="Times"/>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A0930"/>
    <w:pPr>
      <w:ind w:left="240" w:hanging="240"/>
    </w:pPr>
  </w:style>
  <w:style w:type="paragraph" w:styleId="Indeks2">
    <w:name w:val="index 2"/>
    <w:basedOn w:val="Normal"/>
    <w:next w:val="Normal"/>
    <w:autoRedefine/>
    <w:uiPriority w:val="99"/>
    <w:semiHidden/>
    <w:unhideWhenUsed/>
    <w:rsid w:val="005A0930"/>
    <w:pPr>
      <w:ind w:left="480" w:hanging="240"/>
    </w:pPr>
  </w:style>
  <w:style w:type="paragraph" w:styleId="Indeks3">
    <w:name w:val="index 3"/>
    <w:basedOn w:val="Normal"/>
    <w:next w:val="Normal"/>
    <w:autoRedefine/>
    <w:uiPriority w:val="99"/>
    <w:semiHidden/>
    <w:unhideWhenUsed/>
    <w:rsid w:val="005A0930"/>
    <w:pPr>
      <w:ind w:left="720" w:hanging="240"/>
    </w:pPr>
  </w:style>
  <w:style w:type="paragraph" w:styleId="Indeks4">
    <w:name w:val="index 4"/>
    <w:basedOn w:val="Normal"/>
    <w:next w:val="Normal"/>
    <w:autoRedefine/>
    <w:uiPriority w:val="99"/>
    <w:semiHidden/>
    <w:unhideWhenUsed/>
    <w:rsid w:val="005A0930"/>
    <w:pPr>
      <w:ind w:left="960" w:hanging="240"/>
    </w:pPr>
  </w:style>
  <w:style w:type="paragraph" w:styleId="Indeks5">
    <w:name w:val="index 5"/>
    <w:basedOn w:val="Normal"/>
    <w:next w:val="Normal"/>
    <w:autoRedefine/>
    <w:uiPriority w:val="99"/>
    <w:semiHidden/>
    <w:unhideWhenUsed/>
    <w:rsid w:val="005A0930"/>
    <w:pPr>
      <w:ind w:left="1200" w:hanging="240"/>
    </w:pPr>
  </w:style>
  <w:style w:type="paragraph" w:styleId="Indeks6">
    <w:name w:val="index 6"/>
    <w:basedOn w:val="Normal"/>
    <w:next w:val="Normal"/>
    <w:autoRedefine/>
    <w:uiPriority w:val="99"/>
    <w:semiHidden/>
    <w:unhideWhenUsed/>
    <w:rsid w:val="005A0930"/>
    <w:pPr>
      <w:ind w:left="1440" w:hanging="240"/>
    </w:pPr>
  </w:style>
  <w:style w:type="paragraph" w:styleId="Indeks7">
    <w:name w:val="index 7"/>
    <w:basedOn w:val="Normal"/>
    <w:next w:val="Normal"/>
    <w:autoRedefine/>
    <w:uiPriority w:val="99"/>
    <w:semiHidden/>
    <w:unhideWhenUsed/>
    <w:rsid w:val="005A0930"/>
    <w:pPr>
      <w:ind w:left="1680" w:hanging="240"/>
    </w:pPr>
  </w:style>
  <w:style w:type="paragraph" w:styleId="Indeks8">
    <w:name w:val="index 8"/>
    <w:basedOn w:val="Normal"/>
    <w:next w:val="Normal"/>
    <w:autoRedefine/>
    <w:uiPriority w:val="99"/>
    <w:semiHidden/>
    <w:unhideWhenUsed/>
    <w:rsid w:val="005A0930"/>
    <w:pPr>
      <w:ind w:left="1920" w:hanging="240"/>
    </w:pPr>
  </w:style>
  <w:style w:type="paragraph" w:styleId="Indeks9">
    <w:name w:val="index 9"/>
    <w:basedOn w:val="Normal"/>
    <w:next w:val="Normal"/>
    <w:autoRedefine/>
    <w:uiPriority w:val="99"/>
    <w:semiHidden/>
    <w:unhideWhenUsed/>
    <w:rsid w:val="005A0930"/>
    <w:pPr>
      <w:ind w:left="2160" w:hanging="240"/>
    </w:pPr>
  </w:style>
  <w:style w:type="paragraph" w:styleId="Vanliginnrykk">
    <w:name w:val="Normal Indent"/>
    <w:basedOn w:val="Normal"/>
    <w:uiPriority w:val="99"/>
    <w:unhideWhenUsed/>
    <w:rsid w:val="005A0930"/>
    <w:pPr>
      <w:ind w:left="708"/>
    </w:pPr>
  </w:style>
  <w:style w:type="paragraph" w:styleId="Stikkordregisteroverskrift">
    <w:name w:val="index heading"/>
    <w:basedOn w:val="Normal"/>
    <w:next w:val="Indeks1"/>
    <w:uiPriority w:val="99"/>
    <w:semiHidden/>
    <w:unhideWhenUsed/>
    <w:rsid w:val="005A0930"/>
    <w:rPr>
      <w:rFonts w:asciiTheme="majorHAnsi" w:eastAsiaTheme="majorEastAsia" w:hAnsiTheme="majorHAnsi" w:cstheme="majorBidi"/>
      <w:b/>
      <w:bCs/>
    </w:rPr>
  </w:style>
  <w:style w:type="paragraph" w:styleId="Bildetekst">
    <w:name w:val="caption"/>
    <w:basedOn w:val="Normal"/>
    <w:next w:val="Normal"/>
    <w:uiPriority w:val="35"/>
    <w:unhideWhenUsed/>
    <w:qFormat/>
    <w:rsid w:val="005A0930"/>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5A0930"/>
  </w:style>
  <w:style w:type="paragraph" w:styleId="Konvoluttadresse">
    <w:name w:val="envelope address"/>
    <w:basedOn w:val="Normal"/>
    <w:uiPriority w:val="99"/>
    <w:semiHidden/>
    <w:unhideWhenUsed/>
    <w:rsid w:val="005A0930"/>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A0930"/>
    <w:rPr>
      <w:rFonts w:asciiTheme="majorHAnsi" w:eastAsiaTheme="majorEastAsia" w:hAnsiTheme="majorHAnsi" w:cstheme="majorBidi"/>
      <w:sz w:val="20"/>
    </w:rPr>
  </w:style>
  <w:style w:type="character" w:styleId="Linjenummer">
    <w:name w:val="line number"/>
    <w:basedOn w:val="Standardskriftforavsnitt"/>
    <w:uiPriority w:val="99"/>
    <w:semiHidden/>
    <w:unhideWhenUsed/>
    <w:rsid w:val="005A0930"/>
  </w:style>
  <w:style w:type="character" w:styleId="Sluttnotereferanse">
    <w:name w:val="endnote reference"/>
    <w:basedOn w:val="Standardskriftforavsnitt"/>
    <w:uiPriority w:val="99"/>
    <w:semiHidden/>
    <w:unhideWhenUsed/>
    <w:rsid w:val="005A0930"/>
    <w:rPr>
      <w:vertAlign w:val="superscript"/>
    </w:rPr>
  </w:style>
  <w:style w:type="paragraph" w:styleId="Sluttnotetekst">
    <w:name w:val="endnote text"/>
    <w:basedOn w:val="Normal"/>
    <w:link w:val="SluttnotetekstTegn"/>
    <w:uiPriority w:val="99"/>
    <w:semiHidden/>
    <w:unhideWhenUsed/>
    <w:rsid w:val="005A0930"/>
    <w:rPr>
      <w:sz w:val="20"/>
    </w:rPr>
  </w:style>
  <w:style w:type="character" w:customStyle="1" w:styleId="SluttnotetekstTegn">
    <w:name w:val="Sluttnotetekst Tegn"/>
    <w:basedOn w:val="Standardskriftforavsnitt"/>
    <w:link w:val="Sluttnotetekst"/>
    <w:uiPriority w:val="99"/>
    <w:semiHidden/>
    <w:rsid w:val="005A0930"/>
    <w:rPr>
      <w:rFonts w:ascii="Times" w:eastAsia="Batang" w:hAnsi="Times"/>
    </w:rPr>
  </w:style>
  <w:style w:type="paragraph" w:styleId="Kildeliste">
    <w:name w:val="table of authorities"/>
    <w:basedOn w:val="Normal"/>
    <w:next w:val="Normal"/>
    <w:uiPriority w:val="99"/>
    <w:semiHidden/>
    <w:unhideWhenUsed/>
    <w:rsid w:val="005A0930"/>
    <w:pPr>
      <w:ind w:left="240" w:hanging="240"/>
    </w:pPr>
  </w:style>
  <w:style w:type="paragraph" w:styleId="Makrotekst">
    <w:name w:val="macro"/>
    <w:link w:val="MakrotekstTegn"/>
    <w:uiPriority w:val="99"/>
    <w:semiHidden/>
    <w:unhideWhenUsed/>
    <w:rsid w:val="005A09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foravsnitt"/>
    <w:link w:val="Makrotekst"/>
    <w:uiPriority w:val="99"/>
    <w:semiHidden/>
    <w:rsid w:val="005A0930"/>
    <w:rPr>
      <w:rFonts w:ascii="Consolas" w:hAnsi="Consolas"/>
    </w:rPr>
  </w:style>
  <w:style w:type="paragraph" w:styleId="Kildelisteoverskrift">
    <w:name w:val="toa heading"/>
    <w:basedOn w:val="Normal"/>
    <w:next w:val="Normal"/>
    <w:uiPriority w:val="99"/>
    <w:semiHidden/>
    <w:unhideWhenUsed/>
    <w:rsid w:val="005A0930"/>
    <w:pPr>
      <w:spacing w:before="120"/>
    </w:pPr>
    <w:rPr>
      <w:rFonts w:asciiTheme="majorHAnsi" w:eastAsiaTheme="majorEastAsia" w:hAnsiTheme="majorHAnsi" w:cstheme="majorBidi"/>
      <w:b/>
      <w:bCs/>
      <w:szCs w:val="24"/>
    </w:rPr>
  </w:style>
  <w:style w:type="paragraph" w:styleId="Liste5">
    <w:name w:val="List 5"/>
    <w:basedOn w:val="Normal"/>
    <w:rsid w:val="005A0930"/>
    <w:pPr>
      <w:numPr>
        <w:ilvl w:val="4"/>
        <w:numId w:val="30"/>
      </w:numPr>
      <w:spacing w:after="0" w:line="276" w:lineRule="auto"/>
    </w:pPr>
    <w:rPr>
      <w:rFonts w:ascii="Times New Roman" w:eastAsia="Times New Roman" w:hAnsi="Times New Roman" w:cstheme="minorBidi"/>
      <w:szCs w:val="22"/>
    </w:rPr>
  </w:style>
  <w:style w:type="paragraph" w:styleId="Punktliste2">
    <w:name w:val="List Bullet 2"/>
    <w:basedOn w:val="Normal"/>
    <w:rsid w:val="005A0930"/>
    <w:pPr>
      <w:spacing w:after="0"/>
      <w:ind w:left="568" w:hanging="284"/>
    </w:pPr>
  </w:style>
  <w:style w:type="paragraph" w:styleId="Punktliste3">
    <w:name w:val="List Bullet 3"/>
    <w:basedOn w:val="Normal"/>
    <w:rsid w:val="005A0930"/>
    <w:pPr>
      <w:spacing w:after="0"/>
      <w:ind w:left="851" w:hanging="284"/>
    </w:pPr>
  </w:style>
  <w:style w:type="paragraph" w:styleId="Punktliste4">
    <w:name w:val="List Bullet 4"/>
    <w:basedOn w:val="Normal"/>
    <w:rsid w:val="005A0930"/>
    <w:pPr>
      <w:spacing w:after="0"/>
      <w:ind w:left="1135" w:hanging="284"/>
    </w:pPr>
  </w:style>
  <w:style w:type="paragraph" w:styleId="Punktliste5">
    <w:name w:val="List Bullet 5"/>
    <w:basedOn w:val="Normal"/>
    <w:rsid w:val="005A0930"/>
    <w:pPr>
      <w:spacing w:after="0"/>
      <w:ind w:left="1418" w:hanging="284"/>
    </w:pPr>
  </w:style>
  <w:style w:type="paragraph" w:styleId="Nummerertliste4">
    <w:name w:val="List Number 4"/>
    <w:basedOn w:val="Normal"/>
    <w:rsid w:val="005A0930"/>
    <w:pPr>
      <w:numPr>
        <w:ilvl w:val="3"/>
        <w:numId w:val="9"/>
      </w:numPr>
      <w:spacing w:after="0"/>
    </w:pPr>
  </w:style>
  <w:style w:type="paragraph" w:styleId="Nummerertliste5">
    <w:name w:val="List Number 5"/>
    <w:basedOn w:val="Normal"/>
    <w:rsid w:val="005A0930"/>
    <w:pPr>
      <w:numPr>
        <w:ilvl w:val="4"/>
        <w:numId w:val="9"/>
      </w:numPr>
      <w:spacing w:after="0"/>
    </w:pPr>
  </w:style>
  <w:style w:type="paragraph" w:styleId="Hilsen">
    <w:name w:val="Closing"/>
    <w:basedOn w:val="Normal"/>
    <w:link w:val="HilsenTegn"/>
    <w:uiPriority w:val="99"/>
    <w:semiHidden/>
    <w:unhideWhenUsed/>
    <w:rsid w:val="005A0930"/>
    <w:pPr>
      <w:ind w:left="4252"/>
    </w:pPr>
  </w:style>
  <w:style w:type="character" w:customStyle="1" w:styleId="HilsenTegn">
    <w:name w:val="Hilsen Tegn"/>
    <w:basedOn w:val="Standardskriftforavsnitt"/>
    <w:link w:val="Hilsen"/>
    <w:uiPriority w:val="99"/>
    <w:semiHidden/>
    <w:rsid w:val="005A0930"/>
    <w:rPr>
      <w:rFonts w:ascii="Times" w:eastAsia="Batang" w:hAnsi="Times"/>
      <w:sz w:val="24"/>
    </w:rPr>
  </w:style>
  <w:style w:type="paragraph" w:styleId="Underskrift">
    <w:name w:val="Signature"/>
    <w:basedOn w:val="Normal"/>
    <w:link w:val="UnderskriftTegn"/>
    <w:uiPriority w:val="99"/>
    <w:unhideWhenUsed/>
    <w:rsid w:val="005A0930"/>
    <w:pPr>
      <w:ind w:left="4252"/>
    </w:pPr>
  </w:style>
  <w:style w:type="character" w:customStyle="1" w:styleId="UnderskriftTegn">
    <w:name w:val="Underskrift Tegn"/>
    <w:basedOn w:val="Standardskriftforavsnitt"/>
    <w:link w:val="Underskrift"/>
    <w:uiPriority w:val="99"/>
    <w:rsid w:val="005A0930"/>
    <w:rPr>
      <w:rFonts w:ascii="Times" w:eastAsia="Batang" w:hAnsi="Times"/>
      <w:sz w:val="24"/>
    </w:rPr>
  </w:style>
  <w:style w:type="paragraph" w:styleId="Liste-forts2">
    <w:name w:val="List Continue 2"/>
    <w:basedOn w:val="Normal"/>
    <w:uiPriority w:val="99"/>
    <w:semiHidden/>
    <w:unhideWhenUsed/>
    <w:rsid w:val="005A0930"/>
    <w:pPr>
      <w:ind w:left="566"/>
      <w:contextualSpacing/>
    </w:pPr>
  </w:style>
  <w:style w:type="paragraph" w:styleId="Liste-forts3">
    <w:name w:val="List Continue 3"/>
    <w:basedOn w:val="Normal"/>
    <w:uiPriority w:val="99"/>
    <w:semiHidden/>
    <w:unhideWhenUsed/>
    <w:rsid w:val="005A0930"/>
    <w:pPr>
      <w:ind w:left="849"/>
      <w:contextualSpacing/>
    </w:pPr>
  </w:style>
  <w:style w:type="paragraph" w:styleId="Liste-forts4">
    <w:name w:val="List Continue 4"/>
    <w:basedOn w:val="Normal"/>
    <w:uiPriority w:val="99"/>
    <w:semiHidden/>
    <w:unhideWhenUsed/>
    <w:rsid w:val="005A0930"/>
    <w:pPr>
      <w:ind w:left="1132"/>
      <w:contextualSpacing/>
    </w:pPr>
  </w:style>
  <w:style w:type="paragraph" w:styleId="Liste-forts5">
    <w:name w:val="List Continue 5"/>
    <w:basedOn w:val="Normal"/>
    <w:uiPriority w:val="99"/>
    <w:semiHidden/>
    <w:unhideWhenUsed/>
    <w:rsid w:val="005A0930"/>
    <w:pPr>
      <w:ind w:left="1415"/>
      <w:contextualSpacing/>
    </w:pPr>
  </w:style>
  <w:style w:type="paragraph" w:styleId="Meldingshode">
    <w:name w:val="Message Header"/>
    <w:basedOn w:val="Normal"/>
    <w:link w:val="MeldingshodeTegn"/>
    <w:uiPriority w:val="99"/>
    <w:unhideWhenUsed/>
    <w:rsid w:val="005A09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5A0930"/>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5A0930"/>
  </w:style>
  <w:style w:type="character" w:customStyle="1" w:styleId="InnledendehilsenTegn">
    <w:name w:val="Innledende hilsen Tegn"/>
    <w:basedOn w:val="Standardskriftforavsnitt"/>
    <w:link w:val="Innledendehilsen"/>
    <w:uiPriority w:val="99"/>
    <w:semiHidden/>
    <w:rsid w:val="005A0930"/>
    <w:rPr>
      <w:rFonts w:ascii="Times" w:eastAsia="Batang" w:hAnsi="Times"/>
      <w:sz w:val="24"/>
    </w:rPr>
  </w:style>
  <w:style w:type="paragraph" w:styleId="Dato0">
    <w:name w:val="Date"/>
    <w:basedOn w:val="Normal"/>
    <w:next w:val="Normal"/>
    <w:link w:val="DatoTegn"/>
    <w:uiPriority w:val="99"/>
    <w:semiHidden/>
    <w:unhideWhenUsed/>
    <w:rsid w:val="005A0930"/>
  </w:style>
  <w:style w:type="character" w:customStyle="1" w:styleId="DatoTegn">
    <w:name w:val="Dato Tegn"/>
    <w:basedOn w:val="Standardskriftforavsnitt"/>
    <w:link w:val="Dato0"/>
    <w:uiPriority w:val="99"/>
    <w:semiHidden/>
    <w:rsid w:val="005A0930"/>
    <w:rPr>
      <w:rFonts w:ascii="Times" w:eastAsia="Batang" w:hAnsi="Times"/>
      <w:sz w:val="24"/>
    </w:rPr>
  </w:style>
  <w:style w:type="paragraph" w:styleId="Brdtekst-frsteinnrykk">
    <w:name w:val="Body Text First Indent"/>
    <w:basedOn w:val="Brdtekst"/>
    <w:link w:val="Brdtekst-frsteinnrykkTegn"/>
    <w:uiPriority w:val="99"/>
    <w:unhideWhenUsed/>
    <w:rsid w:val="005A0930"/>
    <w:pPr>
      <w:spacing w:after="0"/>
      <w:ind w:firstLine="360"/>
    </w:pPr>
  </w:style>
  <w:style w:type="character" w:customStyle="1" w:styleId="Brdtekst-frsteinnrykkTegn">
    <w:name w:val="Brødtekst - første innrykk Tegn"/>
    <w:basedOn w:val="BrdtekstTegn"/>
    <w:link w:val="Brdtekst-frsteinnrykk"/>
    <w:uiPriority w:val="99"/>
    <w:rsid w:val="005A0930"/>
    <w:rPr>
      <w:rFonts w:ascii="Times" w:eastAsia="Batang" w:hAnsi="Times"/>
      <w:sz w:val="24"/>
    </w:rPr>
  </w:style>
  <w:style w:type="paragraph" w:styleId="Brdtekst-frsteinnrykk2">
    <w:name w:val="Body Text First Indent 2"/>
    <w:basedOn w:val="Brdtekstinnrykk"/>
    <w:link w:val="Brdtekst-frsteinnrykk2Tegn"/>
    <w:uiPriority w:val="99"/>
    <w:unhideWhenUsed/>
    <w:rsid w:val="005A0930"/>
    <w:pPr>
      <w:spacing w:after="0"/>
      <w:ind w:left="360" w:firstLine="360"/>
    </w:pPr>
  </w:style>
  <w:style w:type="character" w:customStyle="1" w:styleId="Brdtekst-frsteinnrykk2Tegn">
    <w:name w:val="Brødtekst - første innrykk 2 Tegn"/>
    <w:basedOn w:val="BrdtekstinnrykkTegn"/>
    <w:link w:val="Brdtekst-frsteinnrykk2"/>
    <w:uiPriority w:val="99"/>
    <w:rsid w:val="005A0930"/>
    <w:rPr>
      <w:rFonts w:ascii="Times" w:eastAsia="Batang" w:hAnsi="Times"/>
      <w:sz w:val="24"/>
    </w:rPr>
  </w:style>
  <w:style w:type="paragraph" w:styleId="Notatoverskrift">
    <w:name w:val="Note Heading"/>
    <w:basedOn w:val="Normal"/>
    <w:next w:val="Normal"/>
    <w:link w:val="NotatoverskriftTegn"/>
    <w:uiPriority w:val="99"/>
    <w:semiHidden/>
    <w:unhideWhenUsed/>
    <w:rsid w:val="005A0930"/>
  </w:style>
  <w:style w:type="character" w:customStyle="1" w:styleId="NotatoverskriftTegn">
    <w:name w:val="Notatoverskrift Tegn"/>
    <w:basedOn w:val="Standardskriftforavsnitt"/>
    <w:link w:val="Notatoverskrift"/>
    <w:uiPriority w:val="99"/>
    <w:semiHidden/>
    <w:rsid w:val="005A0930"/>
    <w:rPr>
      <w:rFonts w:ascii="Times" w:eastAsia="Batang" w:hAnsi="Times"/>
      <w:sz w:val="24"/>
    </w:rPr>
  </w:style>
  <w:style w:type="paragraph" w:styleId="Dokumentkart">
    <w:name w:val="Document Map"/>
    <w:basedOn w:val="Normal"/>
    <w:link w:val="DokumentkartTegn"/>
    <w:uiPriority w:val="99"/>
    <w:semiHidden/>
    <w:unhideWhenUsed/>
    <w:rsid w:val="005A0930"/>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A0930"/>
    <w:rPr>
      <w:rFonts w:ascii="Tahoma" w:eastAsia="Batang" w:hAnsi="Tahoma" w:cs="Tahoma"/>
      <w:sz w:val="16"/>
      <w:szCs w:val="16"/>
    </w:rPr>
  </w:style>
  <w:style w:type="paragraph" w:styleId="E-postsignatur">
    <w:name w:val="E-mail Signature"/>
    <w:basedOn w:val="Normal"/>
    <w:link w:val="E-postsignaturTegn"/>
    <w:uiPriority w:val="99"/>
    <w:semiHidden/>
    <w:unhideWhenUsed/>
    <w:rsid w:val="005A0930"/>
  </w:style>
  <w:style w:type="character" w:customStyle="1" w:styleId="E-postsignaturTegn">
    <w:name w:val="E-postsignatur Tegn"/>
    <w:basedOn w:val="Standardskriftforavsnitt"/>
    <w:link w:val="E-postsignatur"/>
    <w:uiPriority w:val="99"/>
    <w:semiHidden/>
    <w:rsid w:val="005A0930"/>
    <w:rPr>
      <w:rFonts w:ascii="Times" w:eastAsia="Batang" w:hAnsi="Times"/>
      <w:sz w:val="24"/>
    </w:rPr>
  </w:style>
  <w:style w:type="character" w:styleId="HTML-akronym">
    <w:name w:val="HTML Acronym"/>
    <w:basedOn w:val="Standardskriftforavsnitt"/>
    <w:uiPriority w:val="99"/>
    <w:semiHidden/>
    <w:unhideWhenUsed/>
    <w:rsid w:val="005A0930"/>
  </w:style>
  <w:style w:type="paragraph" w:styleId="HTML-adresse">
    <w:name w:val="HTML Address"/>
    <w:basedOn w:val="Normal"/>
    <w:link w:val="HTML-adresseTegn"/>
    <w:uiPriority w:val="99"/>
    <w:semiHidden/>
    <w:unhideWhenUsed/>
    <w:rsid w:val="005A0930"/>
    <w:rPr>
      <w:i/>
      <w:iCs/>
    </w:rPr>
  </w:style>
  <w:style w:type="character" w:customStyle="1" w:styleId="HTML-adresseTegn">
    <w:name w:val="HTML-adresse Tegn"/>
    <w:basedOn w:val="Standardskriftforavsnitt"/>
    <w:link w:val="HTML-adresse"/>
    <w:uiPriority w:val="99"/>
    <w:semiHidden/>
    <w:rsid w:val="005A0930"/>
    <w:rPr>
      <w:rFonts w:ascii="Times" w:eastAsia="Batang" w:hAnsi="Times"/>
      <w:i/>
      <w:iCs/>
      <w:sz w:val="24"/>
    </w:rPr>
  </w:style>
  <w:style w:type="character" w:styleId="HTML-sitat">
    <w:name w:val="HTML Cite"/>
    <w:basedOn w:val="Standardskriftforavsnitt"/>
    <w:uiPriority w:val="99"/>
    <w:semiHidden/>
    <w:unhideWhenUsed/>
    <w:rsid w:val="005A0930"/>
    <w:rPr>
      <w:i/>
      <w:iCs/>
    </w:rPr>
  </w:style>
  <w:style w:type="character" w:styleId="HTML-kode">
    <w:name w:val="HTML Code"/>
    <w:basedOn w:val="Standardskriftforavsnitt"/>
    <w:uiPriority w:val="99"/>
    <w:semiHidden/>
    <w:unhideWhenUsed/>
    <w:rsid w:val="005A0930"/>
    <w:rPr>
      <w:rFonts w:ascii="Consolas" w:hAnsi="Consolas"/>
      <w:sz w:val="20"/>
      <w:szCs w:val="20"/>
    </w:rPr>
  </w:style>
  <w:style w:type="character" w:styleId="HTML-definisjon">
    <w:name w:val="HTML Definition"/>
    <w:basedOn w:val="Standardskriftforavsnitt"/>
    <w:uiPriority w:val="99"/>
    <w:semiHidden/>
    <w:unhideWhenUsed/>
    <w:rsid w:val="005A0930"/>
    <w:rPr>
      <w:i/>
      <w:iCs/>
    </w:rPr>
  </w:style>
  <w:style w:type="character" w:styleId="HTML-tastatur">
    <w:name w:val="HTML Keyboard"/>
    <w:basedOn w:val="Standardskriftforavsnitt"/>
    <w:uiPriority w:val="99"/>
    <w:semiHidden/>
    <w:unhideWhenUsed/>
    <w:rsid w:val="005A0930"/>
    <w:rPr>
      <w:rFonts w:ascii="Consolas" w:hAnsi="Consolas"/>
      <w:sz w:val="20"/>
      <w:szCs w:val="20"/>
    </w:rPr>
  </w:style>
  <w:style w:type="character" w:styleId="HTML-eksempel">
    <w:name w:val="HTML Sample"/>
    <w:basedOn w:val="Standardskriftforavsnitt"/>
    <w:uiPriority w:val="99"/>
    <w:semiHidden/>
    <w:unhideWhenUsed/>
    <w:rsid w:val="005A0930"/>
    <w:rPr>
      <w:rFonts w:ascii="Consolas" w:hAnsi="Consolas"/>
      <w:sz w:val="24"/>
      <w:szCs w:val="24"/>
    </w:rPr>
  </w:style>
  <w:style w:type="character" w:styleId="HTML-skrivemaskin">
    <w:name w:val="HTML Typewriter"/>
    <w:basedOn w:val="Standardskriftforavsnitt"/>
    <w:uiPriority w:val="99"/>
    <w:semiHidden/>
    <w:unhideWhenUsed/>
    <w:rsid w:val="005A0930"/>
    <w:rPr>
      <w:rFonts w:ascii="Consolas" w:hAnsi="Consolas"/>
      <w:sz w:val="20"/>
      <w:szCs w:val="20"/>
    </w:rPr>
  </w:style>
  <w:style w:type="character" w:styleId="HTML-variabel">
    <w:name w:val="HTML Variable"/>
    <w:basedOn w:val="Standardskriftforavsnitt"/>
    <w:uiPriority w:val="99"/>
    <w:semiHidden/>
    <w:unhideWhenUsed/>
    <w:rsid w:val="005A0930"/>
    <w:rPr>
      <w:i/>
      <w:iCs/>
    </w:rPr>
  </w:style>
  <w:style w:type="character" w:styleId="Plassholdertekst">
    <w:name w:val="Placeholder Text"/>
    <w:basedOn w:val="Standardskriftforavsnitt"/>
    <w:uiPriority w:val="99"/>
    <w:rsid w:val="005A0930"/>
    <w:rPr>
      <w:color w:val="808080"/>
    </w:rPr>
  </w:style>
  <w:style w:type="paragraph" w:styleId="Ingenmellomrom">
    <w:name w:val="No Spacing"/>
    <w:uiPriority w:val="1"/>
    <w:qFormat/>
    <w:rsid w:val="005A0930"/>
    <w:rPr>
      <w:rFonts w:ascii="Times" w:hAnsi="Times"/>
      <w:sz w:val="24"/>
    </w:rPr>
  </w:style>
  <w:style w:type="paragraph" w:styleId="Sterktsitat">
    <w:name w:val="Intense Quote"/>
    <w:basedOn w:val="Normal"/>
    <w:next w:val="Normal"/>
    <w:link w:val="SterktsitatTegn"/>
    <w:uiPriority w:val="30"/>
    <w:qFormat/>
    <w:rsid w:val="005A0930"/>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A0930"/>
    <w:rPr>
      <w:rFonts w:ascii="Times" w:eastAsia="Batang" w:hAnsi="Times"/>
      <w:b/>
      <w:bCs/>
      <w:i/>
      <w:iCs/>
      <w:color w:val="4F81BD" w:themeColor="accent1"/>
      <w:sz w:val="24"/>
    </w:rPr>
  </w:style>
  <w:style w:type="character" w:styleId="Svakutheving">
    <w:name w:val="Subtle Emphasis"/>
    <w:basedOn w:val="Standardskriftforavsnitt"/>
    <w:uiPriority w:val="19"/>
    <w:qFormat/>
    <w:rsid w:val="005A0930"/>
    <w:rPr>
      <w:i/>
      <w:iCs/>
      <w:color w:val="808080" w:themeColor="text1" w:themeTint="7F"/>
    </w:rPr>
  </w:style>
  <w:style w:type="character" w:styleId="Sterkutheving">
    <w:name w:val="Intense Emphasis"/>
    <w:basedOn w:val="Standardskriftforavsnitt"/>
    <w:uiPriority w:val="21"/>
    <w:qFormat/>
    <w:rsid w:val="005A0930"/>
    <w:rPr>
      <w:b/>
      <w:bCs/>
      <w:i/>
      <w:iCs/>
      <w:color w:val="4F81BD" w:themeColor="accent1"/>
    </w:rPr>
  </w:style>
  <w:style w:type="character" w:styleId="Svakreferanse">
    <w:name w:val="Subtle Reference"/>
    <w:basedOn w:val="Standardskriftforavsnitt"/>
    <w:uiPriority w:val="31"/>
    <w:qFormat/>
    <w:rsid w:val="005A0930"/>
    <w:rPr>
      <w:smallCaps/>
      <w:color w:val="C0504D" w:themeColor="accent2"/>
      <w:u w:val="single"/>
    </w:rPr>
  </w:style>
  <w:style w:type="character" w:styleId="Sterkreferanse">
    <w:name w:val="Intense Reference"/>
    <w:basedOn w:val="Standardskriftforavsnitt"/>
    <w:uiPriority w:val="32"/>
    <w:qFormat/>
    <w:rsid w:val="005A0930"/>
    <w:rPr>
      <w:b/>
      <w:bCs/>
      <w:smallCaps/>
      <w:color w:val="C0504D" w:themeColor="accent2"/>
      <w:spacing w:val="5"/>
      <w:u w:val="single"/>
    </w:rPr>
  </w:style>
  <w:style w:type="character" w:styleId="Boktittel">
    <w:name w:val="Book Title"/>
    <w:basedOn w:val="Standardskriftforavsnitt"/>
    <w:uiPriority w:val="33"/>
    <w:qFormat/>
    <w:rsid w:val="005A0930"/>
    <w:rPr>
      <w:b/>
      <w:bCs/>
      <w:smallCaps/>
      <w:spacing w:val="5"/>
    </w:rPr>
  </w:style>
  <w:style w:type="paragraph" w:styleId="Bibliografi">
    <w:name w:val="Bibliography"/>
    <w:basedOn w:val="Normal"/>
    <w:next w:val="Normal"/>
    <w:uiPriority w:val="37"/>
    <w:semiHidden/>
    <w:unhideWhenUsed/>
    <w:rsid w:val="005A0930"/>
  </w:style>
  <w:style w:type="paragraph" w:customStyle="1" w:styleId="alfaliste2">
    <w:name w:val="alfaliste 2"/>
    <w:basedOn w:val="Liste2"/>
    <w:rsid w:val="005A0930"/>
    <w:pPr>
      <w:numPr>
        <w:numId w:val="5"/>
      </w:numPr>
    </w:pPr>
  </w:style>
  <w:style w:type="paragraph" w:customStyle="1" w:styleId="alfaliste4">
    <w:name w:val="alfaliste 4"/>
    <w:basedOn w:val="Normal"/>
    <w:rsid w:val="005A0930"/>
    <w:pPr>
      <w:numPr>
        <w:ilvl w:val="3"/>
        <w:numId w:val="5"/>
      </w:numPr>
      <w:spacing w:after="0" w:line="276" w:lineRule="auto"/>
    </w:pPr>
    <w:rPr>
      <w:rFonts w:ascii="Times New Roman" w:eastAsia="Times New Roman" w:hAnsi="Times New Roman"/>
      <w:szCs w:val="22"/>
    </w:rPr>
  </w:style>
  <w:style w:type="paragraph" w:customStyle="1" w:styleId="alfaliste5">
    <w:name w:val="alfaliste 5"/>
    <w:basedOn w:val="Normal"/>
    <w:rsid w:val="005A0930"/>
    <w:pPr>
      <w:numPr>
        <w:ilvl w:val="4"/>
        <w:numId w:val="5"/>
      </w:numPr>
      <w:spacing w:after="0" w:line="276" w:lineRule="auto"/>
    </w:pPr>
    <w:rPr>
      <w:rFonts w:ascii="Times New Roman" w:eastAsia="Times New Roman" w:hAnsi="Times New Roman"/>
      <w:szCs w:val="22"/>
    </w:rPr>
  </w:style>
  <w:style w:type="paragraph" w:customStyle="1" w:styleId="opplisting">
    <w:name w:val="opplisting"/>
    <w:basedOn w:val="Normal"/>
    <w:rsid w:val="005A0930"/>
    <w:pPr>
      <w:spacing w:after="0" w:line="276" w:lineRule="auto"/>
    </w:pPr>
    <w:rPr>
      <w:rFonts w:eastAsia="Times New Roman"/>
      <w:szCs w:val="22"/>
    </w:rPr>
  </w:style>
  <w:style w:type="paragraph" w:customStyle="1" w:styleId="romertallliste4">
    <w:name w:val="romertall liste 4"/>
    <w:basedOn w:val="Normal"/>
    <w:rsid w:val="005A0930"/>
    <w:pPr>
      <w:numPr>
        <w:ilvl w:val="3"/>
        <w:numId w:val="13"/>
      </w:numPr>
      <w:spacing w:after="0"/>
    </w:pPr>
  </w:style>
  <w:style w:type="table" w:customStyle="1" w:styleId="Tabell-VM">
    <w:name w:val="Tabell-VM"/>
    <w:basedOn w:val="Tabelltemaer"/>
    <w:uiPriority w:val="99"/>
    <w:qFormat/>
    <w:rsid w:val="005A0930"/>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5A0930"/>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A0930"/>
    <w:rPr>
      <w:rFonts w:ascii="Times" w:eastAsiaTheme="minorHAnsi" w:hAnsi="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A0930"/>
    <w:rPr>
      <w:rFonts w:ascii="Times" w:eastAsiaTheme="minorHAnsi" w:hAnsi="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customStyle="1" w:styleId="l-alfaliste">
    <w:name w:val="l-alfaliste"/>
    <w:basedOn w:val="Normal"/>
    <w:qFormat/>
    <w:rsid w:val="005A0930"/>
    <w:pPr>
      <w:numPr>
        <w:numId w:val="12"/>
      </w:numPr>
      <w:spacing w:after="0" w:line="276" w:lineRule="auto"/>
    </w:pPr>
    <w:rPr>
      <w:rFonts w:ascii="Times New Roman" w:eastAsiaTheme="minorEastAsia" w:hAnsi="Times New Roman" w:cstheme="minorBidi"/>
      <w:spacing w:val="4"/>
      <w:szCs w:val="22"/>
    </w:rPr>
  </w:style>
  <w:style w:type="paragraph" w:customStyle="1" w:styleId="l-ledd">
    <w:name w:val="l-ledd"/>
    <w:basedOn w:val="Normal"/>
    <w:qFormat/>
    <w:rsid w:val="005A0930"/>
    <w:pPr>
      <w:spacing w:after="0" w:line="276" w:lineRule="auto"/>
      <w:ind w:firstLine="397"/>
    </w:pPr>
    <w:rPr>
      <w:rFonts w:eastAsia="Times New Roman" w:cstheme="minorBidi"/>
      <w:spacing w:val="4"/>
      <w:szCs w:val="22"/>
    </w:rPr>
  </w:style>
  <w:style w:type="paragraph" w:customStyle="1" w:styleId="l-punktum">
    <w:name w:val="l-punktum"/>
    <w:basedOn w:val="Normal"/>
    <w:qFormat/>
    <w:rsid w:val="005A0930"/>
    <w:pPr>
      <w:spacing w:after="0" w:line="276" w:lineRule="auto"/>
    </w:pPr>
    <w:rPr>
      <w:rFonts w:ascii="Times New Roman" w:eastAsia="Times New Roman" w:hAnsi="Times New Roman" w:cstheme="minorBidi"/>
      <w:spacing w:val="4"/>
      <w:szCs w:val="22"/>
    </w:rPr>
  </w:style>
  <w:style w:type="paragraph" w:customStyle="1" w:styleId="l-tit-endr-lovkap">
    <w:name w:val="l-tit-endr-lovkap"/>
    <w:basedOn w:val="Normal"/>
    <w:qFormat/>
    <w:rsid w:val="005A0930"/>
    <w:pPr>
      <w:keepNext/>
      <w:spacing w:before="240" w:after="0"/>
    </w:pPr>
    <w:rPr>
      <w:rFonts w:eastAsia="Times New Roman" w:cstheme="minorBidi"/>
      <w:noProof/>
      <w:spacing w:val="4"/>
      <w:szCs w:val="22"/>
      <w:lang w:val="nn-NO"/>
    </w:rPr>
  </w:style>
  <w:style w:type="paragraph" w:customStyle="1" w:styleId="l-tit-endr-ledd">
    <w:name w:val="l-tit-endr-ledd"/>
    <w:basedOn w:val="Normal"/>
    <w:qFormat/>
    <w:rsid w:val="005A0930"/>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5A0930"/>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5A0930"/>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5A0930"/>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5A0930"/>
  </w:style>
  <w:style w:type="paragraph" w:customStyle="1" w:styleId="del-nr">
    <w:name w:val="del-nr"/>
    <w:basedOn w:val="Normal"/>
    <w:qFormat/>
    <w:rsid w:val="005A0930"/>
    <w:pPr>
      <w:keepNext/>
      <w:keepLines/>
      <w:spacing w:before="360" w:after="0"/>
      <w:jc w:val="center"/>
    </w:pPr>
    <w:rPr>
      <w:rFonts w:ascii="Times New Roman" w:hAnsi="Times New Roman" w:cstheme="minorBidi"/>
      <w:i/>
      <w:sz w:val="48"/>
    </w:rPr>
  </w:style>
  <w:style w:type="paragraph" w:customStyle="1" w:styleId="del-tittel0">
    <w:name w:val="del-tittel"/>
    <w:uiPriority w:val="99"/>
    <w:rsid w:val="005A0930"/>
    <w:pPr>
      <w:autoSpaceDE w:val="0"/>
      <w:autoSpaceDN w:val="0"/>
      <w:adjustRightInd w:val="0"/>
      <w:spacing w:after="200" w:line="580" w:lineRule="atLeast"/>
      <w:jc w:val="center"/>
    </w:pPr>
    <w:rPr>
      <w:rFonts w:eastAsiaTheme="minorEastAsia" w:cs="UniCentury Old Style"/>
      <w:i/>
      <w:iCs/>
      <w:color w:val="000000"/>
      <w:w w:val="0"/>
      <w:sz w:val="46"/>
      <w:szCs w:val="46"/>
    </w:rPr>
  </w:style>
  <w:style w:type="numbering" w:customStyle="1" w:styleId="AlfaListeStil">
    <w:name w:val="AlfaListeStil"/>
    <w:uiPriority w:val="99"/>
    <w:rsid w:val="005A0930"/>
    <w:pPr>
      <w:numPr>
        <w:numId w:val="5"/>
      </w:numPr>
    </w:pPr>
  </w:style>
  <w:style w:type="paragraph" w:customStyle="1" w:styleId="l-alfaliste2">
    <w:name w:val="l-alfaliste 2"/>
    <w:basedOn w:val="alfaliste2"/>
    <w:qFormat/>
    <w:rsid w:val="005A0930"/>
    <w:pPr>
      <w:numPr>
        <w:numId w:val="12"/>
      </w:numPr>
    </w:pPr>
  </w:style>
  <w:style w:type="paragraph" w:customStyle="1" w:styleId="l-alfaliste3">
    <w:name w:val="l-alfaliste 3"/>
    <w:basedOn w:val="alfaliste3"/>
    <w:qFormat/>
    <w:rsid w:val="005A0930"/>
    <w:pPr>
      <w:numPr>
        <w:numId w:val="12"/>
      </w:numPr>
    </w:pPr>
    <w:rPr>
      <w:rFonts w:cstheme="minorBidi"/>
    </w:rPr>
  </w:style>
  <w:style w:type="paragraph" w:customStyle="1" w:styleId="l-alfaliste4">
    <w:name w:val="l-alfaliste 4"/>
    <w:basedOn w:val="alfaliste4"/>
    <w:qFormat/>
    <w:rsid w:val="005A0930"/>
    <w:pPr>
      <w:numPr>
        <w:numId w:val="12"/>
      </w:numPr>
    </w:pPr>
    <w:rPr>
      <w:rFonts w:cstheme="minorBidi"/>
    </w:rPr>
  </w:style>
  <w:style w:type="paragraph" w:customStyle="1" w:styleId="l-alfaliste5">
    <w:name w:val="l-alfaliste 5"/>
    <w:basedOn w:val="alfaliste5"/>
    <w:qFormat/>
    <w:rsid w:val="005A0930"/>
    <w:pPr>
      <w:numPr>
        <w:numId w:val="12"/>
      </w:numPr>
    </w:pPr>
  </w:style>
  <w:style w:type="numbering" w:customStyle="1" w:styleId="l-AlfaListeStil">
    <w:name w:val="l-AlfaListeStil"/>
    <w:uiPriority w:val="99"/>
    <w:rsid w:val="005A0930"/>
    <w:pPr>
      <w:numPr>
        <w:numId w:val="6"/>
      </w:numPr>
    </w:pPr>
  </w:style>
  <w:style w:type="numbering" w:customStyle="1" w:styleId="l-ListeStilMal">
    <w:name w:val="l-ListeStilMal"/>
    <w:uiPriority w:val="99"/>
    <w:rsid w:val="005A0930"/>
    <w:pPr>
      <w:numPr>
        <w:numId w:val="7"/>
      </w:numPr>
    </w:pPr>
  </w:style>
  <w:style w:type="numbering" w:customStyle="1" w:styleId="l-NummerertListeStil">
    <w:name w:val="l-NummerertListeStil"/>
    <w:uiPriority w:val="99"/>
    <w:rsid w:val="005A0930"/>
    <w:pPr>
      <w:numPr>
        <w:numId w:val="8"/>
      </w:numPr>
    </w:pPr>
  </w:style>
  <w:style w:type="numbering" w:customStyle="1" w:styleId="NrListeStil">
    <w:name w:val="NrListeStil"/>
    <w:uiPriority w:val="99"/>
    <w:rsid w:val="005A0930"/>
    <w:pPr>
      <w:numPr>
        <w:numId w:val="9"/>
      </w:numPr>
    </w:pPr>
  </w:style>
  <w:style w:type="numbering" w:customStyle="1" w:styleId="OpplistingListeStil">
    <w:name w:val="OpplistingListeStil"/>
    <w:uiPriority w:val="99"/>
    <w:rsid w:val="005A0930"/>
    <w:pPr>
      <w:numPr>
        <w:numId w:val="10"/>
      </w:numPr>
    </w:pPr>
  </w:style>
  <w:style w:type="numbering" w:customStyle="1" w:styleId="OverskrifterListeStil">
    <w:name w:val="OverskrifterListeStil"/>
    <w:uiPriority w:val="99"/>
    <w:rsid w:val="005A0930"/>
    <w:pPr>
      <w:numPr>
        <w:numId w:val="73"/>
      </w:numPr>
    </w:pPr>
  </w:style>
  <w:style w:type="numbering" w:customStyle="1" w:styleId="RomListeStil">
    <w:name w:val="RomListeStil"/>
    <w:uiPriority w:val="99"/>
    <w:rsid w:val="005A0930"/>
    <w:pPr>
      <w:numPr>
        <w:numId w:val="11"/>
      </w:numPr>
    </w:pPr>
  </w:style>
  <w:style w:type="numbering" w:customStyle="1" w:styleId="StrekListeStil">
    <w:name w:val="StrekListeStil"/>
    <w:uiPriority w:val="99"/>
    <w:rsid w:val="005A0930"/>
    <w:pPr>
      <w:numPr>
        <w:numId w:val="30"/>
      </w:numPr>
    </w:pPr>
  </w:style>
  <w:style w:type="paragraph" w:customStyle="1" w:styleId="romertallliste5">
    <w:name w:val="romertall liste 5"/>
    <w:basedOn w:val="Normal"/>
    <w:qFormat/>
    <w:rsid w:val="005A0930"/>
    <w:pPr>
      <w:numPr>
        <w:ilvl w:val="4"/>
        <w:numId w:val="13"/>
      </w:numPr>
      <w:spacing w:after="0" w:line="276" w:lineRule="auto"/>
    </w:pPr>
    <w:rPr>
      <w:rFonts w:ascii="Times New Roman" w:eastAsia="Times New Roman" w:hAnsi="Times New Roman" w:cstheme="minorBidi"/>
      <w:spacing w:val="4"/>
      <w:szCs w:val="22"/>
    </w:rPr>
  </w:style>
  <w:style w:type="paragraph" w:customStyle="1" w:styleId="Tabellnavn-kode">
    <w:name w:val="Tabellnavn-kode"/>
    <w:basedOn w:val="Tabellnavn"/>
    <w:qFormat/>
    <w:rsid w:val="005A0930"/>
    <w:rPr>
      <w:rFonts w:cstheme="minorBidi"/>
      <w:vanish w:val="0"/>
      <w:color w:val="FF0000"/>
    </w:rPr>
  </w:style>
  <w:style w:type="paragraph" w:customStyle="1" w:styleId="friliste">
    <w:name w:val="friliste"/>
    <w:basedOn w:val="Normal"/>
    <w:qFormat/>
    <w:rsid w:val="005A0930"/>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5A0930"/>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5A0930"/>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5A0930"/>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5A0930"/>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opplisting2">
    <w:name w:val="opplisting 2"/>
    <w:basedOn w:val="Normal"/>
    <w:qFormat/>
    <w:rsid w:val="005A0930"/>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5A0930"/>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5A0930"/>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5A0930"/>
    <w:pPr>
      <w:spacing w:after="0" w:line="276" w:lineRule="auto"/>
      <w:ind w:left="1588"/>
    </w:pPr>
    <w:rPr>
      <w:rFonts w:ascii="Times New Roman" w:eastAsia="Times New Roman" w:hAnsi="Times New Roman" w:cstheme="minorBidi"/>
      <w:szCs w:val="22"/>
    </w:rPr>
  </w:style>
  <w:style w:type="paragraph" w:customStyle="1" w:styleId="blokksit">
    <w:name w:val="blokksit"/>
    <w:basedOn w:val="Normal"/>
    <w:qFormat/>
    <w:rsid w:val="005A0930"/>
    <w:pPr>
      <w:ind w:left="397"/>
    </w:pPr>
    <w:rPr>
      <w:rFonts w:eastAsia="Times New Roman" w:cstheme="minorBidi"/>
      <w:spacing w:val="-2"/>
      <w:szCs w:val="22"/>
    </w:rPr>
  </w:style>
  <w:style w:type="character" w:customStyle="1" w:styleId="regular">
    <w:name w:val="regular"/>
    <w:basedOn w:val="Standardskriftforavsnitt"/>
    <w:uiPriority w:val="1"/>
    <w:qFormat/>
    <w:rsid w:val="005A0930"/>
    <w:rPr>
      <w:i/>
    </w:rPr>
  </w:style>
  <w:style w:type="paragraph" w:customStyle="1" w:styleId="medlem">
    <w:name w:val="medlem"/>
    <w:basedOn w:val="Normal"/>
    <w:qFormat/>
    <w:rsid w:val="005A0930"/>
  </w:style>
  <w:style w:type="paragraph" w:customStyle="1" w:styleId="sekr">
    <w:name w:val="sekr"/>
    <w:basedOn w:val="Normal"/>
    <w:qFormat/>
    <w:rsid w:val="005A0930"/>
  </w:style>
  <w:style w:type="paragraph" w:customStyle="1" w:styleId="avgivelse">
    <w:name w:val="avgivelse"/>
    <w:basedOn w:val="oppnevnelse"/>
    <w:qFormat/>
    <w:rsid w:val="005A0930"/>
  </w:style>
  <w:style w:type="character" w:customStyle="1" w:styleId="gjennomstreket">
    <w:name w:val="gjennomstreket"/>
    <w:uiPriority w:val="1"/>
    <w:rsid w:val="005A0930"/>
    <w:rPr>
      <w:strike/>
      <w:dstrike w:val="0"/>
    </w:rPr>
  </w:style>
  <w:style w:type="paragraph" w:customStyle="1" w:styleId="l-avsnitt">
    <w:name w:val="l-avsnitt"/>
    <w:basedOn w:val="l-lovkap"/>
    <w:qFormat/>
    <w:rsid w:val="005A0930"/>
    <w:rPr>
      <w:lang w:val="nn-NO"/>
    </w:rPr>
  </w:style>
  <w:style w:type="paragraph" w:customStyle="1" w:styleId="l-tit-endr-avsnitt">
    <w:name w:val="l-tit-endr-avsnitt"/>
    <w:basedOn w:val="l-tit-endr-lovkap"/>
    <w:qFormat/>
    <w:rsid w:val="005A0930"/>
  </w:style>
  <w:style w:type="paragraph" w:customStyle="1" w:styleId="tittel-litteraturliste">
    <w:name w:val="tittel-litteraturliste"/>
    <w:basedOn w:val="Normal"/>
    <w:next w:val="Normal"/>
    <w:rsid w:val="005A0930"/>
    <w:pPr>
      <w:keepNext/>
      <w:keepLines/>
      <w:spacing w:before="360" w:after="240" w:line="276" w:lineRule="auto"/>
      <w:jc w:val="center"/>
    </w:pPr>
    <w:rPr>
      <w:rFonts w:ascii="Arial" w:eastAsia="Times New Roman" w:hAnsi="Arial" w:cstheme="minorBidi"/>
      <w:b/>
      <w:spacing w:val="4"/>
      <w:sz w:val="28"/>
      <w:szCs w:val="22"/>
    </w:rPr>
  </w:style>
  <w:style w:type="paragraph" w:customStyle="1" w:styleId="Listebombe">
    <w:name w:val="Liste bombe"/>
    <w:basedOn w:val="Liste"/>
    <w:qFormat/>
    <w:rsid w:val="005A0930"/>
    <w:pPr>
      <w:numPr>
        <w:numId w:val="15"/>
      </w:numPr>
    </w:pPr>
  </w:style>
  <w:style w:type="paragraph" w:customStyle="1" w:styleId="Listebombe2">
    <w:name w:val="Liste bombe 2"/>
    <w:basedOn w:val="Liste2"/>
    <w:qFormat/>
    <w:rsid w:val="005A0930"/>
    <w:pPr>
      <w:numPr>
        <w:ilvl w:val="0"/>
        <w:numId w:val="16"/>
      </w:numPr>
      <w:ind w:left="794" w:hanging="397"/>
    </w:pPr>
  </w:style>
  <w:style w:type="paragraph" w:customStyle="1" w:styleId="Listebombe3">
    <w:name w:val="Liste bombe 3"/>
    <w:basedOn w:val="Liste3"/>
    <w:qFormat/>
    <w:rsid w:val="005A0930"/>
    <w:pPr>
      <w:numPr>
        <w:ilvl w:val="0"/>
        <w:numId w:val="17"/>
      </w:numPr>
      <w:ind w:left="1191" w:hanging="397"/>
    </w:pPr>
  </w:style>
  <w:style w:type="paragraph" w:customStyle="1" w:styleId="Listebombe4">
    <w:name w:val="Liste bombe 4"/>
    <w:basedOn w:val="Liste4"/>
    <w:qFormat/>
    <w:rsid w:val="005A0930"/>
    <w:pPr>
      <w:numPr>
        <w:ilvl w:val="0"/>
        <w:numId w:val="18"/>
      </w:numPr>
      <w:ind w:left="1588" w:hanging="397"/>
    </w:pPr>
  </w:style>
  <w:style w:type="paragraph" w:customStyle="1" w:styleId="Listebombe5">
    <w:name w:val="Liste bombe 5"/>
    <w:basedOn w:val="Liste5"/>
    <w:qFormat/>
    <w:rsid w:val="005A0930"/>
    <w:pPr>
      <w:numPr>
        <w:ilvl w:val="0"/>
        <w:numId w:val="19"/>
      </w:numPr>
      <w:ind w:left="1985" w:hanging="397"/>
    </w:pPr>
  </w:style>
  <w:style w:type="paragraph" w:customStyle="1" w:styleId="alfaliste">
    <w:name w:val="alfaliste"/>
    <w:basedOn w:val="Normal"/>
    <w:rsid w:val="005A0930"/>
    <w:pPr>
      <w:numPr>
        <w:numId w:val="5"/>
      </w:numPr>
      <w:spacing w:after="0" w:line="276" w:lineRule="auto"/>
    </w:pPr>
    <w:rPr>
      <w:rFonts w:ascii="Times New Roman" w:eastAsia="Times New Roman" w:hAnsi="Times New Roman" w:cstheme="minorBidi"/>
      <w:spacing w:val="4"/>
      <w:szCs w:val="22"/>
    </w:rPr>
  </w:style>
  <w:style w:type="paragraph" w:customStyle="1" w:styleId="tittel-forord">
    <w:name w:val="tittel-forord"/>
    <w:basedOn w:val="Normal"/>
    <w:next w:val="Normal"/>
    <w:rsid w:val="005A0930"/>
    <w:pPr>
      <w:keepNext/>
      <w:keepLines/>
      <w:spacing w:line="276" w:lineRule="auto"/>
      <w:jc w:val="center"/>
    </w:pPr>
    <w:rPr>
      <w:rFonts w:ascii="Arial" w:eastAsia="Times New Roman" w:hAnsi="Arial" w:cstheme="minorBidi"/>
      <w:b/>
      <w:sz w:val="28"/>
      <w:szCs w:val="22"/>
    </w:rPr>
  </w:style>
  <w:style w:type="paragraph" w:customStyle="1" w:styleId="avsnitt-undertittel">
    <w:name w:val="avsnitt-undertittel"/>
    <w:basedOn w:val="Normal"/>
    <w:next w:val="Normal"/>
    <w:rsid w:val="005A0930"/>
    <w:pPr>
      <w:keepNext/>
      <w:keepLines/>
      <w:spacing w:before="360" w:after="60"/>
    </w:pPr>
    <w:rPr>
      <w:rFonts w:ascii="Arial" w:hAnsi="Arial" w:cstheme="minorBidi"/>
      <w:i/>
    </w:rPr>
  </w:style>
  <w:style w:type="paragraph" w:customStyle="1" w:styleId="avsnitt-under-undertittel">
    <w:name w:val="avsnitt-under-undertittel"/>
    <w:basedOn w:val="Normal"/>
    <w:next w:val="Normal"/>
    <w:rsid w:val="005A0930"/>
    <w:pPr>
      <w:keepNext/>
      <w:keepLines/>
      <w:spacing w:before="360"/>
    </w:pPr>
    <w:rPr>
      <w:rFonts w:ascii="Times New Roman" w:hAnsi="Times New Roman" w:cstheme="minorBidi"/>
      <w:i/>
    </w:rPr>
  </w:style>
  <w:style w:type="paragraph" w:customStyle="1" w:styleId="Listeavsnitt2">
    <w:name w:val="Listeavsnitt 2"/>
    <w:basedOn w:val="Normal"/>
    <w:qFormat/>
    <w:rsid w:val="005A0930"/>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5A0930"/>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5A0930"/>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5A0930"/>
    <w:pPr>
      <w:spacing w:before="60" w:after="0" w:line="276" w:lineRule="auto"/>
      <w:ind w:left="1985"/>
    </w:pPr>
    <w:rPr>
      <w:rFonts w:ascii="Times New Roman" w:eastAsia="Times New Roman" w:hAnsi="Times New Roman" w:cstheme="minorBidi"/>
      <w:szCs w:val="22"/>
    </w:rPr>
  </w:style>
  <w:style w:type="paragraph" w:customStyle="1" w:styleId="Normalref">
    <w:name w:val="Normalref"/>
    <w:basedOn w:val="Normal"/>
    <w:qFormat/>
    <w:rsid w:val="005A0930"/>
    <w:pPr>
      <w:spacing w:line="276" w:lineRule="auto"/>
      <w:ind w:left="357" w:hanging="357"/>
    </w:pPr>
    <w:rPr>
      <w:rFonts w:ascii="Times New Roman" w:eastAsia="Times New Roman" w:hAnsi="Times New Roman" w:cstheme="minorBidi"/>
      <w:szCs w:val="22"/>
    </w:rPr>
  </w:style>
  <w:style w:type="paragraph" w:customStyle="1" w:styleId="Ingenmellomrom1">
    <w:name w:val="Ingen mellomrom1"/>
    <w:rsid w:val="008753FB"/>
    <w:rPr>
      <w:rFonts w:ascii="Calibri" w:hAnsi="Calibri"/>
      <w:sz w:val="22"/>
      <w:szCs w:val="22"/>
      <w:lang w:eastAsia="en-US"/>
    </w:rPr>
  </w:style>
  <w:style w:type="character" w:customStyle="1" w:styleId="TegnTegn1">
    <w:name w:val="Tegn Tegn1"/>
    <w:basedOn w:val="Standardskriftforavsnitt"/>
    <w:uiPriority w:val="99"/>
    <w:rsid w:val="00E55F14"/>
    <w:rPr>
      <w:b/>
      <w:sz w:val="26"/>
      <w:lang w:val="nb-NO" w:eastAsia="nb-NO" w:bidi="ar-SA"/>
    </w:rPr>
  </w:style>
  <w:style w:type="character" w:customStyle="1" w:styleId="Tegn2">
    <w:name w:val="Tegn2"/>
    <w:basedOn w:val="Standardskriftforavsnitt"/>
    <w:uiPriority w:val="99"/>
    <w:rsid w:val="00E55F14"/>
    <w:rPr>
      <w:b/>
      <w:sz w:val="32"/>
      <w:lang w:val="nb-NO" w:eastAsia="nb-NO" w:bidi="ar-SA"/>
    </w:rPr>
  </w:style>
  <w:style w:type="character" w:customStyle="1" w:styleId="Tegn11">
    <w:name w:val="Tegn11"/>
    <w:basedOn w:val="Standardskriftforavsnitt"/>
    <w:uiPriority w:val="99"/>
    <w:rsid w:val="00E55F14"/>
    <w:rPr>
      <w:b/>
      <w:sz w:val="32"/>
      <w:lang w:val="nb-NO" w:eastAsia="nb-NO" w:bidi="ar-SA"/>
    </w:rPr>
  </w:style>
  <w:style w:type="paragraph" w:customStyle="1" w:styleId="k-a8">
    <w:name w:val="k-a8"/>
    <w:basedOn w:val="Normal"/>
    <w:rsid w:val="00B865B6"/>
    <w:pPr>
      <w:spacing w:line="312" w:lineRule="atLeast"/>
    </w:pPr>
    <w:rPr>
      <w:szCs w:val="24"/>
    </w:rPr>
  </w:style>
  <w:style w:type="character" w:customStyle="1" w:styleId="DokumentkartTegn1">
    <w:name w:val="Dokumentkart Tegn1"/>
    <w:basedOn w:val="Standardskriftforavsnitt"/>
    <w:uiPriority w:val="99"/>
    <w:semiHidden/>
    <w:rsid w:val="00B865B6"/>
    <w:rPr>
      <w:rFonts w:ascii="Tahoma" w:eastAsia="Batang" w:hAnsi="Tahoma" w:cs="Tahoma"/>
      <w:sz w:val="16"/>
      <w:szCs w:val="16"/>
    </w:rPr>
  </w:style>
  <w:style w:type="paragraph" w:customStyle="1" w:styleId="apiinline3">
    <w:name w:val="apiinline3"/>
    <w:basedOn w:val="Normal"/>
    <w:rsid w:val="00B865B6"/>
    <w:pPr>
      <w:spacing w:before="100" w:beforeAutospacing="1" w:after="225" w:line="240" w:lineRule="atLeast"/>
    </w:pPr>
    <w:rPr>
      <w:szCs w:val="24"/>
    </w:rPr>
  </w:style>
  <w:style w:type="character" w:customStyle="1" w:styleId="inyhet21">
    <w:name w:val="inyhet21"/>
    <w:basedOn w:val="Standardskriftforavsnitt"/>
    <w:rsid w:val="00B865B6"/>
    <w:rPr>
      <w:b/>
      <w:bCs/>
      <w:sz w:val="18"/>
      <w:szCs w:val="18"/>
    </w:rPr>
  </w:style>
  <w:style w:type="table" w:styleId="Tabellrutenett">
    <w:name w:val="Table Grid"/>
    <w:basedOn w:val="Vanligtabell"/>
    <w:uiPriority w:val="59"/>
    <w:rsid w:val="00BA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Standardskriftforavsnitt"/>
    <w:rsid w:val="00E97982"/>
  </w:style>
  <w:style w:type="character" w:customStyle="1" w:styleId="msodel0">
    <w:name w:val="msodel"/>
    <w:basedOn w:val="Standardskriftforavsnitt"/>
    <w:rsid w:val="004529D0"/>
  </w:style>
  <w:style w:type="character" w:customStyle="1" w:styleId="StilTimes">
    <w:name w:val="Stil Times"/>
    <w:basedOn w:val="Standardskriftforavsnitt"/>
    <w:rsid w:val="00386993"/>
    <w:rPr>
      <w:rFonts w:ascii="Times New Roman" w:hAnsi="Times New Roman" w:cs="Times New Roman" w:hint="default"/>
    </w:rPr>
  </w:style>
  <w:style w:type="paragraph" w:customStyle="1" w:styleId="tittel-sammendr">
    <w:name w:val="tittel-sammendr"/>
    <w:uiPriority w:val="99"/>
    <w:rsid w:val="000202F4"/>
    <w:pPr>
      <w:keepNext/>
      <w:pageBreakBefore/>
      <w:widowControl w:val="0"/>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CM16">
    <w:name w:val="CM16"/>
    <w:basedOn w:val="Normal"/>
    <w:next w:val="Normal"/>
    <w:uiPriority w:val="99"/>
    <w:rsid w:val="000202F4"/>
    <w:pPr>
      <w:autoSpaceDE w:val="0"/>
      <w:autoSpaceDN w:val="0"/>
      <w:adjustRightInd w:val="0"/>
      <w:spacing w:after="0" w:line="260" w:lineRule="atLeast"/>
    </w:pPr>
    <w:rPr>
      <w:rFonts w:ascii="MMONL F+ Dep Century Old Style" w:eastAsia="Times New Roman" w:hAnsi="MMONL F+ Dep Century Old Style"/>
      <w:szCs w:val="24"/>
    </w:rPr>
  </w:style>
  <w:style w:type="paragraph" w:customStyle="1" w:styleId="CM68">
    <w:name w:val="CM68"/>
    <w:basedOn w:val="Default"/>
    <w:next w:val="Default"/>
    <w:uiPriority w:val="99"/>
    <w:rsid w:val="000202F4"/>
    <w:rPr>
      <w:rFonts w:ascii="MMONL F+ Dep Century Old Style" w:hAnsi="MMONL F+ Dep Century Old Style"/>
      <w:color w:val="auto"/>
    </w:rPr>
  </w:style>
  <w:style w:type="paragraph" w:customStyle="1" w:styleId="CM70">
    <w:name w:val="CM70"/>
    <w:basedOn w:val="Default"/>
    <w:next w:val="Default"/>
    <w:uiPriority w:val="99"/>
    <w:rsid w:val="000202F4"/>
    <w:rPr>
      <w:rFonts w:ascii="MMONL F+ Dep Century Old Style" w:hAnsi="MMONL F+ Dep Century Old Style"/>
      <w:color w:val="auto"/>
    </w:rPr>
  </w:style>
  <w:style w:type="paragraph" w:customStyle="1" w:styleId="CM69">
    <w:name w:val="CM69"/>
    <w:basedOn w:val="Default"/>
    <w:next w:val="Default"/>
    <w:uiPriority w:val="99"/>
    <w:rsid w:val="000202F4"/>
    <w:rPr>
      <w:rFonts w:ascii="MMONL F+ Dep Century Old Style" w:hAnsi="MMONL F+ Dep Century Old Style"/>
      <w:color w:val="auto"/>
    </w:rPr>
  </w:style>
  <w:style w:type="paragraph" w:customStyle="1" w:styleId="CM12">
    <w:name w:val="CM12"/>
    <w:basedOn w:val="Default"/>
    <w:next w:val="Default"/>
    <w:uiPriority w:val="99"/>
    <w:rsid w:val="000202F4"/>
    <w:pPr>
      <w:spacing w:line="246" w:lineRule="atLeast"/>
    </w:pPr>
    <w:rPr>
      <w:rFonts w:ascii="MMONL F+ Dep Century Old Style" w:hAnsi="MMONL F+ Dep Century Old Style"/>
      <w:color w:val="auto"/>
    </w:rPr>
  </w:style>
  <w:style w:type="paragraph" w:customStyle="1" w:styleId="CM13">
    <w:name w:val="CM13"/>
    <w:basedOn w:val="Default"/>
    <w:next w:val="Default"/>
    <w:uiPriority w:val="99"/>
    <w:rsid w:val="000202F4"/>
    <w:pPr>
      <w:spacing w:line="240" w:lineRule="atLeast"/>
    </w:pPr>
    <w:rPr>
      <w:rFonts w:ascii="MMONL F+ Dep Century Old Style" w:hAnsi="MMONL F+ Dep Century Old Style"/>
      <w:color w:val="auto"/>
    </w:rPr>
  </w:style>
  <w:style w:type="character" w:customStyle="1" w:styleId="Heading3Char1">
    <w:name w:val="Heading 3 Char1"/>
    <w:aliases w:val="Overskrift 3 Tegn Tegn Char1"/>
    <w:basedOn w:val="Standardskriftforavsnitt"/>
    <w:locked/>
    <w:rsid w:val="000202F4"/>
    <w:rPr>
      <w:rFonts w:ascii="Arial" w:hAnsi="Arial"/>
      <w:b/>
      <w:sz w:val="24"/>
      <w:szCs w:val="22"/>
      <w:lang w:val="nb-NO" w:eastAsia="nb-NO" w:bidi="ar-SA"/>
    </w:rPr>
  </w:style>
  <w:style w:type="paragraph" w:customStyle="1" w:styleId="Sitat1">
    <w:name w:val="Sitat1"/>
    <w:basedOn w:val="Normal"/>
    <w:next w:val="Normal"/>
    <w:link w:val="QuoteChar"/>
    <w:rsid w:val="000202F4"/>
    <w:rPr>
      <w:i/>
      <w:iCs/>
      <w:color w:val="000000"/>
    </w:rPr>
  </w:style>
  <w:style w:type="character" w:customStyle="1" w:styleId="QuoteChar">
    <w:name w:val="Quote Char"/>
    <w:basedOn w:val="Standardskriftforavsnitt"/>
    <w:link w:val="Sitat1"/>
    <w:locked/>
    <w:rsid w:val="000202F4"/>
    <w:rPr>
      <w:rFonts w:ascii="Times" w:eastAsia="Batang" w:hAnsi="Times"/>
      <w:i/>
      <w:iCs/>
      <w:color w:val="000000"/>
      <w:sz w:val="24"/>
    </w:rPr>
  </w:style>
  <w:style w:type="paragraph" w:customStyle="1" w:styleId="Revisjon1">
    <w:name w:val="Revisjon1"/>
    <w:hidden/>
    <w:semiHidden/>
    <w:rsid w:val="000202F4"/>
    <w:rPr>
      <w:sz w:val="24"/>
    </w:rPr>
  </w:style>
  <w:style w:type="paragraph" w:customStyle="1" w:styleId="Overskriftforinnholdsfortegnelse1">
    <w:name w:val="Overskrift for innholdsfortegnelse1"/>
    <w:basedOn w:val="Overskrift1"/>
    <w:next w:val="Normal"/>
    <w:rsid w:val="000202F4"/>
    <w:pPr>
      <w:numPr>
        <w:numId w:val="0"/>
      </w:numPr>
      <w:spacing w:before="480" w:after="0"/>
      <w:outlineLvl w:val="9"/>
    </w:pPr>
    <w:rPr>
      <w:rFonts w:ascii="Cambria" w:eastAsia="Batang" w:hAnsi="Cambria" w:cs="Times New Roman"/>
      <w:bCs/>
      <w:color w:val="365F91"/>
      <w:sz w:val="28"/>
      <w:szCs w:val="28"/>
    </w:rPr>
  </w:style>
  <w:style w:type="paragraph" w:customStyle="1" w:styleId="Listeavsnitt1">
    <w:name w:val="Listeavsnitt1"/>
    <w:basedOn w:val="Normal"/>
    <w:rsid w:val="000202F4"/>
    <w:pPr>
      <w:spacing w:before="60" w:after="0" w:line="276" w:lineRule="auto"/>
      <w:ind w:left="397"/>
    </w:pPr>
    <w:rPr>
      <w:rFonts w:ascii="Times New Roman" w:eastAsia="Times New Roman" w:hAnsi="Times New Roman"/>
      <w:szCs w:val="22"/>
    </w:rPr>
  </w:style>
  <w:style w:type="character" w:customStyle="1" w:styleId="Plassholdertekst1">
    <w:name w:val="Plassholdertekst1"/>
    <w:basedOn w:val="Standardskriftforavsnitt"/>
    <w:semiHidden/>
    <w:rsid w:val="000202F4"/>
    <w:rPr>
      <w:rFonts w:cs="Times New Roman"/>
      <w:color w:val="808080"/>
    </w:rPr>
  </w:style>
  <w:style w:type="paragraph" w:customStyle="1" w:styleId="Sterktsitat1">
    <w:name w:val="Sterkt sitat1"/>
    <w:basedOn w:val="Normal"/>
    <w:next w:val="Normal"/>
    <w:link w:val="IntenseQuoteChar"/>
    <w:rsid w:val="000202F4"/>
    <w:pPr>
      <w:pBdr>
        <w:bottom w:val="single" w:sz="4" w:space="4" w:color="4F81BD"/>
      </w:pBdr>
      <w:spacing w:before="200" w:after="280"/>
      <w:ind w:left="936" w:right="936"/>
    </w:pPr>
    <w:rPr>
      <w:b/>
      <w:bCs/>
      <w:i/>
      <w:iCs/>
      <w:color w:val="4F81BD"/>
    </w:rPr>
  </w:style>
  <w:style w:type="character" w:customStyle="1" w:styleId="IntenseQuoteChar">
    <w:name w:val="Intense Quote Char"/>
    <w:basedOn w:val="Standardskriftforavsnitt"/>
    <w:link w:val="Sterktsitat1"/>
    <w:locked/>
    <w:rsid w:val="000202F4"/>
    <w:rPr>
      <w:rFonts w:ascii="Times" w:eastAsia="Batang" w:hAnsi="Times"/>
      <w:b/>
      <w:bCs/>
      <w:i/>
      <w:iCs/>
      <w:color w:val="4F81BD"/>
      <w:sz w:val="24"/>
    </w:rPr>
  </w:style>
  <w:style w:type="character" w:customStyle="1" w:styleId="Svakutheving1">
    <w:name w:val="Svak utheving1"/>
    <w:basedOn w:val="Standardskriftforavsnitt"/>
    <w:rsid w:val="000202F4"/>
    <w:rPr>
      <w:rFonts w:cs="Times New Roman"/>
      <w:i/>
      <w:iCs/>
      <w:color w:val="808080"/>
    </w:rPr>
  </w:style>
  <w:style w:type="character" w:customStyle="1" w:styleId="Sterkutheving1">
    <w:name w:val="Sterk utheving1"/>
    <w:basedOn w:val="Standardskriftforavsnitt"/>
    <w:rsid w:val="000202F4"/>
    <w:rPr>
      <w:rFonts w:cs="Times New Roman"/>
      <w:b/>
      <w:bCs/>
      <w:i/>
      <w:iCs/>
      <w:color w:val="4F81BD"/>
    </w:rPr>
  </w:style>
  <w:style w:type="character" w:customStyle="1" w:styleId="Svakreferanse1">
    <w:name w:val="Svak referanse1"/>
    <w:basedOn w:val="Standardskriftforavsnitt"/>
    <w:rsid w:val="000202F4"/>
    <w:rPr>
      <w:rFonts w:cs="Times New Roman"/>
      <w:smallCaps/>
      <w:color w:val="C0504D"/>
      <w:u w:val="single"/>
    </w:rPr>
  </w:style>
  <w:style w:type="character" w:customStyle="1" w:styleId="Sterkreferanse1">
    <w:name w:val="Sterk referanse1"/>
    <w:basedOn w:val="Standardskriftforavsnitt"/>
    <w:rsid w:val="000202F4"/>
    <w:rPr>
      <w:rFonts w:cs="Times New Roman"/>
      <w:b/>
      <w:bCs/>
      <w:smallCaps/>
      <w:color w:val="C0504D"/>
      <w:spacing w:val="5"/>
      <w:u w:val="single"/>
    </w:rPr>
  </w:style>
  <w:style w:type="character" w:customStyle="1" w:styleId="Boktittel1">
    <w:name w:val="Boktittel1"/>
    <w:basedOn w:val="Standardskriftforavsnitt"/>
    <w:rsid w:val="000202F4"/>
    <w:rPr>
      <w:rFonts w:cs="Times New Roman"/>
      <w:b/>
      <w:bCs/>
      <w:smallCaps/>
      <w:spacing w:val="5"/>
    </w:rPr>
  </w:style>
  <w:style w:type="paragraph" w:customStyle="1" w:styleId="Bibliografi1">
    <w:name w:val="Bibliografi1"/>
    <w:basedOn w:val="Normal"/>
    <w:next w:val="Normal"/>
    <w:semiHidden/>
    <w:rsid w:val="000202F4"/>
  </w:style>
  <w:style w:type="paragraph" w:customStyle="1" w:styleId="B2">
    <w:name w:val="B2"/>
    <w:basedOn w:val="Normal"/>
    <w:uiPriority w:val="99"/>
    <w:rsid w:val="000202F4"/>
    <w:pPr>
      <w:tabs>
        <w:tab w:val="right" w:pos="4536"/>
        <w:tab w:val="right" w:pos="5245"/>
        <w:tab w:val="right" w:pos="5954"/>
        <w:tab w:val="right" w:pos="6804"/>
        <w:tab w:val="right" w:pos="7513"/>
        <w:tab w:val="right" w:pos="8364"/>
        <w:tab w:val="right" w:pos="9356"/>
      </w:tabs>
    </w:pPr>
    <w:rPr>
      <w:rFonts w:ascii="Tms Rmn" w:hAnsi="Tms Rmn"/>
      <w:noProof/>
      <w:sz w:val="20"/>
    </w:rPr>
  </w:style>
  <w:style w:type="paragraph" w:customStyle="1" w:styleId="Listeavsnitt20">
    <w:name w:val="Listeavsnitt2"/>
    <w:basedOn w:val="Normal"/>
    <w:rsid w:val="000202F4"/>
    <w:pPr>
      <w:spacing w:before="60" w:after="0" w:line="276" w:lineRule="auto"/>
      <w:ind w:left="397"/>
    </w:pPr>
    <w:rPr>
      <w:rFonts w:ascii="Times New Roman" w:eastAsia="Calibri" w:hAnsi="Times New Roman"/>
      <w:szCs w:val="22"/>
    </w:rPr>
  </w:style>
  <w:style w:type="paragraph" w:customStyle="1" w:styleId="Sammendrag">
    <w:name w:val="Sammendrag"/>
    <w:basedOn w:val="Overskrift1"/>
    <w:qFormat/>
    <w:rsid w:val="005A0930"/>
    <w:pPr>
      <w:numPr>
        <w:numId w:val="0"/>
      </w:numPr>
    </w:pPr>
  </w:style>
  <w:style w:type="paragraph" w:customStyle="1" w:styleId="TrykkeriMerknad">
    <w:name w:val="TrykkeriMerknad"/>
    <w:basedOn w:val="Normal"/>
    <w:qFormat/>
    <w:rsid w:val="005A0930"/>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TrykkeriMerknad"/>
    <w:qFormat/>
    <w:rsid w:val="005A0930"/>
    <w:pPr>
      <w:shd w:val="clear" w:color="auto" w:fill="FFFF99"/>
      <w:spacing w:line="240" w:lineRule="auto"/>
    </w:pPr>
    <w:rPr>
      <w:color w:val="632423" w:themeColor="accent2" w:themeShade="80"/>
    </w:rPr>
  </w:style>
  <w:style w:type="paragraph" w:customStyle="1" w:styleId="NoSpacing1">
    <w:name w:val="No Spacing1"/>
    <w:uiPriority w:val="99"/>
    <w:rsid w:val="007D3721"/>
    <w:rPr>
      <w:rFonts w:ascii="Times" w:hAnsi="Times" w:cstheme="minorBidi"/>
      <w:spacing w:val="4"/>
      <w:sz w:val="24"/>
      <w:szCs w:val="22"/>
    </w:rPr>
  </w:style>
  <w:style w:type="paragraph" w:customStyle="1" w:styleId="TOCHeading1">
    <w:name w:val="TOC Heading1"/>
    <w:basedOn w:val="Overskrift1"/>
    <w:next w:val="Normal"/>
    <w:uiPriority w:val="99"/>
    <w:rsid w:val="007D3721"/>
    <w:pPr>
      <w:numPr>
        <w:numId w:val="0"/>
      </w:numPr>
      <w:spacing w:before="480" w:after="0"/>
      <w:outlineLvl w:val="9"/>
    </w:pPr>
    <w:rPr>
      <w:rFonts w:ascii="Cambria" w:hAnsi="Cambria"/>
      <w:bCs/>
      <w:color w:val="365F91"/>
      <w:sz w:val="28"/>
      <w:szCs w:val="28"/>
    </w:rPr>
  </w:style>
  <w:style w:type="character" w:customStyle="1" w:styleId="PlaceholderText1">
    <w:name w:val="Placeholder Text1"/>
    <w:basedOn w:val="Standardskriftforavsnitt"/>
    <w:uiPriority w:val="99"/>
    <w:rsid w:val="007D3721"/>
    <w:rPr>
      <w:rFonts w:cs="Times New Roman"/>
      <w:color w:val="808080"/>
    </w:rPr>
  </w:style>
  <w:style w:type="paragraph" w:customStyle="1" w:styleId="IntenseQuote1">
    <w:name w:val="Intense Quote1"/>
    <w:basedOn w:val="Normal"/>
    <w:next w:val="Normal"/>
    <w:link w:val="IntenseQuoteChar1"/>
    <w:uiPriority w:val="99"/>
    <w:rsid w:val="007D3721"/>
    <w:pPr>
      <w:pBdr>
        <w:bottom w:val="single" w:sz="4" w:space="4" w:color="4F81BD"/>
      </w:pBdr>
      <w:spacing w:before="200" w:after="280"/>
      <w:ind w:left="936" w:right="936"/>
    </w:pPr>
    <w:rPr>
      <w:b/>
      <w:bCs/>
      <w:i/>
      <w:iCs/>
      <w:color w:val="4F81BD"/>
    </w:rPr>
  </w:style>
  <w:style w:type="character" w:customStyle="1" w:styleId="IntenseQuoteChar1">
    <w:name w:val="Intense Quote Char1"/>
    <w:basedOn w:val="Standardskriftforavsnitt"/>
    <w:link w:val="IntenseQuote1"/>
    <w:uiPriority w:val="99"/>
    <w:locked/>
    <w:rsid w:val="007D3721"/>
    <w:rPr>
      <w:rFonts w:ascii="Times" w:eastAsia="Batang" w:hAnsi="Times"/>
      <w:b/>
      <w:bCs/>
      <w:i/>
      <w:iCs/>
      <w:color w:val="4F81BD"/>
      <w:sz w:val="24"/>
    </w:rPr>
  </w:style>
  <w:style w:type="character" w:customStyle="1" w:styleId="SubtleEmphasis1">
    <w:name w:val="Subtle Emphasis1"/>
    <w:basedOn w:val="Standardskriftforavsnitt"/>
    <w:uiPriority w:val="99"/>
    <w:rsid w:val="007D3721"/>
    <w:rPr>
      <w:rFonts w:cs="Times New Roman"/>
      <w:i/>
      <w:iCs/>
      <w:color w:val="808080"/>
    </w:rPr>
  </w:style>
  <w:style w:type="paragraph" w:customStyle="1" w:styleId="ListParagraph1">
    <w:name w:val="List Paragraph1"/>
    <w:basedOn w:val="Normal"/>
    <w:uiPriority w:val="99"/>
    <w:rsid w:val="007D3721"/>
    <w:pPr>
      <w:spacing w:before="60" w:after="0" w:line="276" w:lineRule="auto"/>
      <w:ind w:left="397"/>
    </w:pPr>
    <w:rPr>
      <w:rFonts w:ascii="Times New Roman" w:eastAsia="Times New Roman" w:hAnsi="Times New Roman"/>
    </w:rPr>
  </w:style>
  <w:style w:type="paragraph" w:customStyle="1" w:styleId="Quote1">
    <w:name w:val="Quote1"/>
    <w:basedOn w:val="Normal"/>
    <w:next w:val="Normal"/>
    <w:link w:val="QuoteChar1"/>
    <w:uiPriority w:val="99"/>
    <w:rsid w:val="007D3721"/>
    <w:rPr>
      <w:i/>
      <w:iCs/>
      <w:color w:val="000000"/>
    </w:rPr>
  </w:style>
  <w:style w:type="character" w:customStyle="1" w:styleId="QuoteChar1">
    <w:name w:val="Quote Char1"/>
    <w:basedOn w:val="Standardskriftforavsnitt"/>
    <w:link w:val="Quote1"/>
    <w:uiPriority w:val="99"/>
    <w:locked/>
    <w:rsid w:val="007D3721"/>
    <w:rPr>
      <w:rFonts w:ascii="Times" w:eastAsia="Batang" w:hAnsi="Times"/>
      <w:i/>
      <w:iCs/>
      <w:color w:val="000000"/>
      <w:sz w:val="24"/>
    </w:rPr>
  </w:style>
  <w:style w:type="character" w:customStyle="1" w:styleId="IntenseEmphasis1">
    <w:name w:val="Intense Emphasis1"/>
    <w:basedOn w:val="Standardskriftforavsnitt"/>
    <w:uiPriority w:val="99"/>
    <w:rsid w:val="007D3721"/>
    <w:rPr>
      <w:rFonts w:cs="Times New Roman"/>
      <w:b/>
      <w:bCs/>
      <w:i/>
      <w:iCs/>
      <w:color w:val="4F81BD"/>
    </w:rPr>
  </w:style>
  <w:style w:type="character" w:customStyle="1" w:styleId="SubtleReference1">
    <w:name w:val="Subtle Reference1"/>
    <w:basedOn w:val="Standardskriftforavsnitt"/>
    <w:uiPriority w:val="99"/>
    <w:rsid w:val="007D3721"/>
    <w:rPr>
      <w:rFonts w:cs="Times New Roman"/>
      <w:smallCaps/>
      <w:color w:val="C0504D"/>
      <w:u w:val="single"/>
    </w:rPr>
  </w:style>
  <w:style w:type="character" w:customStyle="1" w:styleId="IntenseReference1">
    <w:name w:val="Intense Reference1"/>
    <w:basedOn w:val="Standardskriftforavsnitt"/>
    <w:uiPriority w:val="99"/>
    <w:rsid w:val="007D3721"/>
    <w:rPr>
      <w:rFonts w:cs="Times New Roman"/>
      <w:b/>
      <w:bCs/>
      <w:smallCaps/>
      <w:color w:val="C0504D"/>
      <w:spacing w:val="5"/>
      <w:u w:val="single"/>
    </w:rPr>
  </w:style>
  <w:style w:type="character" w:customStyle="1" w:styleId="BookTitle1">
    <w:name w:val="Book Title1"/>
    <w:basedOn w:val="Standardskriftforavsnitt"/>
    <w:uiPriority w:val="99"/>
    <w:rsid w:val="007D3721"/>
    <w:rPr>
      <w:rFonts w:cs="Times New Roman"/>
      <w:b/>
      <w:bCs/>
      <w:smallCaps/>
      <w:spacing w:val="5"/>
    </w:rPr>
  </w:style>
  <w:style w:type="paragraph" w:customStyle="1" w:styleId="Bibliography1">
    <w:name w:val="Bibliography1"/>
    <w:basedOn w:val="Normal"/>
    <w:next w:val="Normal"/>
    <w:uiPriority w:val="99"/>
    <w:semiHidden/>
    <w:rsid w:val="007D3721"/>
  </w:style>
  <w:style w:type="paragraph" w:customStyle="1" w:styleId="Revision1">
    <w:name w:val="Revision1"/>
    <w:hidden/>
    <w:uiPriority w:val="99"/>
    <w:semiHidden/>
    <w:rsid w:val="007D3721"/>
    <w:rPr>
      <w:rFonts w:ascii="Arial" w:hAnsi="Arial" w:cstheme="minorBidi"/>
      <w:spacing w:val="4"/>
      <w:sz w:val="24"/>
      <w:szCs w:val="22"/>
    </w:rPr>
  </w:style>
  <w:style w:type="paragraph" w:customStyle="1" w:styleId="apiinline">
    <w:name w:val="apiinline"/>
    <w:basedOn w:val="Normal"/>
    <w:uiPriority w:val="99"/>
    <w:rsid w:val="007D3721"/>
    <w:pPr>
      <w:spacing w:before="100" w:beforeAutospacing="1" w:after="100" w:afterAutospacing="1"/>
    </w:pPr>
    <w:rPr>
      <w:rFonts w:ascii="Times New Roman" w:eastAsia="Times New Roman" w:hAnsi="Times New Roman"/>
      <w:szCs w:val="24"/>
    </w:rPr>
  </w:style>
  <w:style w:type="paragraph" w:customStyle="1" w:styleId="font9">
    <w:name w:val="font9"/>
    <w:basedOn w:val="Normal"/>
    <w:uiPriority w:val="99"/>
    <w:rsid w:val="007D3721"/>
    <w:pPr>
      <w:spacing w:before="100" w:beforeAutospacing="1" w:after="100" w:afterAutospacing="1"/>
    </w:pPr>
    <w:rPr>
      <w:rFonts w:ascii="Times New Roman" w:eastAsia="Times New Roman" w:hAnsi="Times New Roman"/>
      <w:b/>
      <w:bCs/>
      <w:sz w:val="20"/>
    </w:rPr>
  </w:style>
  <w:style w:type="paragraph" w:customStyle="1" w:styleId="font10">
    <w:name w:val="font10"/>
    <w:basedOn w:val="Normal"/>
    <w:uiPriority w:val="99"/>
    <w:rsid w:val="007D3721"/>
    <w:pPr>
      <w:spacing w:before="100" w:beforeAutospacing="1" w:after="100" w:afterAutospacing="1"/>
    </w:pPr>
    <w:rPr>
      <w:rFonts w:ascii="Times New Roman" w:eastAsia="Times New Roman" w:hAnsi="Times New Roman"/>
      <w:sz w:val="14"/>
      <w:szCs w:val="14"/>
    </w:rPr>
  </w:style>
  <w:style w:type="paragraph" w:customStyle="1" w:styleId="font11">
    <w:name w:val="font11"/>
    <w:basedOn w:val="Normal"/>
    <w:uiPriority w:val="99"/>
    <w:rsid w:val="007D3721"/>
    <w:pPr>
      <w:spacing w:before="100" w:beforeAutospacing="1" w:after="100" w:afterAutospacing="1"/>
    </w:pPr>
    <w:rPr>
      <w:rFonts w:ascii="Arial" w:eastAsia="Times New Roman" w:hAnsi="Arial" w:cs="Arial"/>
      <w:szCs w:val="24"/>
    </w:rPr>
  </w:style>
  <w:style w:type="paragraph" w:customStyle="1" w:styleId="xl70">
    <w:name w:val="xl70"/>
    <w:basedOn w:val="Normal"/>
    <w:uiPriority w:val="99"/>
    <w:rsid w:val="007D3721"/>
    <w:pPr>
      <w:spacing w:before="100" w:beforeAutospacing="1" w:after="100" w:afterAutospacing="1"/>
    </w:pPr>
    <w:rPr>
      <w:rFonts w:ascii="Times New Roman" w:eastAsia="Times New Roman" w:hAnsi="Times New Roman"/>
      <w:sz w:val="20"/>
    </w:rPr>
  </w:style>
  <w:style w:type="paragraph" w:customStyle="1" w:styleId="xl71">
    <w:name w:val="xl71"/>
    <w:basedOn w:val="Normal"/>
    <w:uiPriority w:val="99"/>
    <w:rsid w:val="007D3721"/>
    <w:pPr>
      <w:spacing w:before="100" w:beforeAutospacing="1" w:after="100" w:afterAutospacing="1"/>
      <w:jc w:val="center"/>
    </w:pPr>
    <w:rPr>
      <w:rFonts w:ascii="Times New Roman" w:eastAsia="Times New Roman" w:hAnsi="Times New Roman"/>
      <w:sz w:val="20"/>
    </w:rPr>
  </w:style>
  <w:style w:type="paragraph" w:customStyle="1" w:styleId="xl72">
    <w:name w:val="xl72"/>
    <w:basedOn w:val="Normal"/>
    <w:uiPriority w:val="99"/>
    <w:rsid w:val="007D3721"/>
    <w:pPr>
      <w:pBdr>
        <w:bottom w:val="single" w:sz="8" w:space="0" w:color="auto"/>
      </w:pBdr>
      <w:spacing w:before="100" w:beforeAutospacing="1" w:after="100" w:afterAutospacing="1"/>
      <w:jc w:val="center"/>
    </w:pPr>
    <w:rPr>
      <w:rFonts w:ascii="Times New Roman" w:eastAsia="Times New Roman" w:hAnsi="Times New Roman"/>
      <w:sz w:val="20"/>
    </w:rPr>
  </w:style>
  <w:style w:type="paragraph" w:customStyle="1" w:styleId="xl73">
    <w:name w:val="xl73"/>
    <w:basedOn w:val="Normal"/>
    <w:uiPriority w:val="99"/>
    <w:rsid w:val="007D3721"/>
    <w:pPr>
      <w:pBdr>
        <w:bottom w:val="single" w:sz="8" w:space="0" w:color="auto"/>
      </w:pBdr>
      <w:spacing w:before="100" w:beforeAutospacing="1" w:after="100" w:afterAutospacing="1"/>
    </w:pPr>
    <w:rPr>
      <w:rFonts w:ascii="Times New Roman" w:eastAsia="Times New Roman" w:hAnsi="Times New Roman"/>
      <w:b/>
      <w:bCs/>
      <w:sz w:val="20"/>
    </w:rPr>
  </w:style>
  <w:style w:type="paragraph" w:customStyle="1" w:styleId="xl74">
    <w:name w:val="xl74"/>
    <w:basedOn w:val="Normal"/>
    <w:uiPriority w:val="99"/>
    <w:rsid w:val="007D3721"/>
    <w:pPr>
      <w:pBdr>
        <w:top w:val="single" w:sz="8" w:space="0" w:color="auto"/>
        <w:bottom w:val="single" w:sz="8" w:space="0" w:color="auto"/>
      </w:pBdr>
      <w:spacing w:before="100" w:beforeAutospacing="1" w:after="100" w:afterAutospacing="1"/>
      <w:jc w:val="center"/>
    </w:pPr>
    <w:rPr>
      <w:rFonts w:ascii="Times New Roman" w:eastAsia="Times New Roman" w:hAnsi="Times New Roman"/>
      <w:sz w:val="20"/>
    </w:rPr>
  </w:style>
  <w:style w:type="paragraph" w:customStyle="1" w:styleId="xl75">
    <w:name w:val="xl75"/>
    <w:basedOn w:val="Normal"/>
    <w:uiPriority w:val="99"/>
    <w:rsid w:val="007D3721"/>
    <w:pPr>
      <w:spacing w:before="100" w:beforeAutospacing="1" w:after="100" w:afterAutospacing="1"/>
    </w:pPr>
    <w:rPr>
      <w:rFonts w:ascii="Times New Roman" w:eastAsia="Times New Roman" w:hAnsi="Times New Roman"/>
      <w:b/>
      <w:bCs/>
      <w:sz w:val="20"/>
    </w:rPr>
  </w:style>
  <w:style w:type="paragraph" w:customStyle="1" w:styleId="xl76">
    <w:name w:val="xl76"/>
    <w:basedOn w:val="Normal"/>
    <w:uiPriority w:val="99"/>
    <w:rsid w:val="007D3721"/>
    <w:pPr>
      <w:spacing w:before="100" w:beforeAutospacing="1" w:after="100" w:afterAutospacing="1"/>
      <w:jc w:val="right"/>
    </w:pPr>
    <w:rPr>
      <w:rFonts w:ascii="Times New Roman" w:eastAsia="Times New Roman" w:hAnsi="Times New Roman"/>
      <w:sz w:val="20"/>
    </w:rPr>
  </w:style>
  <w:style w:type="paragraph" w:customStyle="1" w:styleId="xl77">
    <w:name w:val="xl77"/>
    <w:basedOn w:val="Normal"/>
    <w:uiPriority w:val="99"/>
    <w:rsid w:val="007D3721"/>
    <w:pPr>
      <w:pBdr>
        <w:bottom w:val="single" w:sz="8" w:space="0" w:color="auto"/>
      </w:pBdr>
      <w:spacing w:before="100" w:beforeAutospacing="1" w:after="100" w:afterAutospacing="1"/>
    </w:pPr>
    <w:rPr>
      <w:rFonts w:ascii="Times New Roman" w:eastAsia="Times New Roman" w:hAnsi="Times New Roman"/>
      <w:sz w:val="20"/>
    </w:rPr>
  </w:style>
  <w:style w:type="paragraph" w:customStyle="1" w:styleId="xl78">
    <w:name w:val="xl78"/>
    <w:basedOn w:val="Normal"/>
    <w:uiPriority w:val="99"/>
    <w:rsid w:val="007D3721"/>
    <w:pPr>
      <w:spacing w:before="100" w:beforeAutospacing="1" w:after="100" w:afterAutospacing="1"/>
    </w:pPr>
    <w:rPr>
      <w:rFonts w:ascii="Times New Roman" w:eastAsia="Times New Roman" w:hAnsi="Times New Roman"/>
      <w:sz w:val="20"/>
    </w:rPr>
  </w:style>
  <w:style w:type="paragraph" w:customStyle="1" w:styleId="xl79">
    <w:name w:val="xl79"/>
    <w:basedOn w:val="Normal"/>
    <w:uiPriority w:val="99"/>
    <w:rsid w:val="007D3721"/>
    <w:pPr>
      <w:spacing w:before="100" w:beforeAutospacing="1" w:after="100" w:afterAutospacing="1"/>
      <w:ind w:firstLineChars="100" w:firstLine="100"/>
    </w:pPr>
    <w:rPr>
      <w:rFonts w:ascii="Times New Roman" w:eastAsia="Times New Roman" w:hAnsi="Times New Roman"/>
      <w:sz w:val="20"/>
    </w:rPr>
  </w:style>
  <w:style w:type="paragraph" w:customStyle="1" w:styleId="xl80">
    <w:name w:val="xl80"/>
    <w:basedOn w:val="Normal"/>
    <w:uiPriority w:val="99"/>
    <w:rsid w:val="007D3721"/>
    <w:pPr>
      <w:spacing w:before="100" w:beforeAutospacing="1" w:after="100" w:afterAutospacing="1"/>
      <w:ind w:firstLineChars="300" w:firstLine="300"/>
    </w:pPr>
    <w:rPr>
      <w:rFonts w:ascii="Symbol" w:eastAsia="Times New Roman" w:hAnsi="Symbol"/>
      <w:sz w:val="20"/>
    </w:rPr>
  </w:style>
  <w:style w:type="paragraph" w:customStyle="1" w:styleId="xl81">
    <w:name w:val="xl81"/>
    <w:basedOn w:val="Normal"/>
    <w:uiPriority w:val="99"/>
    <w:rsid w:val="007D3721"/>
    <w:pPr>
      <w:spacing w:before="100" w:beforeAutospacing="1" w:after="100" w:afterAutospacing="1"/>
      <w:ind w:firstLineChars="100" w:firstLine="100"/>
    </w:pPr>
    <w:rPr>
      <w:rFonts w:ascii="Times New Roman" w:eastAsia="Times New Roman" w:hAnsi="Times New Roman"/>
      <w:b/>
      <w:bCs/>
      <w:sz w:val="20"/>
    </w:rPr>
  </w:style>
  <w:style w:type="paragraph" w:customStyle="1" w:styleId="xl82">
    <w:name w:val="xl82"/>
    <w:basedOn w:val="Normal"/>
    <w:uiPriority w:val="99"/>
    <w:rsid w:val="007D3721"/>
    <w:pPr>
      <w:spacing w:before="100" w:beforeAutospacing="1" w:after="100" w:afterAutospacing="1"/>
      <w:ind w:firstLineChars="100" w:firstLine="100"/>
    </w:pPr>
    <w:rPr>
      <w:rFonts w:ascii="Symbol" w:eastAsia="Times New Roman" w:hAnsi="Symbol"/>
      <w:sz w:val="20"/>
    </w:rPr>
  </w:style>
  <w:style w:type="paragraph" w:customStyle="1" w:styleId="xl83">
    <w:name w:val="xl83"/>
    <w:basedOn w:val="Normal"/>
    <w:uiPriority w:val="99"/>
    <w:rsid w:val="007D3721"/>
    <w:pPr>
      <w:pBdr>
        <w:top w:val="single" w:sz="8" w:space="0" w:color="auto"/>
      </w:pBdr>
      <w:spacing w:before="100" w:beforeAutospacing="1" w:after="100" w:afterAutospacing="1"/>
      <w:jc w:val="center"/>
    </w:pPr>
    <w:rPr>
      <w:rFonts w:ascii="Times New Roman" w:eastAsia="Times New Roman" w:hAnsi="Times New Roman"/>
      <w:sz w:val="20"/>
    </w:rPr>
  </w:style>
  <w:style w:type="paragraph" w:customStyle="1" w:styleId="xl84">
    <w:name w:val="xl84"/>
    <w:basedOn w:val="Normal"/>
    <w:uiPriority w:val="99"/>
    <w:rsid w:val="007D3721"/>
    <w:pPr>
      <w:spacing w:before="100" w:beforeAutospacing="1" w:after="100" w:afterAutospacing="1"/>
    </w:pPr>
    <w:rPr>
      <w:rFonts w:ascii="Arial" w:eastAsia="Times New Roman" w:hAnsi="Arial" w:cs="Arial"/>
      <w:color w:val="000000"/>
      <w:szCs w:val="24"/>
    </w:rPr>
  </w:style>
  <w:style w:type="paragraph" w:customStyle="1" w:styleId="xl85">
    <w:name w:val="xl85"/>
    <w:basedOn w:val="Normal"/>
    <w:uiPriority w:val="99"/>
    <w:rsid w:val="007D3721"/>
    <w:pPr>
      <w:pBdr>
        <w:top w:val="single" w:sz="8" w:space="0" w:color="auto"/>
      </w:pBdr>
      <w:spacing w:before="100" w:beforeAutospacing="1" w:after="100" w:afterAutospacing="1"/>
      <w:jc w:val="right"/>
    </w:pPr>
    <w:rPr>
      <w:rFonts w:ascii="Times New Roman" w:eastAsia="Times New Roman" w:hAnsi="Times New Roman"/>
      <w:sz w:val="20"/>
    </w:rPr>
  </w:style>
  <w:style w:type="paragraph" w:customStyle="1" w:styleId="xl86">
    <w:name w:val="xl86"/>
    <w:basedOn w:val="Normal"/>
    <w:uiPriority w:val="99"/>
    <w:rsid w:val="007D3721"/>
    <w:pPr>
      <w:spacing w:before="100" w:beforeAutospacing="1" w:after="100" w:afterAutospacing="1"/>
      <w:jc w:val="center"/>
    </w:pPr>
    <w:rPr>
      <w:rFonts w:ascii="Times New Roman" w:eastAsia="Times New Roman" w:hAnsi="Times New Roman"/>
      <w:color w:val="008080"/>
      <w:sz w:val="20"/>
      <w:u w:val="single"/>
    </w:rPr>
  </w:style>
  <w:style w:type="paragraph" w:customStyle="1" w:styleId="xl87">
    <w:name w:val="xl87"/>
    <w:basedOn w:val="Normal"/>
    <w:uiPriority w:val="99"/>
    <w:rsid w:val="007D3721"/>
    <w:pPr>
      <w:spacing w:before="100" w:beforeAutospacing="1" w:after="100" w:afterAutospacing="1"/>
      <w:jc w:val="right"/>
    </w:pPr>
    <w:rPr>
      <w:rFonts w:ascii="Times New Roman" w:eastAsia="Times New Roman" w:hAnsi="Times New Roman"/>
      <w:color w:val="008080"/>
      <w:sz w:val="20"/>
      <w:u w:val="single"/>
    </w:rPr>
  </w:style>
  <w:style w:type="paragraph" w:customStyle="1" w:styleId="xl88">
    <w:name w:val="xl88"/>
    <w:basedOn w:val="Normal"/>
    <w:uiPriority w:val="99"/>
    <w:rsid w:val="007D3721"/>
    <w:pPr>
      <w:spacing w:before="100" w:beforeAutospacing="1" w:after="100" w:afterAutospacing="1"/>
      <w:ind w:firstLineChars="200" w:firstLine="200"/>
      <w:jc w:val="right"/>
    </w:pPr>
    <w:rPr>
      <w:rFonts w:ascii="Times New Roman" w:eastAsia="Times New Roman" w:hAnsi="Times New Roman"/>
      <w:sz w:val="20"/>
    </w:rPr>
  </w:style>
  <w:style w:type="paragraph" w:customStyle="1" w:styleId="xl89">
    <w:name w:val="xl89"/>
    <w:basedOn w:val="Normal"/>
    <w:uiPriority w:val="99"/>
    <w:rsid w:val="007D3721"/>
    <w:pPr>
      <w:pBdr>
        <w:bottom w:val="single" w:sz="8" w:space="0" w:color="auto"/>
      </w:pBdr>
      <w:spacing w:before="100" w:beforeAutospacing="1" w:after="100" w:afterAutospacing="1"/>
      <w:jc w:val="center"/>
    </w:pPr>
    <w:rPr>
      <w:rFonts w:ascii="Times New Roman" w:eastAsia="Times New Roman" w:hAnsi="Times New Roman"/>
      <w:color w:val="008080"/>
      <w:sz w:val="20"/>
      <w:u w:val="single"/>
    </w:rPr>
  </w:style>
  <w:style w:type="paragraph" w:customStyle="1" w:styleId="xl90">
    <w:name w:val="xl90"/>
    <w:basedOn w:val="Normal"/>
    <w:uiPriority w:val="99"/>
    <w:rsid w:val="007D3721"/>
    <w:pPr>
      <w:pBdr>
        <w:bottom w:val="single" w:sz="8" w:space="0" w:color="auto"/>
      </w:pBdr>
      <w:spacing w:before="100" w:beforeAutospacing="1" w:after="100" w:afterAutospacing="1"/>
      <w:jc w:val="right"/>
    </w:pPr>
    <w:rPr>
      <w:rFonts w:ascii="Times New Roman" w:eastAsia="Times New Roman" w:hAnsi="Times New Roman"/>
      <w:color w:val="008080"/>
      <w:sz w:val="20"/>
      <w:u w:val="single"/>
    </w:rPr>
  </w:style>
  <w:style w:type="paragraph" w:customStyle="1" w:styleId="xl91">
    <w:name w:val="xl91"/>
    <w:basedOn w:val="Normal"/>
    <w:uiPriority w:val="99"/>
    <w:rsid w:val="007D3721"/>
    <w:pPr>
      <w:spacing w:before="100" w:beforeAutospacing="1" w:after="100" w:afterAutospacing="1"/>
    </w:pPr>
    <w:rPr>
      <w:rFonts w:ascii="Times New Roman" w:eastAsia="Times New Roman" w:hAnsi="Times New Roman"/>
      <w:i/>
      <w:iCs/>
      <w:sz w:val="20"/>
    </w:rPr>
  </w:style>
  <w:style w:type="paragraph" w:customStyle="1" w:styleId="xl92">
    <w:name w:val="xl92"/>
    <w:basedOn w:val="Normal"/>
    <w:uiPriority w:val="99"/>
    <w:rsid w:val="007D3721"/>
    <w:pPr>
      <w:spacing w:before="100" w:beforeAutospacing="1" w:after="100" w:afterAutospacing="1"/>
    </w:pPr>
    <w:rPr>
      <w:rFonts w:ascii="Times New Roman" w:eastAsia="Times New Roman" w:hAnsi="Times New Roman"/>
      <w:b/>
      <w:bCs/>
      <w:sz w:val="20"/>
    </w:rPr>
  </w:style>
  <w:style w:type="paragraph" w:customStyle="1" w:styleId="xl93">
    <w:name w:val="xl93"/>
    <w:basedOn w:val="Normal"/>
    <w:uiPriority w:val="99"/>
    <w:rsid w:val="007D3721"/>
    <w:pPr>
      <w:pBdr>
        <w:bottom w:val="single" w:sz="8" w:space="0" w:color="auto"/>
      </w:pBdr>
      <w:spacing w:before="100" w:beforeAutospacing="1" w:after="100" w:afterAutospacing="1"/>
    </w:pPr>
    <w:rPr>
      <w:rFonts w:ascii="Times New Roman" w:eastAsia="Times New Roman" w:hAnsi="Times New Roman"/>
      <w:sz w:val="20"/>
    </w:rPr>
  </w:style>
  <w:style w:type="paragraph" w:customStyle="1" w:styleId="xl94">
    <w:name w:val="xl94"/>
    <w:basedOn w:val="Normal"/>
    <w:uiPriority w:val="99"/>
    <w:rsid w:val="007D3721"/>
    <w:pPr>
      <w:spacing w:before="100" w:beforeAutospacing="1" w:after="100" w:afterAutospacing="1"/>
      <w:jc w:val="center"/>
    </w:pPr>
    <w:rPr>
      <w:rFonts w:ascii="Times New Roman" w:eastAsia="Times New Roman" w:hAnsi="Times New Roman"/>
      <w:sz w:val="20"/>
    </w:rPr>
  </w:style>
  <w:style w:type="paragraph" w:customStyle="1" w:styleId="xl95">
    <w:name w:val="xl95"/>
    <w:basedOn w:val="Normal"/>
    <w:uiPriority w:val="99"/>
    <w:rsid w:val="007D3721"/>
    <w:pPr>
      <w:pBdr>
        <w:bottom w:val="single" w:sz="8" w:space="0" w:color="auto"/>
      </w:pBdr>
      <w:spacing w:before="100" w:beforeAutospacing="1" w:after="100" w:afterAutospacing="1"/>
      <w:jc w:val="center"/>
    </w:pPr>
    <w:rPr>
      <w:rFonts w:ascii="Times New Roman" w:eastAsia="Times New Roman" w:hAnsi="Times New Roman"/>
      <w:sz w:val="20"/>
    </w:rPr>
  </w:style>
  <w:style w:type="paragraph" w:customStyle="1" w:styleId="xl96">
    <w:name w:val="xl96"/>
    <w:basedOn w:val="Normal"/>
    <w:uiPriority w:val="99"/>
    <w:rsid w:val="007D3721"/>
    <w:pPr>
      <w:spacing w:before="100" w:beforeAutospacing="1" w:after="100" w:afterAutospacing="1"/>
      <w:jc w:val="center"/>
    </w:pPr>
    <w:rPr>
      <w:rFonts w:ascii="Times New Roman" w:eastAsia="Times New Roman" w:hAnsi="Times New Roman"/>
      <w:sz w:val="20"/>
    </w:rPr>
  </w:style>
  <w:style w:type="paragraph" w:customStyle="1" w:styleId="xl97">
    <w:name w:val="xl97"/>
    <w:basedOn w:val="Normal"/>
    <w:uiPriority w:val="99"/>
    <w:rsid w:val="007D3721"/>
    <w:pPr>
      <w:pBdr>
        <w:top w:val="single" w:sz="8" w:space="0" w:color="auto"/>
      </w:pBdr>
      <w:spacing w:before="100" w:beforeAutospacing="1" w:after="100" w:afterAutospacing="1"/>
    </w:pPr>
    <w:rPr>
      <w:rFonts w:ascii="Times New Roman" w:eastAsia="Times New Roman" w:hAnsi="Times New Roman"/>
      <w:b/>
      <w:bCs/>
      <w:sz w:val="20"/>
    </w:rPr>
  </w:style>
  <w:style w:type="character" w:customStyle="1" w:styleId="Heading3Char">
    <w:name w:val="Heading 3 Char"/>
    <w:aliases w:val="Overskrift 3 Tegn Tegn Char,Overskrift 3 Tegn Tegn Tegn Tegn Char,Heading 3 Char2"/>
    <w:basedOn w:val="Standardskriftforavsnitt"/>
    <w:uiPriority w:val="99"/>
    <w:semiHidden/>
    <w:locked/>
    <w:rsid w:val="007D3721"/>
    <w:rPr>
      <w:rFonts w:ascii="Cambria" w:hAnsi="Cambria" w:cs="Times New Roman"/>
      <w:b/>
      <w:bCs/>
      <w:sz w:val="26"/>
      <w:szCs w:val="26"/>
    </w:rPr>
  </w:style>
  <w:style w:type="character" w:customStyle="1" w:styleId="k-uthevet">
    <w:name w:val="k-uthevet"/>
    <w:basedOn w:val="Standardskriftforavsnitt"/>
    <w:uiPriority w:val="99"/>
    <w:rsid w:val="00FD605A"/>
  </w:style>
  <w:style w:type="character" w:customStyle="1" w:styleId="ListeavsnittTegn">
    <w:name w:val="Listeavsnitt Tegn"/>
    <w:basedOn w:val="Standardskriftforavsnitt"/>
    <w:link w:val="Listeavsnitt"/>
    <w:uiPriority w:val="34"/>
    <w:locked/>
    <w:rsid w:val="00F33E58"/>
    <w:rPr>
      <w:rFonts w:cstheme="minorBidi"/>
      <w:sz w:val="24"/>
      <w:szCs w:val="22"/>
    </w:rPr>
  </w:style>
  <w:style w:type="paragraph" w:customStyle="1" w:styleId="B3">
    <w:name w:val="B3"/>
    <w:basedOn w:val="Normal"/>
    <w:uiPriority w:val="99"/>
    <w:rsid w:val="00180A8B"/>
    <w:pPr>
      <w:tabs>
        <w:tab w:val="right" w:pos="4536"/>
        <w:tab w:val="right" w:pos="5245"/>
        <w:tab w:val="right" w:pos="5954"/>
        <w:tab w:val="right" w:pos="6804"/>
        <w:tab w:val="right" w:pos="7513"/>
        <w:tab w:val="right" w:pos="8364"/>
        <w:tab w:val="right" w:pos="9356"/>
      </w:tabs>
    </w:pPr>
    <w:rPr>
      <w:rFonts w:ascii="Tms Rmn" w:hAnsi="Tms Rmn"/>
      <w:noProof/>
      <w:sz w:val="20"/>
    </w:rPr>
  </w:style>
  <w:style w:type="character" w:customStyle="1" w:styleId="QuoteChar2">
    <w:name w:val="Quote Char2"/>
    <w:basedOn w:val="Standardskriftforavsnitt"/>
    <w:uiPriority w:val="99"/>
    <w:locked/>
    <w:rsid w:val="00180A8B"/>
    <w:rPr>
      <w:rFonts w:ascii="Times" w:eastAsia="Batang" w:hAnsi="Times"/>
      <w:i/>
      <w:iCs/>
      <w:color w:val="000000"/>
      <w:sz w:val="24"/>
    </w:rPr>
  </w:style>
  <w:style w:type="character" w:customStyle="1" w:styleId="IntenseQuoteChar2">
    <w:name w:val="Intense Quote Char2"/>
    <w:basedOn w:val="Standardskriftforavsnitt"/>
    <w:uiPriority w:val="99"/>
    <w:locked/>
    <w:rsid w:val="00180A8B"/>
    <w:rPr>
      <w:rFonts w:ascii="Times" w:eastAsia="Batang" w:hAnsi="Times"/>
      <w:b/>
      <w:bCs/>
      <w:i/>
      <w:iCs/>
      <w:color w:val="4F81BD"/>
      <w:sz w:val="24"/>
    </w:rPr>
  </w:style>
  <w:style w:type="paragraph" w:customStyle="1" w:styleId="NoSpacing11">
    <w:name w:val="No Spacing11"/>
    <w:uiPriority w:val="99"/>
    <w:rsid w:val="00180A8B"/>
    <w:rPr>
      <w:rFonts w:ascii="Times" w:hAnsi="Times"/>
      <w:sz w:val="24"/>
    </w:rPr>
  </w:style>
  <w:style w:type="paragraph" w:customStyle="1" w:styleId="TOCHeading11">
    <w:name w:val="TOC Heading11"/>
    <w:basedOn w:val="Overskrift1"/>
    <w:next w:val="Normal"/>
    <w:uiPriority w:val="99"/>
    <w:rsid w:val="00180A8B"/>
    <w:pPr>
      <w:numPr>
        <w:numId w:val="0"/>
      </w:numPr>
      <w:spacing w:before="480" w:after="0"/>
      <w:outlineLvl w:val="9"/>
    </w:pPr>
    <w:rPr>
      <w:rFonts w:ascii="Cambria" w:eastAsia="Batang" w:hAnsi="Cambria" w:cs="Times New Roman"/>
      <w:bCs/>
      <w:color w:val="365F91"/>
      <w:sz w:val="28"/>
      <w:szCs w:val="28"/>
    </w:rPr>
  </w:style>
  <w:style w:type="character" w:customStyle="1" w:styleId="PlaceholderText11">
    <w:name w:val="Placeholder Text11"/>
    <w:basedOn w:val="Standardskriftforavsnitt"/>
    <w:uiPriority w:val="99"/>
    <w:rsid w:val="00180A8B"/>
    <w:rPr>
      <w:rFonts w:cs="Times New Roman"/>
      <w:color w:val="808080"/>
    </w:rPr>
  </w:style>
  <w:style w:type="paragraph" w:customStyle="1" w:styleId="IntenseQuote11">
    <w:name w:val="Intense Quote11"/>
    <w:basedOn w:val="Normal"/>
    <w:next w:val="Normal"/>
    <w:uiPriority w:val="99"/>
    <w:rsid w:val="00180A8B"/>
    <w:pPr>
      <w:pBdr>
        <w:bottom w:val="single" w:sz="4" w:space="4" w:color="4F81BD"/>
      </w:pBdr>
      <w:spacing w:before="200" w:after="280"/>
      <w:ind w:left="936" w:right="936"/>
    </w:pPr>
    <w:rPr>
      <w:b/>
      <w:bCs/>
      <w:i/>
      <w:iCs/>
      <w:color w:val="4F81BD"/>
    </w:rPr>
  </w:style>
  <w:style w:type="character" w:customStyle="1" w:styleId="SubtleEmphasis11">
    <w:name w:val="Subtle Emphasis11"/>
    <w:basedOn w:val="Standardskriftforavsnitt"/>
    <w:uiPriority w:val="99"/>
    <w:rsid w:val="00180A8B"/>
    <w:rPr>
      <w:rFonts w:cs="Times New Roman"/>
      <w:i/>
      <w:iCs/>
      <w:color w:val="808080"/>
    </w:rPr>
  </w:style>
  <w:style w:type="paragraph" w:customStyle="1" w:styleId="ListParagraph11">
    <w:name w:val="List Paragraph11"/>
    <w:basedOn w:val="Normal"/>
    <w:uiPriority w:val="99"/>
    <w:rsid w:val="00180A8B"/>
    <w:pPr>
      <w:spacing w:before="60" w:after="0" w:line="276" w:lineRule="auto"/>
      <w:ind w:left="397"/>
    </w:pPr>
    <w:rPr>
      <w:rFonts w:ascii="Times New Roman" w:eastAsia="Times New Roman" w:hAnsi="Times New Roman"/>
      <w:szCs w:val="22"/>
    </w:rPr>
  </w:style>
  <w:style w:type="paragraph" w:customStyle="1" w:styleId="Quote11">
    <w:name w:val="Quote11"/>
    <w:basedOn w:val="Normal"/>
    <w:next w:val="Normal"/>
    <w:uiPriority w:val="99"/>
    <w:rsid w:val="00180A8B"/>
    <w:rPr>
      <w:i/>
      <w:iCs/>
      <w:color w:val="000000"/>
    </w:rPr>
  </w:style>
  <w:style w:type="character" w:customStyle="1" w:styleId="IntenseEmphasis11">
    <w:name w:val="Intense Emphasis11"/>
    <w:basedOn w:val="Standardskriftforavsnitt"/>
    <w:uiPriority w:val="99"/>
    <w:rsid w:val="00180A8B"/>
    <w:rPr>
      <w:rFonts w:cs="Times New Roman"/>
      <w:b/>
      <w:bCs/>
      <w:i/>
      <w:iCs/>
      <w:color w:val="4F81BD"/>
    </w:rPr>
  </w:style>
  <w:style w:type="character" w:customStyle="1" w:styleId="SubtleReference11">
    <w:name w:val="Subtle Reference11"/>
    <w:basedOn w:val="Standardskriftforavsnitt"/>
    <w:uiPriority w:val="99"/>
    <w:rsid w:val="00180A8B"/>
    <w:rPr>
      <w:rFonts w:cs="Times New Roman"/>
      <w:smallCaps/>
      <w:color w:val="C0504D"/>
      <w:u w:val="single"/>
    </w:rPr>
  </w:style>
  <w:style w:type="character" w:customStyle="1" w:styleId="IntenseReference11">
    <w:name w:val="Intense Reference11"/>
    <w:basedOn w:val="Standardskriftforavsnitt"/>
    <w:uiPriority w:val="99"/>
    <w:rsid w:val="00180A8B"/>
    <w:rPr>
      <w:rFonts w:cs="Times New Roman"/>
      <w:b/>
      <w:bCs/>
      <w:smallCaps/>
      <w:color w:val="C0504D"/>
      <w:spacing w:val="5"/>
      <w:u w:val="single"/>
    </w:rPr>
  </w:style>
  <w:style w:type="character" w:customStyle="1" w:styleId="BookTitle11">
    <w:name w:val="Book Title11"/>
    <w:basedOn w:val="Standardskriftforavsnitt"/>
    <w:uiPriority w:val="99"/>
    <w:rsid w:val="00180A8B"/>
    <w:rPr>
      <w:rFonts w:cs="Times New Roman"/>
      <w:b/>
      <w:bCs/>
      <w:smallCaps/>
      <w:spacing w:val="5"/>
    </w:rPr>
  </w:style>
  <w:style w:type="paragraph" w:customStyle="1" w:styleId="Bibliography11">
    <w:name w:val="Bibliography11"/>
    <w:basedOn w:val="Normal"/>
    <w:next w:val="Normal"/>
    <w:uiPriority w:val="99"/>
    <w:semiHidden/>
    <w:rsid w:val="00180A8B"/>
  </w:style>
  <w:style w:type="paragraph" w:customStyle="1" w:styleId="Revision11">
    <w:name w:val="Revision11"/>
    <w:hidden/>
    <w:uiPriority w:val="99"/>
    <w:semiHidden/>
    <w:rsid w:val="00180A8B"/>
    <w:rPr>
      <w:sz w:val="24"/>
    </w:rPr>
  </w:style>
  <w:style w:type="character" w:customStyle="1" w:styleId="FiguroverskriftTegn">
    <w:name w:val="Figuroverskrift Tegn"/>
    <w:basedOn w:val="Standardskriftforavsnitt"/>
    <w:link w:val="Figuroverskrift"/>
    <w:locked/>
    <w:rsid w:val="00180A8B"/>
    <w:rPr>
      <w:b/>
      <w:sz w:val="22"/>
    </w:rPr>
  </w:style>
  <w:style w:type="table" w:customStyle="1" w:styleId="Lysskyggelegging1">
    <w:name w:val="Lys skyggelegging1"/>
    <w:basedOn w:val="Vanligtabell"/>
    <w:uiPriority w:val="99"/>
    <w:rsid w:val="00384CF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Overskrift19">
    <w:name w:val="Overskrift 19"/>
    <w:basedOn w:val="Normal"/>
    <w:uiPriority w:val="1"/>
    <w:qFormat/>
    <w:rsid w:val="001F07B3"/>
    <w:pPr>
      <w:widowControl w:val="0"/>
      <w:spacing w:after="0"/>
      <w:ind w:left="115"/>
      <w:outlineLvl w:val="1"/>
    </w:pPr>
    <w:rPr>
      <w:rFonts w:ascii="Times New Roman" w:eastAsia="Times New Roman" w:hAnsi="Times New Roman" w:cstheme="minorBidi"/>
      <w:b/>
      <w:bCs/>
      <w:szCs w:val="24"/>
      <w:lang w:val="en-US" w:eastAsia="en-US"/>
    </w:rPr>
  </w:style>
  <w:style w:type="table" w:customStyle="1" w:styleId="TableNormal">
    <w:name w:val="Table Normal"/>
    <w:uiPriority w:val="2"/>
    <w:semiHidden/>
    <w:unhideWhenUsed/>
    <w:qFormat/>
    <w:rsid w:val="001F07B3"/>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07B3"/>
    <w:pPr>
      <w:widowControl w:val="0"/>
      <w:spacing w:after="0"/>
    </w:pPr>
    <w:rPr>
      <w:rFonts w:asciiTheme="minorHAnsi" w:eastAsiaTheme="minorHAnsi" w:hAnsiTheme="minorHAnsi" w:cstheme="minorBidi"/>
      <w:sz w:val="22"/>
      <w:szCs w:val="22"/>
      <w:lang w:val="en-US" w:eastAsia="en-US"/>
    </w:rPr>
  </w:style>
  <w:style w:type="paragraph" w:customStyle="1" w:styleId="articleintro">
    <w:name w:val="articleintro"/>
    <w:basedOn w:val="Normal"/>
    <w:rsid w:val="001F07B3"/>
    <w:pPr>
      <w:spacing w:before="100" w:beforeAutospacing="1" w:after="100" w:afterAutospacing="1"/>
    </w:pPr>
    <w:rPr>
      <w:rFonts w:ascii="Times New Roman" w:eastAsia="Times New Roman" w:hAnsi="Times New Roman"/>
      <w:szCs w:val="24"/>
    </w:rPr>
  </w:style>
  <w:style w:type="paragraph" w:customStyle="1" w:styleId="mainarticle-intro">
    <w:name w:val="mainarticle-intro"/>
    <w:basedOn w:val="Normal"/>
    <w:rsid w:val="001F07B3"/>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Standardskriftforavsnitt"/>
    <w:rsid w:val="001F07B3"/>
  </w:style>
  <w:style w:type="paragraph" w:customStyle="1" w:styleId="k-a">
    <w:name w:val="k-a"/>
    <w:basedOn w:val="Normal"/>
    <w:rsid w:val="001F07B3"/>
    <w:pPr>
      <w:spacing w:before="100" w:beforeAutospacing="1" w:after="100" w:afterAutospacing="1"/>
    </w:pPr>
    <w:rPr>
      <w:rFonts w:ascii="Times New Roman" w:eastAsia="Times New Roman" w:hAnsi="Times New Roman"/>
      <w:szCs w:val="24"/>
    </w:rPr>
  </w:style>
  <w:style w:type="paragraph" w:customStyle="1" w:styleId="k-kilde">
    <w:name w:val="k-kilde"/>
    <w:basedOn w:val="Normal"/>
    <w:rsid w:val="001F07B3"/>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5550">
      <w:bodyDiv w:val="1"/>
      <w:marLeft w:val="0"/>
      <w:marRight w:val="0"/>
      <w:marTop w:val="0"/>
      <w:marBottom w:val="0"/>
      <w:divBdr>
        <w:top w:val="none" w:sz="0" w:space="0" w:color="auto"/>
        <w:left w:val="none" w:sz="0" w:space="0" w:color="auto"/>
        <w:bottom w:val="none" w:sz="0" w:space="0" w:color="auto"/>
        <w:right w:val="none" w:sz="0" w:space="0" w:color="auto"/>
      </w:divBdr>
    </w:div>
    <w:div w:id="70590116">
      <w:bodyDiv w:val="1"/>
      <w:marLeft w:val="0"/>
      <w:marRight w:val="0"/>
      <w:marTop w:val="0"/>
      <w:marBottom w:val="0"/>
      <w:divBdr>
        <w:top w:val="none" w:sz="0" w:space="0" w:color="auto"/>
        <w:left w:val="none" w:sz="0" w:space="0" w:color="auto"/>
        <w:bottom w:val="none" w:sz="0" w:space="0" w:color="auto"/>
        <w:right w:val="none" w:sz="0" w:space="0" w:color="auto"/>
      </w:divBdr>
    </w:div>
    <w:div w:id="103037237">
      <w:bodyDiv w:val="1"/>
      <w:marLeft w:val="0"/>
      <w:marRight w:val="0"/>
      <w:marTop w:val="0"/>
      <w:marBottom w:val="0"/>
      <w:divBdr>
        <w:top w:val="none" w:sz="0" w:space="0" w:color="auto"/>
        <w:left w:val="none" w:sz="0" w:space="0" w:color="auto"/>
        <w:bottom w:val="none" w:sz="0" w:space="0" w:color="auto"/>
        <w:right w:val="none" w:sz="0" w:space="0" w:color="auto"/>
      </w:divBdr>
      <w:divsChild>
        <w:div w:id="135492713">
          <w:marLeft w:val="0"/>
          <w:marRight w:val="0"/>
          <w:marTop w:val="0"/>
          <w:marBottom w:val="0"/>
          <w:divBdr>
            <w:top w:val="none" w:sz="0" w:space="0" w:color="auto"/>
            <w:left w:val="none" w:sz="0" w:space="0" w:color="auto"/>
            <w:bottom w:val="none" w:sz="0" w:space="0" w:color="auto"/>
            <w:right w:val="none" w:sz="0" w:space="0" w:color="auto"/>
          </w:divBdr>
          <w:divsChild>
            <w:div w:id="1016346101">
              <w:marLeft w:val="0"/>
              <w:marRight w:val="0"/>
              <w:marTop w:val="0"/>
              <w:marBottom w:val="0"/>
              <w:divBdr>
                <w:top w:val="none" w:sz="0" w:space="0" w:color="auto"/>
                <w:left w:val="none" w:sz="0" w:space="0" w:color="auto"/>
                <w:bottom w:val="none" w:sz="0" w:space="0" w:color="auto"/>
                <w:right w:val="none" w:sz="0" w:space="0" w:color="auto"/>
              </w:divBdr>
              <w:divsChild>
                <w:div w:id="757019123">
                  <w:marLeft w:val="0"/>
                  <w:marRight w:val="0"/>
                  <w:marTop w:val="0"/>
                  <w:marBottom w:val="900"/>
                  <w:divBdr>
                    <w:top w:val="none" w:sz="0" w:space="0" w:color="auto"/>
                    <w:left w:val="none" w:sz="0" w:space="0" w:color="auto"/>
                    <w:bottom w:val="none" w:sz="0" w:space="0" w:color="auto"/>
                    <w:right w:val="none" w:sz="0" w:space="0" w:color="auto"/>
                  </w:divBdr>
                  <w:divsChild>
                    <w:div w:id="1079599602">
                      <w:marLeft w:val="0"/>
                      <w:marRight w:val="0"/>
                      <w:marTop w:val="0"/>
                      <w:marBottom w:val="0"/>
                      <w:divBdr>
                        <w:top w:val="none" w:sz="0" w:space="0" w:color="auto"/>
                        <w:left w:val="none" w:sz="0" w:space="0" w:color="auto"/>
                        <w:bottom w:val="none" w:sz="0" w:space="0" w:color="auto"/>
                        <w:right w:val="none" w:sz="0" w:space="0" w:color="auto"/>
                      </w:divBdr>
                      <w:divsChild>
                        <w:div w:id="395863069">
                          <w:marLeft w:val="0"/>
                          <w:marRight w:val="0"/>
                          <w:marTop w:val="0"/>
                          <w:marBottom w:val="0"/>
                          <w:divBdr>
                            <w:top w:val="none" w:sz="0" w:space="0" w:color="auto"/>
                            <w:left w:val="none" w:sz="0" w:space="0" w:color="auto"/>
                            <w:bottom w:val="none" w:sz="0" w:space="0" w:color="auto"/>
                            <w:right w:val="none" w:sz="0" w:space="0" w:color="auto"/>
                          </w:divBdr>
                          <w:divsChild>
                            <w:div w:id="9324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7740">
      <w:bodyDiv w:val="1"/>
      <w:marLeft w:val="0"/>
      <w:marRight w:val="0"/>
      <w:marTop w:val="0"/>
      <w:marBottom w:val="0"/>
      <w:divBdr>
        <w:top w:val="none" w:sz="0" w:space="0" w:color="auto"/>
        <w:left w:val="none" w:sz="0" w:space="0" w:color="auto"/>
        <w:bottom w:val="none" w:sz="0" w:space="0" w:color="auto"/>
        <w:right w:val="none" w:sz="0" w:space="0" w:color="auto"/>
      </w:divBdr>
    </w:div>
    <w:div w:id="222302843">
      <w:bodyDiv w:val="1"/>
      <w:marLeft w:val="0"/>
      <w:marRight w:val="0"/>
      <w:marTop w:val="0"/>
      <w:marBottom w:val="0"/>
      <w:divBdr>
        <w:top w:val="none" w:sz="0" w:space="0" w:color="auto"/>
        <w:left w:val="none" w:sz="0" w:space="0" w:color="auto"/>
        <w:bottom w:val="none" w:sz="0" w:space="0" w:color="auto"/>
        <w:right w:val="none" w:sz="0" w:space="0" w:color="auto"/>
      </w:divBdr>
    </w:div>
    <w:div w:id="254217620">
      <w:bodyDiv w:val="1"/>
      <w:marLeft w:val="0"/>
      <w:marRight w:val="0"/>
      <w:marTop w:val="0"/>
      <w:marBottom w:val="0"/>
      <w:divBdr>
        <w:top w:val="none" w:sz="0" w:space="0" w:color="auto"/>
        <w:left w:val="none" w:sz="0" w:space="0" w:color="auto"/>
        <w:bottom w:val="none" w:sz="0" w:space="0" w:color="auto"/>
        <w:right w:val="none" w:sz="0" w:space="0" w:color="auto"/>
      </w:divBdr>
    </w:div>
    <w:div w:id="429355863">
      <w:bodyDiv w:val="1"/>
      <w:marLeft w:val="0"/>
      <w:marRight w:val="0"/>
      <w:marTop w:val="0"/>
      <w:marBottom w:val="0"/>
      <w:divBdr>
        <w:top w:val="none" w:sz="0" w:space="0" w:color="auto"/>
        <w:left w:val="none" w:sz="0" w:space="0" w:color="auto"/>
        <w:bottom w:val="none" w:sz="0" w:space="0" w:color="auto"/>
        <w:right w:val="none" w:sz="0" w:space="0" w:color="auto"/>
      </w:divBdr>
    </w:div>
    <w:div w:id="436751557">
      <w:bodyDiv w:val="1"/>
      <w:marLeft w:val="0"/>
      <w:marRight w:val="0"/>
      <w:marTop w:val="0"/>
      <w:marBottom w:val="0"/>
      <w:divBdr>
        <w:top w:val="none" w:sz="0" w:space="0" w:color="auto"/>
        <w:left w:val="none" w:sz="0" w:space="0" w:color="auto"/>
        <w:bottom w:val="none" w:sz="0" w:space="0" w:color="auto"/>
        <w:right w:val="none" w:sz="0" w:space="0" w:color="auto"/>
      </w:divBdr>
    </w:div>
    <w:div w:id="436826331">
      <w:bodyDiv w:val="1"/>
      <w:marLeft w:val="0"/>
      <w:marRight w:val="0"/>
      <w:marTop w:val="0"/>
      <w:marBottom w:val="0"/>
      <w:divBdr>
        <w:top w:val="none" w:sz="0" w:space="0" w:color="auto"/>
        <w:left w:val="none" w:sz="0" w:space="0" w:color="auto"/>
        <w:bottom w:val="none" w:sz="0" w:space="0" w:color="auto"/>
        <w:right w:val="none" w:sz="0" w:space="0" w:color="auto"/>
      </w:divBdr>
    </w:div>
    <w:div w:id="501700985">
      <w:bodyDiv w:val="1"/>
      <w:marLeft w:val="0"/>
      <w:marRight w:val="0"/>
      <w:marTop w:val="0"/>
      <w:marBottom w:val="0"/>
      <w:divBdr>
        <w:top w:val="none" w:sz="0" w:space="0" w:color="auto"/>
        <w:left w:val="none" w:sz="0" w:space="0" w:color="auto"/>
        <w:bottom w:val="none" w:sz="0" w:space="0" w:color="auto"/>
        <w:right w:val="none" w:sz="0" w:space="0" w:color="auto"/>
      </w:divBdr>
    </w:div>
    <w:div w:id="507141125">
      <w:bodyDiv w:val="1"/>
      <w:marLeft w:val="0"/>
      <w:marRight w:val="0"/>
      <w:marTop w:val="0"/>
      <w:marBottom w:val="0"/>
      <w:divBdr>
        <w:top w:val="none" w:sz="0" w:space="0" w:color="auto"/>
        <w:left w:val="none" w:sz="0" w:space="0" w:color="auto"/>
        <w:bottom w:val="none" w:sz="0" w:space="0" w:color="auto"/>
        <w:right w:val="none" w:sz="0" w:space="0" w:color="auto"/>
      </w:divBdr>
    </w:div>
    <w:div w:id="511918837">
      <w:bodyDiv w:val="1"/>
      <w:marLeft w:val="0"/>
      <w:marRight w:val="0"/>
      <w:marTop w:val="0"/>
      <w:marBottom w:val="0"/>
      <w:divBdr>
        <w:top w:val="none" w:sz="0" w:space="0" w:color="auto"/>
        <w:left w:val="none" w:sz="0" w:space="0" w:color="auto"/>
        <w:bottom w:val="none" w:sz="0" w:space="0" w:color="auto"/>
        <w:right w:val="none" w:sz="0" w:space="0" w:color="auto"/>
      </w:divBdr>
    </w:div>
    <w:div w:id="525145561">
      <w:bodyDiv w:val="1"/>
      <w:marLeft w:val="54"/>
      <w:marRight w:val="54"/>
      <w:marTop w:val="54"/>
      <w:marBottom w:val="54"/>
      <w:divBdr>
        <w:top w:val="none" w:sz="0" w:space="0" w:color="auto"/>
        <w:left w:val="none" w:sz="0" w:space="0" w:color="auto"/>
        <w:bottom w:val="none" w:sz="0" w:space="0" w:color="auto"/>
        <w:right w:val="none" w:sz="0" w:space="0" w:color="auto"/>
      </w:divBdr>
      <w:divsChild>
        <w:div w:id="1301156636">
          <w:marLeft w:val="0"/>
          <w:marRight w:val="0"/>
          <w:marTop w:val="322"/>
          <w:marBottom w:val="0"/>
          <w:divBdr>
            <w:top w:val="none" w:sz="0" w:space="0" w:color="auto"/>
            <w:left w:val="none" w:sz="0" w:space="0" w:color="auto"/>
            <w:bottom w:val="none" w:sz="0" w:space="0" w:color="auto"/>
            <w:right w:val="none" w:sz="0" w:space="0" w:color="auto"/>
          </w:divBdr>
          <w:divsChild>
            <w:div w:id="1623421175">
              <w:marLeft w:val="0"/>
              <w:marRight w:val="0"/>
              <w:marTop w:val="0"/>
              <w:marBottom w:val="0"/>
              <w:divBdr>
                <w:top w:val="single" w:sz="4" w:space="0" w:color="7F7F7F"/>
                <w:left w:val="single" w:sz="4" w:space="0" w:color="7F7F7F"/>
                <w:bottom w:val="single" w:sz="4" w:space="0" w:color="7F7F7F"/>
                <w:right w:val="single" w:sz="4" w:space="0" w:color="7F7F7F"/>
              </w:divBdr>
              <w:divsChild>
                <w:div w:id="1099301460">
                  <w:marLeft w:val="0"/>
                  <w:marRight w:val="0"/>
                  <w:marTop w:val="0"/>
                  <w:marBottom w:val="0"/>
                  <w:divBdr>
                    <w:top w:val="none" w:sz="0" w:space="0" w:color="auto"/>
                    <w:left w:val="none" w:sz="0" w:space="0" w:color="41566B"/>
                    <w:bottom w:val="none" w:sz="0" w:space="0" w:color="auto"/>
                    <w:right w:val="none" w:sz="0" w:space="0" w:color="F2F0E1"/>
                  </w:divBdr>
                  <w:divsChild>
                    <w:div w:id="2100322226">
                      <w:marLeft w:val="0"/>
                      <w:marRight w:val="0"/>
                      <w:marTop w:val="0"/>
                      <w:marBottom w:val="0"/>
                      <w:divBdr>
                        <w:top w:val="none" w:sz="0" w:space="0" w:color="auto"/>
                        <w:left w:val="none" w:sz="0" w:space="0" w:color="auto"/>
                        <w:bottom w:val="none" w:sz="0" w:space="0" w:color="auto"/>
                        <w:right w:val="none" w:sz="0" w:space="0" w:color="auto"/>
                      </w:divBdr>
                      <w:divsChild>
                        <w:div w:id="374936927">
                          <w:marLeft w:val="0"/>
                          <w:marRight w:val="0"/>
                          <w:marTop w:val="0"/>
                          <w:marBottom w:val="0"/>
                          <w:divBdr>
                            <w:top w:val="none" w:sz="0" w:space="0" w:color="auto"/>
                            <w:left w:val="none" w:sz="0" w:space="0" w:color="auto"/>
                            <w:bottom w:val="none" w:sz="0" w:space="0" w:color="auto"/>
                            <w:right w:val="none" w:sz="0" w:space="0" w:color="auto"/>
                          </w:divBdr>
                          <w:divsChild>
                            <w:div w:id="1393848649">
                              <w:marLeft w:val="0"/>
                              <w:marRight w:val="0"/>
                              <w:marTop w:val="0"/>
                              <w:marBottom w:val="0"/>
                              <w:divBdr>
                                <w:top w:val="none" w:sz="0" w:space="0" w:color="auto"/>
                                <w:left w:val="none" w:sz="0" w:space="0" w:color="auto"/>
                                <w:bottom w:val="none" w:sz="0" w:space="0" w:color="auto"/>
                                <w:right w:val="none" w:sz="0" w:space="0" w:color="auto"/>
                              </w:divBdr>
                              <w:divsChild>
                                <w:div w:id="1702395161">
                                  <w:marLeft w:val="0"/>
                                  <w:marRight w:val="0"/>
                                  <w:marTop w:val="0"/>
                                  <w:marBottom w:val="0"/>
                                  <w:divBdr>
                                    <w:top w:val="none" w:sz="0" w:space="0" w:color="auto"/>
                                    <w:left w:val="none" w:sz="0" w:space="0" w:color="auto"/>
                                    <w:bottom w:val="single" w:sz="4" w:space="0" w:color="E5E9C2"/>
                                    <w:right w:val="none" w:sz="0" w:space="0" w:color="auto"/>
                                  </w:divBdr>
                                  <w:divsChild>
                                    <w:div w:id="1283608527">
                                      <w:marLeft w:val="0"/>
                                      <w:marRight w:val="0"/>
                                      <w:marTop w:val="0"/>
                                      <w:marBottom w:val="0"/>
                                      <w:divBdr>
                                        <w:top w:val="none" w:sz="0" w:space="0" w:color="auto"/>
                                        <w:left w:val="none" w:sz="0" w:space="0" w:color="auto"/>
                                        <w:bottom w:val="none" w:sz="0" w:space="0" w:color="auto"/>
                                        <w:right w:val="none" w:sz="0" w:space="0" w:color="auto"/>
                                      </w:divBdr>
                                      <w:divsChild>
                                        <w:div w:id="1379209553">
                                          <w:marLeft w:val="0"/>
                                          <w:marRight w:val="0"/>
                                          <w:marTop w:val="0"/>
                                          <w:marBottom w:val="0"/>
                                          <w:divBdr>
                                            <w:top w:val="none" w:sz="0" w:space="0" w:color="auto"/>
                                            <w:left w:val="none" w:sz="0" w:space="0" w:color="auto"/>
                                            <w:bottom w:val="none" w:sz="0" w:space="0" w:color="auto"/>
                                            <w:right w:val="none" w:sz="0" w:space="0" w:color="auto"/>
                                          </w:divBdr>
                                          <w:divsChild>
                                            <w:div w:id="289558055">
                                              <w:marLeft w:val="0"/>
                                              <w:marRight w:val="0"/>
                                              <w:marTop w:val="0"/>
                                              <w:marBottom w:val="0"/>
                                              <w:divBdr>
                                                <w:top w:val="none" w:sz="0" w:space="0" w:color="auto"/>
                                                <w:left w:val="none" w:sz="0" w:space="0" w:color="auto"/>
                                                <w:bottom w:val="none" w:sz="0" w:space="0" w:color="auto"/>
                                                <w:right w:val="none" w:sz="0" w:space="0" w:color="auto"/>
                                              </w:divBdr>
                                              <w:divsChild>
                                                <w:div w:id="20928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521693">
      <w:bodyDiv w:val="1"/>
      <w:marLeft w:val="0"/>
      <w:marRight w:val="0"/>
      <w:marTop w:val="0"/>
      <w:marBottom w:val="0"/>
      <w:divBdr>
        <w:top w:val="none" w:sz="0" w:space="0" w:color="auto"/>
        <w:left w:val="none" w:sz="0" w:space="0" w:color="auto"/>
        <w:bottom w:val="none" w:sz="0" w:space="0" w:color="auto"/>
        <w:right w:val="none" w:sz="0" w:space="0" w:color="auto"/>
      </w:divBdr>
    </w:div>
    <w:div w:id="689063004">
      <w:bodyDiv w:val="1"/>
      <w:marLeft w:val="0"/>
      <w:marRight w:val="0"/>
      <w:marTop w:val="0"/>
      <w:marBottom w:val="0"/>
      <w:divBdr>
        <w:top w:val="none" w:sz="0" w:space="0" w:color="auto"/>
        <w:left w:val="none" w:sz="0" w:space="0" w:color="auto"/>
        <w:bottom w:val="none" w:sz="0" w:space="0" w:color="auto"/>
        <w:right w:val="none" w:sz="0" w:space="0" w:color="auto"/>
      </w:divBdr>
    </w:div>
    <w:div w:id="703603322">
      <w:bodyDiv w:val="1"/>
      <w:marLeft w:val="0"/>
      <w:marRight w:val="0"/>
      <w:marTop w:val="0"/>
      <w:marBottom w:val="0"/>
      <w:divBdr>
        <w:top w:val="none" w:sz="0" w:space="0" w:color="auto"/>
        <w:left w:val="none" w:sz="0" w:space="0" w:color="auto"/>
        <w:bottom w:val="none" w:sz="0" w:space="0" w:color="auto"/>
        <w:right w:val="none" w:sz="0" w:space="0" w:color="auto"/>
      </w:divBdr>
    </w:div>
    <w:div w:id="803503631">
      <w:bodyDiv w:val="1"/>
      <w:marLeft w:val="54"/>
      <w:marRight w:val="54"/>
      <w:marTop w:val="54"/>
      <w:marBottom w:val="54"/>
      <w:divBdr>
        <w:top w:val="none" w:sz="0" w:space="0" w:color="auto"/>
        <w:left w:val="none" w:sz="0" w:space="0" w:color="auto"/>
        <w:bottom w:val="none" w:sz="0" w:space="0" w:color="auto"/>
        <w:right w:val="none" w:sz="0" w:space="0" w:color="auto"/>
      </w:divBdr>
      <w:divsChild>
        <w:div w:id="1901862228">
          <w:marLeft w:val="0"/>
          <w:marRight w:val="0"/>
          <w:marTop w:val="322"/>
          <w:marBottom w:val="0"/>
          <w:divBdr>
            <w:top w:val="none" w:sz="0" w:space="0" w:color="auto"/>
            <w:left w:val="none" w:sz="0" w:space="0" w:color="auto"/>
            <w:bottom w:val="none" w:sz="0" w:space="0" w:color="auto"/>
            <w:right w:val="none" w:sz="0" w:space="0" w:color="auto"/>
          </w:divBdr>
          <w:divsChild>
            <w:div w:id="1627855750">
              <w:marLeft w:val="0"/>
              <w:marRight w:val="0"/>
              <w:marTop w:val="0"/>
              <w:marBottom w:val="0"/>
              <w:divBdr>
                <w:top w:val="single" w:sz="4" w:space="0" w:color="7F7F7F"/>
                <w:left w:val="single" w:sz="4" w:space="0" w:color="7F7F7F"/>
                <w:bottom w:val="single" w:sz="4" w:space="0" w:color="7F7F7F"/>
                <w:right w:val="single" w:sz="4" w:space="0" w:color="7F7F7F"/>
              </w:divBdr>
              <w:divsChild>
                <w:div w:id="1627928732">
                  <w:marLeft w:val="0"/>
                  <w:marRight w:val="0"/>
                  <w:marTop w:val="0"/>
                  <w:marBottom w:val="0"/>
                  <w:divBdr>
                    <w:top w:val="none" w:sz="0" w:space="0" w:color="auto"/>
                    <w:left w:val="none" w:sz="0" w:space="0" w:color="41566B"/>
                    <w:bottom w:val="none" w:sz="0" w:space="0" w:color="auto"/>
                    <w:right w:val="none" w:sz="0" w:space="0" w:color="F2F0E1"/>
                  </w:divBdr>
                  <w:divsChild>
                    <w:div w:id="2105689676">
                      <w:marLeft w:val="0"/>
                      <w:marRight w:val="0"/>
                      <w:marTop w:val="0"/>
                      <w:marBottom w:val="0"/>
                      <w:divBdr>
                        <w:top w:val="none" w:sz="0" w:space="0" w:color="auto"/>
                        <w:left w:val="none" w:sz="0" w:space="0" w:color="auto"/>
                        <w:bottom w:val="none" w:sz="0" w:space="0" w:color="auto"/>
                        <w:right w:val="none" w:sz="0" w:space="0" w:color="auto"/>
                      </w:divBdr>
                      <w:divsChild>
                        <w:div w:id="747574063">
                          <w:marLeft w:val="0"/>
                          <w:marRight w:val="0"/>
                          <w:marTop w:val="0"/>
                          <w:marBottom w:val="0"/>
                          <w:divBdr>
                            <w:top w:val="none" w:sz="0" w:space="0" w:color="auto"/>
                            <w:left w:val="none" w:sz="0" w:space="0" w:color="auto"/>
                            <w:bottom w:val="none" w:sz="0" w:space="0" w:color="auto"/>
                            <w:right w:val="none" w:sz="0" w:space="0" w:color="auto"/>
                          </w:divBdr>
                          <w:divsChild>
                            <w:div w:id="2121871681">
                              <w:marLeft w:val="0"/>
                              <w:marRight w:val="0"/>
                              <w:marTop w:val="0"/>
                              <w:marBottom w:val="0"/>
                              <w:divBdr>
                                <w:top w:val="none" w:sz="0" w:space="0" w:color="auto"/>
                                <w:left w:val="none" w:sz="0" w:space="0" w:color="auto"/>
                                <w:bottom w:val="none" w:sz="0" w:space="0" w:color="auto"/>
                                <w:right w:val="none" w:sz="0" w:space="0" w:color="auto"/>
                              </w:divBdr>
                              <w:divsChild>
                                <w:div w:id="382409967">
                                  <w:marLeft w:val="0"/>
                                  <w:marRight w:val="0"/>
                                  <w:marTop w:val="0"/>
                                  <w:marBottom w:val="0"/>
                                  <w:divBdr>
                                    <w:top w:val="none" w:sz="0" w:space="0" w:color="auto"/>
                                    <w:left w:val="none" w:sz="0" w:space="0" w:color="auto"/>
                                    <w:bottom w:val="single" w:sz="4" w:space="0" w:color="E5E9C2"/>
                                    <w:right w:val="none" w:sz="0" w:space="0" w:color="auto"/>
                                  </w:divBdr>
                                  <w:divsChild>
                                    <w:div w:id="52316396">
                                      <w:marLeft w:val="0"/>
                                      <w:marRight w:val="0"/>
                                      <w:marTop w:val="0"/>
                                      <w:marBottom w:val="0"/>
                                      <w:divBdr>
                                        <w:top w:val="none" w:sz="0" w:space="0" w:color="auto"/>
                                        <w:left w:val="none" w:sz="0" w:space="0" w:color="auto"/>
                                        <w:bottom w:val="none" w:sz="0" w:space="0" w:color="auto"/>
                                        <w:right w:val="none" w:sz="0" w:space="0" w:color="auto"/>
                                      </w:divBdr>
                                      <w:divsChild>
                                        <w:div w:id="1552689905">
                                          <w:marLeft w:val="0"/>
                                          <w:marRight w:val="0"/>
                                          <w:marTop w:val="0"/>
                                          <w:marBottom w:val="0"/>
                                          <w:divBdr>
                                            <w:top w:val="none" w:sz="0" w:space="0" w:color="auto"/>
                                            <w:left w:val="none" w:sz="0" w:space="0" w:color="auto"/>
                                            <w:bottom w:val="none" w:sz="0" w:space="0" w:color="auto"/>
                                            <w:right w:val="none" w:sz="0" w:space="0" w:color="auto"/>
                                          </w:divBdr>
                                          <w:divsChild>
                                            <w:div w:id="1306203603">
                                              <w:marLeft w:val="0"/>
                                              <w:marRight w:val="0"/>
                                              <w:marTop w:val="0"/>
                                              <w:marBottom w:val="0"/>
                                              <w:divBdr>
                                                <w:top w:val="none" w:sz="0" w:space="0" w:color="auto"/>
                                                <w:left w:val="none" w:sz="0" w:space="0" w:color="auto"/>
                                                <w:bottom w:val="none" w:sz="0" w:space="0" w:color="auto"/>
                                                <w:right w:val="none" w:sz="0" w:space="0" w:color="auto"/>
                                              </w:divBdr>
                                              <w:divsChild>
                                                <w:div w:id="20684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304535">
      <w:bodyDiv w:val="1"/>
      <w:marLeft w:val="0"/>
      <w:marRight w:val="0"/>
      <w:marTop w:val="0"/>
      <w:marBottom w:val="0"/>
      <w:divBdr>
        <w:top w:val="none" w:sz="0" w:space="0" w:color="auto"/>
        <w:left w:val="none" w:sz="0" w:space="0" w:color="auto"/>
        <w:bottom w:val="none" w:sz="0" w:space="0" w:color="auto"/>
        <w:right w:val="none" w:sz="0" w:space="0" w:color="auto"/>
      </w:divBdr>
    </w:div>
    <w:div w:id="893352220">
      <w:bodyDiv w:val="1"/>
      <w:marLeft w:val="0"/>
      <w:marRight w:val="0"/>
      <w:marTop w:val="0"/>
      <w:marBottom w:val="0"/>
      <w:divBdr>
        <w:top w:val="none" w:sz="0" w:space="0" w:color="auto"/>
        <w:left w:val="none" w:sz="0" w:space="0" w:color="auto"/>
        <w:bottom w:val="none" w:sz="0" w:space="0" w:color="auto"/>
        <w:right w:val="none" w:sz="0" w:space="0" w:color="auto"/>
      </w:divBdr>
      <w:divsChild>
        <w:div w:id="1690177482">
          <w:marLeft w:val="0"/>
          <w:marRight w:val="0"/>
          <w:marTop w:val="0"/>
          <w:marBottom w:val="0"/>
          <w:divBdr>
            <w:top w:val="none" w:sz="0" w:space="0" w:color="auto"/>
            <w:left w:val="none" w:sz="0" w:space="0" w:color="auto"/>
            <w:bottom w:val="none" w:sz="0" w:space="0" w:color="auto"/>
            <w:right w:val="none" w:sz="0" w:space="0" w:color="auto"/>
          </w:divBdr>
          <w:divsChild>
            <w:div w:id="705567762">
              <w:marLeft w:val="0"/>
              <w:marRight w:val="0"/>
              <w:marTop w:val="0"/>
              <w:marBottom w:val="0"/>
              <w:divBdr>
                <w:top w:val="none" w:sz="0" w:space="0" w:color="auto"/>
                <w:left w:val="none" w:sz="0" w:space="0" w:color="auto"/>
                <w:bottom w:val="none" w:sz="0" w:space="0" w:color="auto"/>
                <w:right w:val="none" w:sz="0" w:space="0" w:color="auto"/>
              </w:divBdr>
              <w:divsChild>
                <w:div w:id="2048525737">
                  <w:marLeft w:val="0"/>
                  <w:marRight w:val="0"/>
                  <w:marTop w:val="0"/>
                  <w:marBottom w:val="0"/>
                  <w:divBdr>
                    <w:top w:val="none" w:sz="0" w:space="0" w:color="auto"/>
                    <w:left w:val="none" w:sz="0" w:space="0" w:color="auto"/>
                    <w:bottom w:val="none" w:sz="0" w:space="0" w:color="auto"/>
                    <w:right w:val="none" w:sz="0" w:space="0" w:color="auto"/>
                  </w:divBdr>
                  <w:divsChild>
                    <w:div w:id="1240822595">
                      <w:marLeft w:val="0"/>
                      <w:marRight w:val="0"/>
                      <w:marTop w:val="0"/>
                      <w:marBottom w:val="0"/>
                      <w:divBdr>
                        <w:top w:val="none" w:sz="0" w:space="0" w:color="auto"/>
                        <w:left w:val="none" w:sz="0" w:space="0" w:color="auto"/>
                        <w:bottom w:val="none" w:sz="0" w:space="0" w:color="auto"/>
                        <w:right w:val="none" w:sz="0" w:space="0" w:color="auto"/>
                      </w:divBdr>
                      <w:divsChild>
                        <w:div w:id="621812523">
                          <w:marLeft w:val="0"/>
                          <w:marRight w:val="0"/>
                          <w:marTop w:val="0"/>
                          <w:marBottom w:val="0"/>
                          <w:divBdr>
                            <w:top w:val="none" w:sz="0" w:space="0" w:color="auto"/>
                            <w:left w:val="none" w:sz="0" w:space="0" w:color="auto"/>
                            <w:bottom w:val="none" w:sz="0" w:space="0" w:color="auto"/>
                            <w:right w:val="none" w:sz="0" w:space="0" w:color="auto"/>
                          </w:divBdr>
                          <w:divsChild>
                            <w:div w:id="1545366223">
                              <w:marLeft w:val="0"/>
                              <w:marRight w:val="0"/>
                              <w:marTop w:val="0"/>
                              <w:marBottom w:val="0"/>
                              <w:divBdr>
                                <w:top w:val="none" w:sz="0" w:space="0" w:color="auto"/>
                                <w:left w:val="none" w:sz="0" w:space="0" w:color="auto"/>
                                <w:bottom w:val="none" w:sz="0" w:space="0" w:color="auto"/>
                                <w:right w:val="none" w:sz="0" w:space="0" w:color="auto"/>
                              </w:divBdr>
                              <w:divsChild>
                                <w:div w:id="1363634716">
                                  <w:marLeft w:val="0"/>
                                  <w:marRight w:val="0"/>
                                  <w:marTop w:val="0"/>
                                  <w:marBottom w:val="0"/>
                                  <w:divBdr>
                                    <w:top w:val="none" w:sz="0" w:space="0" w:color="auto"/>
                                    <w:left w:val="none" w:sz="0" w:space="0" w:color="auto"/>
                                    <w:bottom w:val="none" w:sz="0" w:space="0" w:color="auto"/>
                                    <w:right w:val="none" w:sz="0" w:space="0" w:color="auto"/>
                                  </w:divBdr>
                                  <w:divsChild>
                                    <w:div w:id="996032125">
                                      <w:marLeft w:val="0"/>
                                      <w:marRight w:val="0"/>
                                      <w:marTop w:val="0"/>
                                      <w:marBottom w:val="0"/>
                                      <w:divBdr>
                                        <w:top w:val="none" w:sz="0" w:space="0" w:color="auto"/>
                                        <w:left w:val="none" w:sz="0" w:space="0" w:color="auto"/>
                                        <w:bottom w:val="none" w:sz="0" w:space="0" w:color="auto"/>
                                        <w:right w:val="none" w:sz="0" w:space="0" w:color="auto"/>
                                      </w:divBdr>
                                      <w:divsChild>
                                        <w:div w:id="1505826425">
                                          <w:marLeft w:val="0"/>
                                          <w:marRight w:val="0"/>
                                          <w:marTop w:val="0"/>
                                          <w:marBottom w:val="0"/>
                                          <w:divBdr>
                                            <w:top w:val="none" w:sz="0" w:space="0" w:color="auto"/>
                                            <w:left w:val="none" w:sz="0" w:space="0" w:color="auto"/>
                                            <w:bottom w:val="none" w:sz="0" w:space="0" w:color="auto"/>
                                            <w:right w:val="none" w:sz="0" w:space="0" w:color="auto"/>
                                          </w:divBdr>
                                          <w:divsChild>
                                            <w:div w:id="747120421">
                                              <w:marLeft w:val="0"/>
                                              <w:marRight w:val="0"/>
                                              <w:marTop w:val="0"/>
                                              <w:marBottom w:val="0"/>
                                              <w:divBdr>
                                                <w:top w:val="none" w:sz="0" w:space="0" w:color="auto"/>
                                                <w:left w:val="none" w:sz="0" w:space="0" w:color="auto"/>
                                                <w:bottom w:val="none" w:sz="0" w:space="0" w:color="auto"/>
                                                <w:right w:val="none" w:sz="0" w:space="0" w:color="auto"/>
                                              </w:divBdr>
                                              <w:divsChild>
                                                <w:div w:id="1736658460">
                                                  <w:marLeft w:val="0"/>
                                                  <w:marRight w:val="0"/>
                                                  <w:marTop w:val="0"/>
                                                  <w:marBottom w:val="0"/>
                                                  <w:divBdr>
                                                    <w:top w:val="none" w:sz="0" w:space="0" w:color="auto"/>
                                                    <w:left w:val="none" w:sz="0" w:space="0" w:color="auto"/>
                                                    <w:bottom w:val="none" w:sz="0" w:space="0" w:color="auto"/>
                                                    <w:right w:val="none" w:sz="0" w:space="0" w:color="auto"/>
                                                  </w:divBdr>
                                                  <w:divsChild>
                                                    <w:div w:id="16347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632419">
      <w:bodyDiv w:val="1"/>
      <w:marLeft w:val="0"/>
      <w:marRight w:val="0"/>
      <w:marTop w:val="0"/>
      <w:marBottom w:val="0"/>
      <w:divBdr>
        <w:top w:val="none" w:sz="0" w:space="0" w:color="auto"/>
        <w:left w:val="none" w:sz="0" w:space="0" w:color="auto"/>
        <w:bottom w:val="none" w:sz="0" w:space="0" w:color="auto"/>
        <w:right w:val="none" w:sz="0" w:space="0" w:color="auto"/>
      </w:divBdr>
    </w:div>
    <w:div w:id="918439810">
      <w:bodyDiv w:val="1"/>
      <w:marLeft w:val="0"/>
      <w:marRight w:val="0"/>
      <w:marTop w:val="0"/>
      <w:marBottom w:val="0"/>
      <w:divBdr>
        <w:top w:val="none" w:sz="0" w:space="0" w:color="auto"/>
        <w:left w:val="none" w:sz="0" w:space="0" w:color="auto"/>
        <w:bottom w:val="none" w:sz="0" w:space="0" w:color="auto"/>
        <w:right w:val="none" w:sz="0" w:space="0" w:color="auto"/>
      </w:divBdr>
    </w:div>
    <w:div w:id="983242538">
      <w:bodyDiv w:val="1"/>
      <w:marLeft w:val="0"/>
      <w:marRight w:val="0"/>
      <w:marTop w:val="0"/>
      <w:marBottom w:val="0"/>
      <w:divBdr>
        <w:top w:val="none" w:sz="0" w:space="0" w:color="auto"/>
        <w:left w:val="none" w:sz="0" w:space="0" w:color="auto"/>
        <w:bottom w:val="none" w:sz="0" w:space="0" w:color="auto"/>
        <w:right w:val="none" w:sz="0" w:space="0" w:color="auto"/>
      </w:divBdr>
    </w:div>
    <w:div w:id="1084448086">
      <w:bodyDiv w:val="1"/>
      <w:marLeft w:val="0"/>
      <w:marRight w:val="0"/>
      <w:marTop w:val="0"/>
      <w:marBottom w:val="0"/>
      <w:divBdr>
        <w:top w:val="none" w:sz="0" w:space="0" w:color="auto"/>
        <w:left w:val="none" w:sz="0" w:space="0" w:color="auto"/>
        <w:bottom w:val="none" w:sz="0" w:space="0" w:color="auto"/>
        <w:right w:val="none" w:sz="0" w:space="0" w:color="auto"/>
      </w:divBdr>
    </w:div>
    <w:div w:id="1160927468">
      <w:bodyDiv w:val="1"/>
      <w:marLeft w:val="0"/>
      <w:marRight w:val="0"/>
      <w:marTop w:val="0"/>
      <w:marBottom w:val="0"/>
      <w:divBdr>
        <w:top w:val="none" w:sz="0" w:space="0" w:color="auto"/>
        <w:left w:val="none" w:sz="0" w:space="0" w:color="auto"/>
        <w:bottom w:val="none" w:sz="0" w:space="0" w:color="auto"/>
        <w:right w:val="none" w:sz="0" w:space="0" w:color="auto"/>
      </w:divBdr>
    </w:div>
    <w:div w:id="1185943061">
      <w:bodyDiv w:val="1"/>
      <w:marLeft w:val="0"/>
      <w:marRight w:val="0"/>
      <w:marTop w:val="0"/>
      <w:marBottom w:val="0"/>
      <w:divBdr>
        <w:top w:val="none" w:sz="0" w:space="0" w:color="auto"/>
        <w:left w:val="none" w:sz="0" w:space="0" w:color="auto"/>
        <w:bottom w:val="none" w:sz="0" w:space="0" w:color="auto"/>
        <w:right w:val="none" w:sz="0" w:space="0" w:color="auto"/>
      </w:divBdr>
    </w:div>
    <w:div w:id="1244994093">
      <w:bodyDiv w:val="1"/>
      <w:marLeft w:val="54"/>
      <w:marRight w:val="54"/>
      <w:marTop w:val="54"/>
      <w:marBottom w:val="54"/>
      <w:divBdr>
        <w:top w:val="none" w:sz="0" w:space="0" w:color="auto"/>
        <w:left w:val="none" w:sz="0" w:space="0" w:color="auto"/>
        <w:bottom w:val="none" w:sz="0" w:space="0" w:color="auto"/>
        <w:right w:val="none" w:sz="0" w:space="0" w:color="auto"/>
      </w:divBdr>
      <w:divsChild>
        <w:div w:id="725105029">
          <w:marLeft w:val="0"/>
          <w:marRight w:val="0"/>
          <w:marTop w:val="322"/>
          <w:marBottom w:val="0"/>
          <w:divBdr>
            <w:top w:val="none" w:sz="0" w:space="0" w:color="auto"/>
            <w:left w:val="none" w:sz="0" w:space="0" w:color="auto"/>
            <w:bottom w:val="none" w:sz="0" w:space="0" w:color="auto"/>
            <w:right w:val="none" w:sz="0" w:space="0" w:color="auto"/>
          </w:divBdr>
          <w:divsChild>
            <w:div w:id="135991829">
              <w:marLeft w:val="0"/>
              <w:marRight w:val="0"/>
              <w:marTop w:val="0"/>
              <w:marBottom w:val="0"/>
              <w:divBdr>
                <w:top w:val="single" w:sz="4" w:space="0" w:color="7F7F7F"/>
                <w:left w:val="single" w:sz="4" w:space="0" w:color="7F7F7F"/>
                <w:bottom w:val="single" w:sz="4" w:space="0" w:color="7F7F7F"/>
                <w:right w:val="single" w:sz="4" w:space="0" w:color="7F7F7F"/>
              </w:divBdr>
              <w:divsChild>
                <w:div w:id="1928423171">
                  <w:marLeft w:val="0"/>
                  <w:marRight w:val="0"/>
                  <w:marTop w:val="0"/>
                  <w:marBottom w:val="0"/>
                  <w:divBdr>
                    <w:top w:val="none" w:sz="0" w:space="0" w:color="auto"/>
                    <w:left w:val="none" w:sz="0" w:space="0" w:color="41566B"/>
                    <w:bottom w:val="none" w:sz="0" w:space="0" w:color="auto"/>
                    <w:right w:val="none" w:sz="0" w:space="0" w:color="F2F0E1"/>
                  </w:divBdr>
                  <w:divsChild>
                    <w:div w:id="411582725">
                      <w:marLeft w:val="0"/>
                      <w:marRight w:val="0"/>
                      <w:marTop w:val="0"/>
                      <w:marBottom w:val="0"/>
                      <w:divBdr>
                        <w:top w:val="none" w:sz="0" w:space="0" w:color="auto"/>
                        <w:left w:val="none" w:sz="0" w:space="0" w:color="auto"/>
                        <w:bottom w:val="none" w:sz="0" w:space="0" w:color="auto"/>
                        <w:right w:val="none" w:sz="0" w:space="0" w:color="auto"/>
                      </w:divBdr>
                      <w:divsChild>
                        <w:div w:id="450974740">
                          <w:marLeft w:val="0"/>
                          <w:marRight w:val="0"/>
                          <w:marTop w:val="0"/>
                          <w:marBottom w:val="0"/>
                          <w:divBdr>
                            <w:top w:val="none" w:sz="0" w:space="0" w:color="auto"/>
                            <w:left w:val="none" w:sz="0" w:space="0" w:color="auto"/>
                            <w:bottom w:val="none" w:sz="0" w:space="0" w:color="auto"/>
                            <w:right w:val="none" w:sz="0" w:space="0" w:color="auto"/>
                          </w:divBdr>
                          <w:divsChild>
                            <w:div w:id="974945366">
                              <w:marLeft w:val="0"/>
                              <w:marRight w:val="0"/>
                              <w:marTop w:val="0"/>
                              <w:marBottom w:val="0"/>
                              <w:divBdr>
                                <w:top w:val="none" w:sz="0" w:space="0" w:color="auto"/>
                                <w:left w:val="none" w:sz="0" w:space="0" w:color="auto"/>
                                <w:bottom w:val="none" w:sz="0" w:space="0" w:color="auto"/>
                                <w:right w:val="none" w:sz="0" w:space="0" w:color="auto"/>
                              </w:divBdr>
                              <w:divsChild>
                                <w:div w:id="2010860674">
                                  <w:marLeft w:val="0"/>
                                  <w:marRight w:val="0"/>
                                  <w:marTop w:val="0"/>
                                  <w:marBottom w:val="0"/>
                                  <w:divBdr>
                                    <w:top w:val="none" w:sz="0" w:space="0" w:color="auto"/>
                                    <w:left w:val="none" w:sz="0" w:space="0" w:color="auto"/>
                                    <w:bottom w:val="single" w:sz="4" w:space="0" w:color="E5E9C2"/>
                                    <w:right w:val="none" w:sz="0" w:space="0" w:color="auto"/>
                                  </w:divBdr>
                                  <w:divsChild>
                                    <w:div w:id="792678759">
                                      <w:marLeft w:val="0"/>
                                      <w:marRight w:val="0"/>
                                      <w:marTop w:val="0"/>
                                      <w:marBottom w:val="0"/>
                                      <w:divBdr>
                                        <w:top w:val="none" w:sz="0" w:space="0" w:color="auto"/>
                                        <w:left w:val="none" w:sz="0" w:space="0" w:color="auto"/>
                                        <w:bottom w:val="none" w:sz="0" w:space="0" w:color="auto"/>
                                        <w:right w:val="none" w:sz="0" w:space="0" w:color="auto"/>
                                      </w:divBdr>
                                      <w:divsChild>
                                        <w:div w:id="1658026771">
                                          <w:marLeft w:val="0"/>
                                          <w:marRight w:val="0"/>
                                          <w:marTop w:val="0"/>
                                          <w:marBottom w:val="0"/>
                                          <w:divBdr>
                                            <w:top w:val="none" w:sz="0" w:space="0" w:color="auto"/>
                                            <w:left w:val="none" w:sz="0" w:space="0" w:color="auto"/>
                                            <w:bottom w:val="none" w:sz="0" w:space="0" w:color="auto"/>
                                            <w:right w:val="none" w:sz="0" w:space="0" w:color="auto"/>
                                          </w:divBdr>
                                          <w:divsChild>
                                            <w:div w:id="191574132">
                                              <w:marLeft w:val="0"/>
                                              <w:marRight w:val="0"/>
                                              <w:marTop w:val="0"/>
                                              <w:marBottom w:val="0"/>
                                              <w:divBdr>
                                                <w:top w:val="none" w:sz="0" w:space="0" w:color="auto"/>
                                                <w:left w:val="none" w:sz="0" w:space="0" w:color="auto"/>
                                                <w:bottom w:val="none" w:sz="0" w:space="0" w:color="auto"/>
                                                <w:right w:val="none" w:sz="0" w:space="0" w:color="auto"/>
                                              </w:divBdr>
                                              <w:divsChild>
                                                <w:div w:id="2332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756972">
      <w:bodyDiv w:val="1"/>
      <w:marLeft w:val="0"/>
      <w:marRight w:val="0"/>
      <w:marTop w:val="0"/>
      <w:marBottom w:val="0"/>
      <w:divBdr>
        <w:top w:val="none" w:sz="0" w:space="0" w:color="auto"/>
        <w:left w:val="none" w:sz="0" w:space="0" w:color="auto"/>
        <w:bottom w:val="none" w:sz="0" w:space="0" w:color="auto"/>
        <w:right w:val="none" w:sz="0" w:space="0" w:color="auto"/>
      </w:divBdr>
    </w:div>
    <w:div w:id="1628386465">
      <w:bodyDiv w:val="1"/>
      <w:marLeft w:val="0"/>
      <w:marRight w:val="0"/>
      <w:marTop w:val="0"/>
      <w:marBottom w:val="0"/>
      <w:divBdr>
        <w:top w:val="none" w:sz="0" w:space="0" w:color="auto"/>
        <w:left w:val="none" w:sz="0" w:space="0" w:color="auto"/>
        <w:bottom w:val="none" w:sz="0" w:space="0" w:color="auto"/>
        <w:right w:val="none" w:sz="0" w:space="0" w:color="auto"/>
      </w:divBdr>
    </w:div>
    <w:div w:id="1737512998">
      <w:bodyDiv w:val="1"/>
      <w:marLeft w:val="0"/>
      <w:marRight w:val="0"/>
      <w:marTop w:val="0"/>
      <w:marBottom w:val="0"/>
      <w:divBdr>
        <w:top w:val="none" w:sz="0" w:space="0" w:color="auto"/>
        <w:left w:val="none" w:sz="0" w:space="0" w:color="auto"/>
        <w:bottom w:val="none" w:sz="0" w:space="0" w:color="auto"/>
        <w:right w:val="none" w:sz="0" w:space="0" w:color="auto"/>
      </w:divBdr>
    </w:div>
    <w:div w:id="1823808449">
      <w:bodyDiv w:val="1"/>
      <w:marLeft w:val="0"/>
      <w:marRight w:val="0"/>
      <w:marTop w:val="0"/>
      <w:marBottom w:val="0"/>
      <w:divBdr>
        <w:top w:val="none" w:sz="0" w:space="0" w:color="auto"/>
        <w:left w:val="none" w:sz="0" w:space="0" w:color="auto"/>
        <w:bottom w:val="none" w:sz="0" w:space="0" w:color="auto"/>
        <w:right w:val="none" w:sz="0" w:space="0" w:color="auto"/>
      </w:divBdr>
    </w:div>
    <w:div w:id="1842548620">
      <w:bodyDiv w:val="1"/>
      <w:marLeft w:val="0"/>
      <w:marRight w:val="0"/>
      <w:marTop w:val="0"/>
      <w:marBottom w:val="0"/>
      <w:divBdr>
        <w:top w:val="none" w:sz="0" w:space="0" w:color="auto"/>
        <w:left w:val="none" w:sz="0" w:space="0" w:color="auto"/>
        <w:bottom w:val="none" w:sz="0" w:space="0" w:color="auto"/>
        <w:right w:val="none" w:sz="0" w:space="0" w:color="auto"/>
      </w:divBdr>
    </w:div>
    <w:div w:id="1860777889">
      <w:bodyDiv w:val="1"/>
      <w:marLeft w:val="0"/>
      <w:marRight w:val="0"/>
      <w:marTop w:val="0"/>
      <w:marBottom w:val="0"/>
      <w:divBdr>
        <w:top w:val="none" w:sz="0" w:space="0" w:color="auto"/>
        <w:left w:val="none" w:sz="0" w:space="0" w:color="auto"/>
        <w:bottom w:val="none" w:sz="0" w:space="0" w:color="auto"/>
        <w:right w:val="none" w:sz="0" w:space="0" w:color="auto"/>
      </w:divBdr>
    </w:div>
    <w:div w:id="1866484211">
      <w:bodyDiv w:val="1"/>
      <w:marLeft w:val="0"/>
      <w:marRight w:val="0"/>
      <w:marTop w:val="0"/>
      <w:marBottom w:val="0"/>
      <w:divBdr>
        <w:top w:val="none" w:sz="0" w:space="0" w:color="auto"/>
        <w:left w:val="none" w:sz="0" w:space="0" w:color="auto"/>
        <w:bottom w:val="none" w:sz="0" w:space="0" w:color="auto"/>
        <w:right w:val="none" w:sz="0" w:space="0" w:color="auto"/>
      </w:divBdr>
    </w:div>
    <w:div w:id="188429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regjeringen.no/nb/dep/asd/org/nemnder-styrer-rad-og-utvalg/permanente-nemnder-rad-og-utvalg/tariffnemnda/vedtak/2015/tariffnemnda-vedtak-om-endringer-i-lonnssatser-i-folgende-allmenngjoringsforskrifter/id2416179/"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7F8FB-6B00-466D-980A-444ABE92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47</TotalTime>
  <Pages>73</Pages>
  <Words>26845</Words>
  <Characters>152602</Characters>
  <Application>Microsoft Office Word</Application>
  <DocSecurity>0</DocSecurity>
  <Lines>1271</Lines>
  <Paragraphs>358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NOU Dokumentmal</vt:lpstr>
      <vt:lpstr>NOU Dokumentmal</vt:lpstr>
    </vt:vector>
  </TitlesOfParts>
  <Company>Statens forvaltningstjeneste</Company>
  <LinksUpToDate>false</LinksUpToDate>
  <CharactersWithSpaces>179089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 Dokumentmal</dc:title>
  <dc:subject>Maldokument for innskriving av NOU</dc:subject>
  <dc:creator>ad1311</dc:creator>
  <cp:keywords>NOU, SGML</cp:keywords>
  <cp:lastModifiedBy>Tormod Belgum</cp:lastModifiedBy>
  <cp:revision>14</cp:revision>
  <cp:lastPrinted>2015-06-19T09:38:00Z</cp:lastPrinted>
  <dcterms:created xsi:type="dcterms:W3CDTF">2015-06-19T08:50:00Z</dcterms:created>
  <dcterms:modified xsi:type="dcterms:W3CDTF">2015-06-19T09:38:00Z</dcterms:modified>
</cp:coreProperties>
</file>