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4497" w14:textId="334E3624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</w:t>
      </w:r>
      <w:r w:rsidR="002B15A0">
        <w:t>2</w:t>
      </w:r>
      <w:r w:rsidR="008B1DFD">
        <w:t>7</w:t>
      </w:r>
      <w:r>
        <w:t xml:space="preserve"> - Satsingsforslag</w:t>
      </w:r>
    </w:p>
    <w:p w14:paraId="5D454498" w14:textId="77777777" w:rsidR="00D021A2" w:rsidRDefault="00D021A2" w:rsidP="00D021A2"/>
    <w:p w14:paraId="36C73B7A" w14:textId="77777777" w:rsidR="00DB1493" w:rsidRPr="003100EF" w:rsidRDefault="00DB1493" w:rsidP="00D021A2"/>
    <w:p w14:paraId="73FD1753" w14:textId="6855F99C" w:rsidR="002342E2" w:rsidRDefault="002342E2" w:rsidP="002342E2">
      <w:pPr>
        <w:pStyle w:val="Overskrift2"/>
      </w:pPr>
      <w:r>
        <w:t>Satsingsforslag</w:t>
      </w:r>
    </w:p>
    <w:p w14:paraId="0D471FC6" w14:textId="77777777" w:rsidR="002342E2" w:rsidRPr="002342E2" w:rsidRDefault="002342E2" w:rsidP="002342E2"/>
    <w:p w14:paraId="5D45449B" w14:textId="45A3DA8C" w:rsidR="00D021A2" w:rsidRPr="009F48D1" w:rsidRDefault="00D021A2" w:rsidP="002342E2">
      <w:pPr>
        <w:pStyle w:val="Overskrift3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proofErr w:type="spellStart"/>
      <w:r w:rsidRPr="0050594F">
        <w:rPr>
          <w:rFonts w:ascii="TimesNewRomanPS-BoldMT" w:hAnsi="TimesNewRomanPS-BoldMT" w:cs="TimesNewRomanPS-BoldMT"/>
          <w:bCs/>
          <w:i/>
        </w:rPr>
        <w:t>Hovedtabell</w:t>
      </w:r>
      <w:proofErr w:type="spellEnd"/>
      <w:r w:rsidRPr="0050594F">
        <w:rPr>
          <w:rFonts w:ascii="TimesNewRomanPS-BoldMT" w:hAnsi="TimesNewRomanPS-BoldMT" w:cs="TimesNewRomanPS-BoldMT"/>
          <w:bCs/>
          <w:i/>
        </w:rPr>
        <w:t xml:space="preserve">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04574B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92CEC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0328E6C7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112E13C5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7382151D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8B1DFD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261E821A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0D1FBF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29E7A7A9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8B1DFD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238B2420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8B1DFD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72AAA16E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B1DFD"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1C2B4E3C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4DD1C71B" w:rsidR="00D021A2" w:rsidRPr="001114F6" w:rsidRDefault="00D021A2" w:rsidP="00F6183B">
      <w:pPr>
        <w:shd w:val="clear" w:color="auto" w:fill="D9D9D9" w:themeFill="background1" w:themeFillShade="D9"/>
      </w:pPr>
      <w:r w:rsidRPr="001114F6">
        <w:t>Kommentarer til tabellen:</w:t>
      </w:r>
    </w:p>
    <w:p w14:paraId="5D4544E6" w14:textId="77777777" w:rsidR="00D021A2" w:rsidRPr="001114F6" w:rsidRDefault="00D021A2" w:rsidP="00F6183B">
      <w:pPr>
        <w:numPr>
          <w:ilvl w:val="0"/>
          <w:numId w:val="3"/>
        </w:numPr>
        <w:shd w:val="clear" w:color="auto" w:fill="D9D9D9" w:themeFill="background1" w:themeFillShade="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1114F6"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3FEF1FB4" w:rsidR="00D021A2" w:rsidRPr="001114F6" w:rsidRDefault="00D021A2" w:rsidP="00F6183B">
      <w:pPr>
        <w:numPr>
          <w:ilvl w:val="0"/>
          <w:numId w:val="3"/>
        </w:numPr>
        <w:shd w:val="clear" w:color="auto" w:fill="D9D9D9" w:themeFill="background1" w:themeFillShade="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1114F6">
        <w:rPr>
          <w:rFonts w:ascii="TimesNewRomanPS-ItalicMT" w:hAnsi="TimesNewRomanPS-ItalicMT" w:cs="TimesNewRomanPS-ItalicMT"/>
          <w:iCs/>
        </w:rPr>
        <w:t xml:space="preserve">Satsingsforslag </w:t>
      </w:r>
      <w:r w:rsidR="00DB1493" w:rsidRPr="001114F6">
        <w:rPr>
          <w:rFonts w:ascii="TimesNewRomanPS-ItalicMT" w:hAnsi="TimesNewRomanPS-ItalicMT" w:cs="TimesNewRomanPS-ItalicMT"/>
          <w:iCs/>
        </w:rPr>
        <w:t xml:space="preserve">og flerårige konsekvenser oppgis </w:t>
      </w:r>
      <w:r w:rsidRPr="001114F6">
        <w:rPr>
          <w:rFonts w:ascii="TimesNewRomanPS-ItalicMT" w:hAnsi="TimesNewRomanPS-ItalicMT" w:cs="TimesNewRomanPS-ItalicMT"/>
          <w:iCs/>
        </w:rPr>
        <w:t>20</w:t>
      </w:r>
      <w:r w:rsidR="00CF5F0F" w:rsidRPr="001114F6">
        <w:rPr>
          <w:rFonts w:ascii="TimesNewRomanPS-ItalicMT" w:hAnsi="TimesNewRomanPS-ItalicMT" w:cs="TimesNewRomanPS-ItalicMT"/>
          <w:iCs/>
        </w:rPr>
        <w:t>2</w:t>
      </w:r>
      <w:r w:rsidR="008B1DFD" w:rsidRPr="001114F6">
        <w:rPr>
          <w:rFonts w:ascii="TimesNewRomanPS-ItalicMT" w:hAnsi="TimesNewRomanPS-ItalicMT" w:cs="TimesNewRomanPS-ItalicMT"/>
          <w:iCs/>
        </w:rPr>
        <w:t>7</w:t>
      </w:r>
      <w:r w:rsidRPr="001114F6">
        <w:rPr>
          <w:rFonts w:ascii="TimesNewRomanPS-ItalicMT" w:hAnsi="TimesNewRomanPS-ItalicMT" w:cs="TimesNewRomanPS-ItalicMT"/>
          <w:iCs/>
        </w:rPr>
        <w:t xml:space="preserve">-kroner </w:t>
      </w:r>
    </w:p>
    <w:p w14:paraId="032BA8B5" w14:textId="6413870E" w:rsidR="001B6229" w:rsidRPr="001114F6" w:rsidRDefault="001B6229" w:rsidP="00F6183B">
      <w:pPr>
        <w:numPr>
          <w:ilvl w:val="0"/>
          <w:numId w:val="3"/>
        </w:numPr>
        <w:shd w:val="clear" w:color="auto" w:fill="D9D9D9" w:themeFill="background1" w:themeFillShade="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1114F6">
        <w:rPr>
          <w:rFonts w:ascii="TimesNewRomanPS-ItalicMT" w:hAnsi="TimesNewRomanPS-ItalicMT" w:cs="TimesNewRomanPS-ItalicMT"/>
          <w:iCs/>
        </w:rPr>
        <w:t>Beløp skal være uten mva. hvis posten omfattes av nettoføringsordningen. Hvis ikke skal beløpet føres opp inkludert</w:t>
      </w:r>
      <w:r w:rsidR="00C157DA" w:rsidRPr="001114F6">
        <w:rPr>
          <w:rFonts w:ascii="TimesNewRomanPS-ItalicMT" w:hAnsi="TimesNewRomanPS-ItalicMT" w:cs="TimesNewRomanPS-ItalicMT"/>
          <w:iCs/>
        </w:rPr>
        <w:t xml:space="preserve"> mva</w:t>
      </w:r>
      <w:r w:rsidRPr="001114F6"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2912B5B6" w:rsidR="00D021A2" w:rsidRPr="001114F6" w:rsidRDefault="00D021A2" w:rsidP="00F6183B">
      <w:pPr>
        <w:numPr>
          <w:ilvl w:val="0"/>
          <w:numId w:val="4"/>
        </w:numPr>
        <w:shd w:val="clear" w:color="auto" w:fill="D9D9D9" w:themeFill="background1" w:themeFillShade="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114F6">
        <w:rPr>
          <w:rFonts w:ascii="TimesNewRomanPSMT" w:hAnsi="TimesNewRomanPSMT" w:cs="TimesNewRomanPSMT"/>
        </w:rPr>
        <w:t xml:space="preserve">Et satsingsforslag skal kun føres opp </w:t>
      </w:r>
      <w:r w:rsidR="00832B2B" w:rsidRPr="001114F6">
        <w:rPr>
          <w:rFonts w:ascii="TimesNewRomanPSMT" w:hAnsi="TimesNewRomanPSMT" w:cs="TimesNewRomanPSMT"/>
        </w:rPr>
        <w:t xml:space="preserve">én </w:t>
      </w:r>
      <w:r w:rsidRPr="001114F6">
        <w:rPr>
          <w:rFonts w:ascii="TimesNewRomanPSMT" w:hAnsi="TimesNewRomanPSMT" w:cs="TimesNewRomanPSMT"/>
        </w:rPr>
        <w:t xml:space="preserve">gang i tabellen. </w:t>
      </w:r>
      <w:r w:rsidR="001114F6" w:rsidRPr="001114F6">
        <w:rPr>
          <w:rFonts w:ascii="TimesNewRomanPSMT" w:hAnsi="TimesNewRomanPSMT" w:cs="TimesNewRomanPSMT"/>
        </w:rPr>
        <w:t>F</w:t>
      </w:r>
      <w:r w:rsidRPr="001114F6">
        <w:rPr>
          <w:rFonts w:ascii="TimesNewRomanPSMT" w:hAnsi="TimesNewRomanPSMT" w:cs="TimesNewRomanPSMT"/>
        </w:rPr>
        <w:t>orslaget berører flere kapitler og poster</w:t>
      </w:r>
      <w:r w:rsidR="00832B2B" w:rsidRPr="001114F6">
        <w:rPr>
          <w:rFonts w:ascii="TimesNewRomanPSMT" w:hAnsi="TimesNewRomanPSMT" w:cs="TimesNewRomanPSMT"/>
        </w:rPr>
        <w:t>,</w:t>
      </w:r>
      <w:r w:rsidRPr="001114F6">
        <w:rPr>
          <w:rFonts w:ascii="TimesNewRomanPSMT" w:hAnsi="TimesNewRomanPSMT" w:cs="TimesNewRomanPSMT"/>
        </w:rPr>
        <w:t xml:space="preserve"> angis totalbeløp</w:t>
      </w:r>
      <w:r w:rsidR="00461C93" w:rsidRPr="001114F6">
        <w:rPr>
          <w:rFonts w:ascii="TimesNewRomanPSMT" w:hAnsi="TimesNewRomanPSMT" w:cs="TimesNewRomanPSMT"/>
        </w:rPr>
        <w:t xml:space="preserve"> ekskl. lånetransaksjoner</w:t>
      </w:r>
      <w:r w:rsidRPr="001114F6">
        <w:rPr>
          <w:rFonts w:ascii="TimesNewRomanPSMT" w:hAnsi="TimesNewRomanPSMT" w:cs="TimesNewRomanPSMT"/>
        </w:rPr>
        <w:t xml:space="preserve">. </w:t>
      </w:r>
      <w:r w:rsidRPr="001114F6">
        <w:rPr>
          <w:rFonts w:ascii="TimesNewRomanPS-ItalicMT" w:hAnsi="TimesNewRomanPS-ItalicMT" w:cs="TimesNewRomanPS-ItalicMT"/>
          <w:iCs/>
        </w:rPr>
        <w:t>I omtalen av forslaget redegjøres det for andre kapitler og poster som berøres av forslaget.</w:t>
      </w:r>
    </w:p>
    <w:p w14:paraId="5D4544EA" w14:textId="77777777" w:rsidR="00D021A2" w:rsidRDefault="00D021A2" w:rsidP="001114F6"/>
    <w:p w14:paraId="05D74A11" w14:textId="17E29FAB" w:rsidR="002342E2" w:rsidRPr="002342E2" w:rsidRDefault="00D021A2" w:rsidP="001114F6">
      <w:pPr>
        <w:pStyle w:val="Overskrift3"/>
      </w:pPr>
      <w:r>
        <w:t>Omtale av de enkelte satsingsforslagene</w:t>
      </w:r>
    </w:p>
    <w:p w14:paraId="5D4544F0" w14:textId="77777777" w:rsidR="00D021A2" w:rsidRDefault="00D021A2" w:rsidP="001114F6"/>
    <w:p w14:paraId="5D4544F1" w14:textId="5A604A28" w:rsidR="00D021A2" w:rsidRDefault="00D021A2" w:rsidP="00D021A2">
      <w:pPr>
        <w:pStyle w:val="Kapittelogpostoverskrift"/>
      </w:pPr>
      <w:bookmarkStart w:id="1" w:name="_Toc283033830"/>
      <w:r>
        <w:t>Beskrivelse av satsingsforslag</w:t>
      </w:r>
      <w:r>
        <w:tab/>
        <w:t>(#</w:t>
      </w:r>
      <w:proofErr w:type="gramStart"/>
      <w:r>
        <w:t>#,#</w:t>
      </w:r>
      <w:proofErr w:type="gramEnd"/>
      <w:r>
        <w:t> mill. kroner)</w:t>
      </w:r>
      <w:bookmarkEnd w:id="1"/>
    </w:p>
    <w:p w14:paraId="73458417" w14:textId="6020940A" w:rsidR="00B6686E" w:rsidRDefault="00B6686E" w:rsidP="00B6686E"/>
    <w:p w14:paraId="7CFC3B9E" w14:textId="1BBFD31D" w:rsidR="001114F6" w:rsidRDefault="001114F6" w:rsidP="00F6183B">
      <w:pPr>
        <w:shd w:val="clear" w:color="auto" w:fill="D9D9D9" w:themeFill="background1" w:themeFillShade="D9"/>
      </w:pPr>
      <w:r>
        <w:t xml:space="preserve">Tabell som viser over </w:t>
      </w:r>
      <w:proofErr w:type="spellStart"/>
      <w:r>
        <w:t>kap</w:t>
      </w:r>
      <w:proofErr w:type="spellEnd"/>
      <w:r>
        <w:t>/post og flerårige konsekvenser inkl. 90-poster, dersom relevant oppgis forutsetninger for beregningene</w:t>
      </w:r>
      <w:r w:rsidR="004E5F97">
        <w:t>. Eksempel:</w:t>
      </w:r>
    </w:p>
    <w:p w14:paraId="1F5406F4" w14:textId="33C1A65C" w:rsidR="001114F6" w:rsidRDefault="001114F6" w:rsidP="001114F6"/>
    <w:tbl>
      <w:tblPr>
        <w:tblW w:w="8291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793"/>
        <w:gridCol w:w="2850"/>
        <w:gridCol w:w="952"/>
        <w:gridCol w:w="896"/>
        <w:gridCol w:w="933"/>
        <w:gridCol w:w="971"/>
      </w:tblGrid>
      <w:tr w:rsidR="001114F6" w:rsidRPr="001114F6" w14:paraId="3A1F7D40" w14:textId="7B587CCB" w:rsidTr="001114F6">
        <w:trPr>
          <w:trHeight w:val="27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5E33" w14:textId="593F6F29" w:rsidR="001114F6" w:rsidRPr="001114F6" w:rsidRDefault="001114F6" w:rsidP="001114F6">
            <w:pPr>
              <w:rPr>
                <w:rFonts w:cs="Arial"/>
                <w:sz w:val="20"/>
              </w:rPr>
            </w:pPr>
            <w:proofErr w:type="spellStart"/>
            <w:r w:rsidRPr="001114F6">
              <w:rPr>
                <w:rFonts w:cs="Arial"/>
                <w:sz w:val="20"/>
              </w:rPr>
              <w:t>Kap.post</w:t>
            </w:r>
            <w:proofErr w:type="spellEnd"/>
          </w:p>
        </w:tc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C735" w14:textId="7F69DE17" w:rsidR="001114F6" w:rsidRPr="001114F6" w:rsidRDefault="001114F6" w:rsidP="001114F6">
            <w:pPr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1FAF" w14:textId="34694A94" w:rsidR="001114F6" w:rsidRPr="001114F6" w:rsidRDefault="001114F6" w:rsidP="001114F6">
            <w:pPr>
              <w:jc w:val="right"/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2027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57D6" w14:textId="415D1AAE" w:rsidR="001114F6" w:rsidRPr="001114F6" w:rsidRDefault="001114F6" w:rsidP="001114F6">
            <w:pPr>
              <w:jc w:val="right"/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2028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8FB9" w14:textId="33EE646C" w:rsidR="001114F6" w:rsidRPr="001114F6" w:rsidRDefault="001114F6" w:rsidP="001114F6">
            <w:pPr>
              <w:jc w:val="right"/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2029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8406" w14:textId="232C7385" w:rsidR="001114F6" w:rsidRPr="001114F6" w:rsidRDefault="001114F6" w:rsidP="001114F6">
            <w:pPr>
              <w:jc w:val="right"/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2030</w:t>
            </w:r>
          </w:p>
        </w:tc>
      </w:tr>
      <w:tr w:rsidR="001114F6" w:rsidRPr="001114F6" w14:paraId="46B14698" w14:textId="7CA23A05" w:rsidTr="001114F6">
        <w:trPr>
          <w:trHeight w:val="255"/>
        </w:trPr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4C45C" w14:textId="1D822425" w:rsidR="001114F6" w:rsidRPr="001114F6" w:rsidRDefault="001114F6" w:rsidP="001114F6">
            <w:pPr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260.50</w:t>
            </w:r>
          </w:p>
        </w:tc>
        <w:tc>
          <w:tcPr>
            <w:tcW w:w="3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DDB88" w14:textId="449292D7" w:rsidR="001114F6" w:rsidRPr="001114F6" w:rsidRDefault="001114F6" w:rsidP="001114F6">
            <w:pPr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1 000 nye studieplasser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BCFA4" w14:textId="275674AE" w:rsidR="001114F6" w:rsidRPr="001114F6" w:rsidRDefault="001114F6" w:rsidP="001114F6">
            <w:pPr>
              <w:jc w:val="right"/>
              <w:rPr>
                <w:rFonts w:cs="Arial"/>
                <w:b/>
                <w:bCs/>
                <w:sz w:val="20"/>
              </w:rPr>
            </w:pPr>
            <w:r w:rsidRPr="001114F6"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99B40" w14:textId="009B6045" w:rsidR="001114F6" w:rsidRPr="001114F6" w:rsidRDefault="001114F6" w:rsidP="001114F6">
            <w:pPr>
              <w:jc w:val="right"/>
              <w:rPr>
                <w:rFonts w:cs="Arial"/>
                <w:b/>
                <w:bCs/>
                <w:sz w:val="20"/>
              </w:rPr>
            </w:pPr>
            <w:r w:rsidRPr="001114F6"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5A377" w14:textId="2FD1B18A" w:rsidR="001114F6" w:rsidRPr="001114F6" w:rsidRDefault="001114F6" w:rsidP="001114F6">
            <w:pPr>
              <w:jc w:val="right"/>
              <w:rPr>
                <w:rFonts w:cs="Arial"/>
                <w:b/>
                <w:bCs/>
                <w:sz w:val="20"/>
              </w:rPr>
            </w:pPr>
            <w:r w:rsidRPr="001114F6"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CF56E" w14:textId="57CA0803" w:rsidR="001114F6" w:rsidRPr="001114F6" w:rsidRDefault="001114F6" w:rsidP="001114F6">
            <w:pPr>
              <w:jc w:val="right"/>
              <w:rPr>
                <w:rFonts w:cs="Arial"/>
                <w:b/>
                <w:bCs/>
                <w:sz w:val="20"/>
              </w:rPr>
            </w:pPr>
            <w:r w:rsidRPr="001114F6">
              <w:rPr>
                <w:rFonts w:cs="Arial"/>
                <w:b/>
                <w:bCs/>
                <w:sz w:val="20"/>
              </w:rPr>
              <w:t xml:space="preserve">410 000 </w:t>
            </w:r>
          </w:p>
        </w:tc>
      </w:tr>
      <w:tr w:rsidR="001114F6" w:rsidRPr="001114F6" w14:paraId="0217F833" w14:textId="2FB8BAB7" w:rsidTr="001114F6">
        <w:trPr>
          <w:trHeight w:val="25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0385" w14:textId="7698D756" w:rsidR="001114F6" w:rsidRPr="001114F6" w:rsidRDefault="001114F6" w:rsidP="001114F6">
            <w:pPr>
              <w:rPr>
                <w:rFonts w:cs="Arial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9D809" w14:textId="272741DB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1BF7E" w14:textId="76328D46" w:rsidR="001114F6" w:rsidRPr="001114F6" w:rsidRDefault="001114F6" w:rsidP="001114F6">
            <w:pPr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Universiteter og høyskoler</w:t>
            </w:r>
            <w:r w:rsidRPr="001114F6">
              <w:rPr>
                <w:rFonts w:cs="Arial"/>
                <w:i/>
                <w:iCs/>
                <w:sz w:val="20"/>
              </w:rPr>
              <w:br/>
              <w:t>Statlige universiteter og høyskoler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FFAA" w14:textId="3E2B42E2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141E" w14:textId="670FE737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 xml:space="preserve"> 110 000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AA60" w14:textId="15F65C13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F8CB" w14:textId="7A126BA6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 xml:space="preserve">320 000 </w:t>
            </w:r>
            <w:r>
              <w:rPr>
                <w:rFonts w:cs="Arial"/>
                <w:i/>
                <w:iCs/>
                <w:sz w:val="20"/>
              </w:rPr>
              <w:t>3</w:t>
            </w:r>
          </w:p>
        </w:tc>
      </w:tr>
      <w:tr w:rsidR="001114F6" w:rsidRPr="001114F6" w14:paraId="3791204F" w14:textId="554F073D" w:rsidTr="001114F6">
        <w:trPr>
          <w:trHeight w:val="51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6D27" w14:textId="5CDFB840" w:rsidR="001114F6" w:rsidRPr="001114F6" w:rsidRDefault="001114F6" w:rsidP="001114F6">
            <w:pPr>
              <w:rPr>
                <w:rFonts w:cs="Arial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6CF3" w14:textId="25BEE60E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99E5" w14:textId="0A3794F7" w:rsidR="001114F6" w:rsidRPr="001114F6" w:rsidRDefault="001114F6" w:rsidP="001114F6">
            <w:pPr>
              <w:rPr>
                <w:rFonts w:cs="Arial"/>
                <w:i/>
                <w:iCs/>
                <w:sz w:val="20"/>
                <w:lang w:val="nn-NO"/>
              </w:rPr>
            </w:pPr>
            <w:r w:rsidRPr="001114F6">
              <w:rPr>
                <w:rFonts w:cs="Arial"/>
                <w:i/>
                <w:iCs/>
                <w:sz w:val="20"/>
                <w:lang w:val="nn-NO"/>
              </w:rPr>
              <w:t>Statens lånekasse for utdanning</w:t>
            </w:r>
            <w:r w:rsidRPr="001114F6">
              <w:rPr>
                <w:rFonts w:cs="Arial"/>
                <w:i/>
                <w:iCs/>
                <w:sz w:val="20"/>
                <w:lang w:val="nn-NO"/>
              </w:rPr>
              <w:br/>
              <w:t>Avsetning til utdanningsstipend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415" w14:textId="58D91F0B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14 500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4D1" w14:textId="4767C93D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1F0" w14:textId="5DF31969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67 500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020" w14:textId="18D24287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 xml:space="preserve">86 500 </w:t>
            </w:r>
          </w:p>
        </w:tc>
      </w:tr>
      <w:tr w:rsidR="001114F6" w:rsidRPr="001114F6" w14:paraId="22EB643F" w14:textId="4172F277" w:rsidTr="001114F6">
        <w:trPr>
          <w:trHeight w:val="510"/>
        </w:trPr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14F6A" w14:textId="4373E579" w:rsidR="001114F6" w:rsidRPr="001114F6" w:rsidRDefault="001114F6" w:rsidP="001114F6">
            <w:pPr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A071BF" w14:textId="6E069391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2410.70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876DE" w14:textId="05C88C91" w:rsidR="001114F6" w:rsidRPr="001114F6" w:rsidRDefault="001114F6" w:rsidP="001114F6">
            <w:pPr>
              <w:rPr>
                <w:rFonts w:cs="Arial"/>
                <w:i/>
                <w:iCs/>
                <w:sz w:val="20"/>
                <w:lang w:val="nn-NO"/>
              </w:rPr>
            </w:pPr>
            <w:r w:rsidRPr="001114F6">
              <w:rPr>
                <w:rFonts w:cs="Arial"/>
                <w:i/>
                <w:iCs/>
                <w:sz w:val="20"/>
                <w:lang w:val="nn-NO"/>
              </w:rPr>
              <w:t xml:space="preserve">Statens lånekasse for </w:t>
            </w:r>
            <w:proofErr w:type="spellStart"/>
            <w:r w:rsidRPr="001114F6">
              <w:rPr>
                <w:rFonts w:cs="Arial"/>
                <w:i/>
                <w:iCs/>
                <w:sz w:val="20"/>
                <w:lang w:val="nn-NO"/>
              </w:rPr>
              <w:t>utdannning</w:t>
            </w:r>
            <w:proofErr w:type="spellEnd"/>
            <w:r w:rsidRPr="001114F6">
              <w:rPr>
                <w:rFonts w:cs="Arial"/>
                <w:i/>
                <w:iCs/>
                <w:sz w:val="20"/>
                <w:lang w:val="nn-NO"/>
              </w:rPr>
              <w:br/>
              <w:t>Utdanningsstipend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4EB41" w14:textId="1EE0412E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F6D3" w14:textId="2AEE54C7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6F12A" w14:textId="225B6FC1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EC368" w14:textId="72CD1A32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 xml:space="preserve">3 500 </w:t>
            </w:r>
          </w:p>
        </w:tc>
      </w:tr>
      <w:tr w:rsidR="001114F6" w:rsidRPr="004C0802" w14:paraId="1DAD4C88" w14:textId="64D8EE78" w:rsidTr="001114F6">
        <w:trPr>
          <w:trHeight w:val="270"/>
        </w:trPr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9CEE" w14:textId="5061217D" w:rsidR="001114F6" w:rsidRPr="001114F6" w:rsidRDefault="001114F6" w:rsidP="001114F6">
            <w:pPr>
              <w:rPr>
                <w:rFonts w:cs="Arial"/>
                <w:sz w:val="20"/>
              </w:rPr>
            </w:pPr>
            <w:r w:rsidRPr="001114F6">
              <w:rPr>
                <w:rFonts w:cs="Arial"/>
                <w:sz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9E1A59" w14:textId="1589FBB8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65918A" w14:textId="0172C911" w:rsidR="001114F6" w:rsidRPr="001114F6" w:rsidRDefault="001114F6" w:rsidP="001114F6">
            <w:pPr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Statens lånekasse for utdanning</w:t>
            </w:r>
            <w:r w:rsidRPr="001114F6">
              <w:rPr>
                <w:rFonts w:cs="Arial"/>
                <w:i/>
                <w:iCs/>
                <w:sz w:val="20"/>
              </w:rPr>
              <w:br/>
              <w:t>Økt lån og rentegjeld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D205D" w14:textId="0AD6949F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F89B1" w14:textId="3E133A09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3986" w14:textId="3CF014CA" w:rsidR="001114F6" w:rsidRPr="001114F6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58492" w14:textId="1FA3AAB7" w:rsidR="001114F6" w:rsidRPr="004C0802" w:rsidRDefault="001114F6" w:rsidP="001114F6">
            <w:pPr>
              <w:jc w:val="right"/>
              <w:rPr>
                <w:rFonts w:cs="Arial"/>
                <w:i/>
                <w:iCs/>
                <w:sz w:val="20"/>
              </w:rPr>
            </w:pPr>
            <w:r w:rsidRPr="001114F6"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</w:tbl>
    <w:p w14:paraId="6B4F17BD" w14:textId="47B902A4" w:rsidR="002342E2" w:rsidRPr="00E826D7" w:rsidRDefault="002342E2" w:rsidP="00B6686E">
      <w:pPr>
        <w:rPr>
          <w:b/>
        </w:rPr>
      </w:pPr>
    </w:p>
    <w:p w14:paraId="529AFB46" w14:textId="47E48A4A" w:rsidR="00C17B80" w:rsidRDefault="002342E2" w:rsidP="00E826D7">
      <w:pPr>
        <w:keepNext/>
        <w:rPr>
          <w:b/>
        </w:rPr>
      </w:pPr>
      <w:r>
        <w:rPr>
          <w:b/>
        </w:rPr>
        <w:lastRenderedPageBreak/>
        <w:t>Kort beskrivelse</w:t>
      </w:r>
    </w:p>
    <w:p w14:paraId="22D2D49F" w14:textId="52569AEC" w:rsidR="002342E2" w:rsidRDefault="002342E2" w:rsidP="002815AE">
      <w:pPr>
        <w:shd w:val="clear" w:color="auto" w:fill="D9D9D9" w:themeFill="background1" w:themeFillShade="D9"/>
        <w:rPr>
          <w:bCs/>
        </w:rPr>
      </w:pPr>
      <w:r w:rsidRPr="002342E2">
        <w:rPr>
          <w:bCs/>
        </w:rPr>
        <w:t>3-5 linjer</w:t>
      </w:r>
      <w:r>
        <w:rPr>
          <w:bCs/>
        </w:rPr>
        <w:t xml:space="preserve"> med den viktigste informasjonen til </w:t>
      </w:r>
      <w:r w:rsidR="00F6183B">
        <w:rPr>
          <w:bCs/>
        </w:rPr>
        <w:t>r</w:t>
      </w:r>
      <w:r>
        <w:rPr>
          <w:bCs/>
        </w:rPr>
        <w:t>egjeringen om satsingsforslaget.</w:t>
      </w:r>
      <w:r w:rsidR="00113C7E">
        <w:rPr>
          <w:bCs/>
        </w:rPr>
        <w:t xml:space="preserve"> Denne teksten skal kunne gjenbrukes direkte i beslutningsdokumentene, der det gis en kort beskrivelse av satsingsforslaget.</w:t>
      </w:r>
    </w:p>
    <w:p w14:paraId="579E97FE" w14:textId="77777777" w:rsidR="002342E2" w:rsidRDefault="002342E2" w:rsidP="00B6686E">
      <w:pPr>
        <w:rPr>
          <w:bCs/>
        </w:rPr>
      </w:pPr>
    </w:p>
    <w:p w14:paraId="14B641EF" w14:textId="3C85909D" w:rsidR="002342E2" w:rsidRPr="002342E2" w:rsidRDefault="002342E2" w:rsidP="00B6686E">
      <w:pPr>
        <w:rPr>
          <w:b/>
        </w:rPr>
      </w:pPr>
      <w:r>
        <w:rPr>
          <w:b/>
        </w:rPr>
        <w:t>Utfyllende omtale</w:t>
      </w:r>
    </w:p>
    <w:p w14:paraId="6D12BBB6" w14:textId="6EEF936F" w:rsidR="002342E2" w:rsidRDefault="002342E2" w:rsidP="002815AE">
      <w:pPr>
        <w:shd w:val="clear" w:color="auto" w:fill="D9D9D9" w:themeFill="background1" w:themeFillShade="D9"/>
        <w:rPr>
          <w:bCs/>
        </w:rPr>
      </w:pPr>
      <w:r>
        <w:rPr>
          <w:bCs/>
        </w:rPr>
        <w:t>Formålet med omtalen er å gi Finansdepartementet grunnlag for å vurdere satsingsforslaget</w:t>
      </w:r>
      <w:r w:rsidR="0068290B">
        <w:rPr>
          <w:bCs/>
        </w:rPr>
        <w:t xml:space="preserve"> opp mot andre forslag</w:t>
      </w:r>
      <w:r>
        <w:rPr>
          <w:bCs/>
        </w:rPr>
        <w:t xml:space="preserve"> og fremstille satsingsforslaget i materialet til regjeringen.</w:t>
      </w:r>
      <w:r w:rsidR="00C64396">
        <w:rPr>
          <w:bCs/>
        </w:rPr>
        <w:t xml:space="preserve"> Det </w:t>
      </w:r>
      <w:r w:rsidR="0068290B">
        <w:rPr>
          <w:bCs/>
        </w:rPr>
        <w:t xml:space="preserve">må være </w:t>
      </w:r>
      <w:r w:rsidR="0068290B">
        <w:t>en klar og oversiktlig framstilling av saken med presentasjon av nødvendige fakta</w:t>
      </w:r>
      <w:r w:rsidR="00626F4B">
        <w:t>, hvordan midler skal anvendes, hva som er formålet med forslaget og hvordan resultater skal måles.</w:t>
      </w:r>
      <w:r w:rsidR="0068290B">
        <w:t xml:space="preserve">. Det må tydelig framgå hva regjeringen skal ta standpunkt til. </w:t>
      </w:r>
    </w:p>
    <w:p w14:paraId="39B49700" w14:textId="77777777" w:rsidR="00C64396" w:rsidRDefault="00C64396" w:rsidP="002815AE">
      <w:pPr>
        <w:shd w:val="clear" w:color="auto" w:fill="D9D9D9" w:themeFill="background1" w:themeFillShade="D9"/>
        <w:rPr>
          <w:bCs/>
        </w:rPr>
      </w:pPr>
    </w:p>
    <w:p w14:paraId="58B4200B" w14:textId="36DC79FE" w:rsidR="002F6F83" w:rsidRPr="002F6F83" w:rsidRDefault="002F6F83" w:rsidP="002815AE">
      <w:pPr>
        <w:shd w:val="clear" w:color="auto" w:fill="D9D9D9" w:themeFill="background1" w:themeFillShade="D9"/>
        <w:rPr>
          <w:bCs/>
        </w:rPr>
      </w:pPr>
      <w:r w:rsidRPr="002F6F83">
        <w:rPr>
          <w:bCs/>
        </w:rPr>
        <w:t>Samlet skal beskrivelsen svare ut kravene i utredningsinstruksen, men tilpass</w:t>
      </w:r>
      <w:r w:rsidR="0054438A">
        <w:rPr>
          <w:bCs/>
        </w:rPr>
        <w:t>et</w:t>
      </w:r>
      <w:r w:rsidRPr="002F6F83">
        <w:rPr>
          <w:bCs/>
        </w:rPr>
        <w:t xml:space="preserve"> omfang</w:t>
      </w:r>
      <w:r w:rsidR="00AE2105">
        <w:rPr>
          <w:bCs/>
        </w:rPr>
        <w:t xml:space="preserve"> </w:t>
      </w:r>
      <w:r w:rsidRPr="002F6F83">
        <w:rPr>
          <w:bCs/>
        </w:rPr>
        <w:t>og struktur slik at de</w:t>
      </w:r>
      <w:r w:rsidR="0054438A">
        <w:rPr>
          <w:bCs/>
        </w:rPr>
        <w:t>n</w:t>
      </w:r>
      <w:r w:rsidRPr="002F6F83">
        <w:rPr>
          <w:bCs/>
        </w:rPr>
        <w:t xml:space="preserve"> gir en god oversikt over saken for beslutningstakere.</w:t>
      </w:r>
      <w:r w:rsidR="00A0093A" w:rsidRPr="00A0093A">
        <w:rPr>
          <w:bCs/>
        </w:rPr>
        <w:t xml:space="preserve"> </w:t>
      </w:r>
      <w:r w:rsidR="00A0093A">
        <w:rPr>
          <w:bCs/>
        </w:rPr>
        <w:t>Det vil variere fra sak til sak hva som er tilstrekkelig og relevant informasjon, og punktene nedenfor er ikke uttømmende.</w:t>
      </w:r>
    </w:p>
    <w:p w14:paraId="66D3C7F0" w14:textId="77777777" w:rsidR="002F6F83" w:rsidRDefault="002F6F83" w:rsidP="002815AE">
      <w:pPr>
        <w:shd w:val="clear" w:color="auto" w:fill="D9D9D9" w:themeFill="background1" w:themeFillShade="D9"/>
        <w:rPr>
          <w:bCs/>
        </w:rPr>
      </w:pPr>
    </w:p>
    <w:p w14:paraId="74538FCA" w14:textId="7F19DAD7" w:rsidR="00065B50" w:rsidRDefault="005D4D76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</w:pPr>
      <w:r>
        <w:t xml:space="preserve">Beskrivelse av hva som er problemet </w:t>
      </w:r>
      <w:r w:rsidR="00A0093A">
        <w:t xml:space="preserve">og hvordan dette </w:t>
      </w:r>
      <w:r w:rsidR="00065B50">
        <w:t>relateres til eksisterende ressursbruk innenfor politikkområdet</w:t>
      </w:r>
      <w:r w:rsidR="00E826D7">
        <w:t>:</w:t>
      </w:r>
    </w:p>
    <w:p w14:paraId="26269AE4" w14:textId="476C67A3" w:rsidR="00D63076" w:rsidRDefault="00D63076" w:rsidP="002815AE">
      <w:pPr>
        <w:pStyle w:val="Listeavsnitt"/>
        <w:numPr>
          <w:ilvl w:val="1"/>
          <w:numId w:val="4"/>
        </w:numPr>
        <w:shd w:val="clear" w:color="auto" w:fill="D9D9D9" w:themeFill="background1" w:themeFillShade="D9"/>
      </w:pPr>
      <w:r>
        <w:t>Hva er nåsituasjonen? Hvordan er ressurs</w:t>
      </w:r>
      <w:r w:rsidR="009F10B9">
        <w:t xml:space="preserve">bruken </w:t>
      </w:r>
      <w:r>
        <w:t>på området innrettet</w:t>
      </w:r>
      <w:r w:rsidR="009F10B9">
        <w:t>, på eget og ev. andre departements ansvarsområde</w:t>
      </w:r>
      <w:r>
        <w:t>?</w:t>
      </w:r>
    </w:p>
    <w:p w14:paraId="44C031D7" w14:textId="41E0E74C" w:rsidR="00065B50" w:rsidRDefault="00D63076" w:rsidP="002815AE">
      <w:pPr>
        <w:pStyle w:val="Listeavsnitt"/>
        <w:numPr>
          <w:ilvl w:val="1"/>
          <w:numId w:val="4"/>
        </w:numPr>
        <w:shd w:val="clear" w:color="auto" w:fill="D9D9D9" w:themeFill="background1" w:themeFillShade="D9"/>
      </w:pPr>
      <w:r>
        <w:t xml:space="preserve">Hva </w:t>
      </w:r>
      <w:proofErr w:type="gramStart"/>
      <w:r>
        <w:t>fungerer</w:t>
      </w:r>
      <w:proofErr w:type="gramEnd"/>
      <w:r>
        <w:t xml:space="preserve"> og hva fungerer ikke?</w:t>
      </w:r>
    </w:p>
    <w:p w14:paraId="4B37BE2C" w14:textId="773FBE41" w:rsidR="00065B50" w:rsidRDefault="00D25A90" w:rsidP="002815AE">
      <w:pPr>
        <w:pStyle w:val="Listeavsnitt"/>
        <w:numPr>
          <w:ilvl w:val="1"/>
          <w:numId w:val="4"/>
        </w:numPr>
        <w:shd w:val="clear" w:color="auto" w:fill="D9D9D9" w:themeFill="background1" w:themeFillShade="D9"/>
      </w:pPr>
      <w:r>
        <w:t>K</w:t>
      </w:r>
      <w:r w:rsidR="00065B50">
        <w:t xml:space="preserve">an formålet med satsingsforslaget oppnås </w:t>
      </w:r>
      <w:r w:rsidR="00F417ED">
        <w:t xml:space="preserve">ved </w:t>
      </w:r>
      <w:r w:rsidR="009F10B9">
        <w:t>omprioritering av eksisterende ressursbruk</w:t>
      </w:r>
      <w:r w:rsidR="00065B50">
        <w:t>?</w:t>
      </w:r>
    </w:p>
    <w:p w14:paraId="04E6E28F" w14:textId="7CCB7088" w:rsidR="00D00C89" w:rsidRDefault="00D00C89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</w:pPr>
      <w:r w:rsidRPr="009F10B9">
        <w:t>Hvilke alternative tiltak er vurdert og hvorfor anbefales det valgte tiltaket?</w:t>
      </w:r>
      <w:r w:rsidR="00684B0E">
        <w:t xml:space="preserve"> Gi en overordnet beskrivelse av hva tiltakene omfatter.</w:t>
      </w:r>
    </w:p>
    <w:p w14:paraId="0D4C30D3" w14:textId="6D902FD0" w:rsidR="00D00C89" w:rsidRDefault="00684B0E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</w:pPr>
      <w:r>
        <w:t xml:space="preserve">For hvert tiltak </w:t>
      </w:r>
      <w:r w:rsidR="00E9109F">
        <w:t>skal det gis</w:t>
      </w:r>
      <w:r>
        <w:t xml:space="preserve"> en beskrivelse av sammenheng mellom ressursbruk, virkningene av tiltakene for samfunn</w:t>
      </w:r>
      <w:r w:rsidR="003E36E9">
        <w:t xml:space="preserve">et som helhet, og hvordan dette påvirker måloppnåelse. Se </w:t>
      </w:r>
      <w:hyperlink r:id="rId8" w:history="1">
        <w:proofErr w:type="spellStart"/>
        <w:r w:rsidR="003E36E9" w:rsidRPr="00E826D7">
          <w:rPr>
            <w:rStyle w:val="Hyperkobling"/>
            <w:rFonts w:eastAsia="Calibri"/>
            <w:szCs w:val="24"/>
          </w:rPr>
          <w:t>DFØs</w:t>
        </w:r>
        <w:proofErr w:type="spellEnd"/>
        <w:r w:rsidR="003E36E9" w:rsidRPr="00E826D7">
          <w:rPr>
            <w:rStyle w:val="Hyperkobling"/>
            <w:rFonts w:eastAsia="Calibri"/>
            <w:szCs w:val="24"/>
          </w:rPr>
          <w:t xml:space="preserve"> veiledning</w:t>
        </w:r>
      </w:hyperlink>
      <w:r w:rsidR="003E36E9">
        <w:rPr>
          <w:rFonts w:eastAsia="Calibri"/>
          <w:color w:val="000000"/>
          <w:szCs w:val="24"/>
        </w:rPr>
        <w:t xml:space="preserve"> av hvordan utarbeide mål. </w:t>
      </w:r>
      <w:r w:rsidR="001D32A3">
        <w:rPr>
          <w:rFonts w:eastAsia="Calibri"/>
          <w:color w:val="000000"/>
          <w:szCs w:val="24"/>
        </w:rPr>
        <w:t>Eksempler på spørsmål som kan vurderes:</w:t>
      </w:r>
    </w:p>
    <w:p w14:paraId="00BDD716" w14:textId="0C0B8BD9" w:rsidR="00A00070" w:rsidRDefault="00A00070" w:rsidP="002815AE">
      <w:pPr>
        <w:pStyle w:val="Listeavsnitt"/>
        <w:numPr>
          <w:ilvl w:val="1"/>
          <w:numId w:val="4"/>
        </w:numPr>
        <w:shd w:val="clear" w:color="auto" w:fill="D9D9D9" w:themeFill="background1" w:themeFillShade="D9"/>
      </w:pPr>
      <w:r>
        <w:t xml:space="preserve">Hvordan påvirker </w:t>
      </w:r>
      <w:r w:rsidR="00C55FB5">
        <w:t xml:space="preserve">endret eller økt </w:t>
      </w:r>
      <w:r>
        <w:t>ressursbruk det som er ønskelig å levere av produkter og tjenester?</w:t>
      </w:r>
      <w:r w:rsidR="009F45EB">
        <w:t xml:space="preserve"> </w:t>
      </w:r>
    </w:p>
    <w:p w14:paraId="0DF11C6B" w14:textId="157255FB" w:rsidR="00A00070" w:rsidRDefault="00A00070" w:rsidP="002815AE">
      <w:pPr>
        <w:pStyle w:val="Listeavsnitt"/>
        <w:numPr>
          <w:ilvl w:val="1"/>
          <w:numId w:val="4"/>
        </w:numPr>
        <w:shd w:val="clear" w:color="auto" w:fill="D9D9D9" w:themeFill="background1" w:themeFillShade="D9"/>
      </w:pPr>
      <w:r>
        <w:t>Hvordan påvirker disse produktene og tjenestene brukere og samfunn?</w:t>
      </w:r>
      <w:r w:rsidR="00C006BE">
        <w:t xml:space="preserve"> Dette inkludere</w:t>
      </w:r>
      <w:r w:rsidR="00F90C3F">
        <w:t>r</w:t>
      </w:r>
      <w:r w:rsidR="00C006BE">
        <w:t xml:space="preserve"> eksempelvis fordelingsvirkninger knyttet til enkeltgrupper som barn, bruk av arbeidskraft eller virkninger for klima og miljø.</w:t>
      </w:r>
    </w:p>
    <w:p w14:paraId="284504AB" w14:textId="5D550C00" w:rsidR="00F90C3F" w:rsidRDefault="00C006BE" w:rsidP="002815AE">
      <w:pPr>
        <w:pStyle w:val="Listeavsnitt"/>
        <w:numPr>
          <w:ilvl w:val="2"/>
          <w:numId w:val="4"/>
        </w:numPr>
        <w:shd w:val="clear" w:color="auto" w:fill="D9D9D9" w:themeFill="background1" w:themeFillShade="D9"/>
      </w:pPr>
      <w:r>
        <w:t xml:space="preserve">Dersom tiltaket har </w:t>
      </w:r>
      <w:proofErr w:type="spellStart"/>
      <w:r w:rsidR="00D372F9">
        <w:t>vestentlig</w:t>
      </w:r>
      <w:proofErr w:type="spellEnd"/>
      <w:r w:rsidR="00D372F9">
        <w:t xml:space="preserve"> effekt på </w:t>
      </w:r>
      <w:r>
        <w:t>klimagassutslipp</w:t>
      </w:r>
      <w:r w:rsidR="00D372F9">
        <w:t xml:space="preserve">, </w:t>
      </w:r>
      <w:r>
        <w:t>skal effekten beskrives.</w:t>
      </w:r>
      <w:r w:rsidR="0091163D">
        <w:t xml:space="preserve"> </w:t>
      </w:r>
      <w:r w:rsidR="0091163D" w:rsidRPr="00676734">
        <w:t xml:space="preserve">Departementene skal se hen til </w:t>
      </w:r>
      <w:hyperlink r:id="rId9" w:history="1">
        <w:r w:rsidR="0091163D" w:rsidRPr="007B1821">
          <w:rPr>
            <w:rStyle w:val="Hyperkobling"/>
          </w:rPr>
          <w:t>Veileder for vurdering av effekt på utslipp og opptak av klimagasser</w:t>
        </w:r>
      </w:hyperlink>
      <w:r w:rsidR="0091163D">
        <w:t xml:space="preserve"> fra KLD.</w:t>
      </w:r>
    </w:p>
    <w:p w14:paraId="4D0A75A9" w14:textId="1443D644" w:rsidR="00F90C3F" w:rsidRDefault="00D372F9" w:rsidP="002815AE">
      <w:pPr>
        <w:pStyle w:val="Listeavsnitt"/>
        <w:numPr>
          <w:ilvl w:val="2"/>
          <w:numId w:val="4"/>
        </w:numPr>
        <w:shd w:val="clear" w:color="auto" w:fill="D9D9D9" w:themeFill="background1" w:themeFillShade="D9"/>
      </w:pPr>
      <w:r>
        <w:t>Dersom</w:t>
      </w:r>
      <w:r w:rsidR="00C006BE" w:rsidRPr="00A0093A">
        <w:t xml:space="preserve"> tiltak</w:t>
      </w:r>
      <w:r>
        <w:t>et</w:t>
      </w:r>
      <w:r w:rsidR="00C006BE" w:rsidRPr="00A0093A">
        <w:t xml:space="preserve"> </w:t>
      </w:r>
      <w:r>
        <w:t>har</w:t>
      </w:r>
      <w:r w:rsidR="00C006BE" w:rsidRPr="00A0093A">
        <w:t xml:space="preserve"> vesentlige konsekvenser for bruk av personell</w:t>
      </w:r>
      <w:r w:rsidR="00C006BE">
        <w:t xml:space="preserve">, skal </w:t>
      </w:r>
      <w:r>
        <w:t>konsekvensen</w:t>
      </w:r>
      <w:r w:rsidR="00C006BE">
        <w:t xml:space="preserve"> beskrives.</w:t>
      </w:r>
    </w:p>
    <w:p w14:paraId="512E7C35" w14:textId="1496FF24" w:rsidR="002815AE" w:rsidRDefault="00626F4B" w:rsidP="002815AE">
      <w:pPr>
        <w:pStyle w:val="Listeavsnitt"/>
        <w:numPr>
          <w:ilvl w:val="1"/>
          <w:numId w:val="4"/>
        </w:numPr>
        <w:shd w:val="clear" w:color="auto" w:fill="D9D9D9" w:themeFill="background1" w:themeFillShade="D9"/>
      </w:pPr>
      <w:r>
        <w:t>Hvordan kan resultater måles?</w:t>
      </w:r>
    </w:p>
    <w:p w14:paraId="08EA67AC" w14:textId="77777777" w:rsidR="002815AE" w:rsidRPr="00F90C3F" w:rsidRDefault="002815AE" w:rsidP="002815AE"/>
    <w:p w14:paraId="3C465548" w14:textId="77777777" w:rsidR="001D32A3" w:rsidRDefault="00EB625D" w:rsidP="001D32A3">
      <w:pPr>
        <w:keepNext/>
      </w:pPr>
      <w:r w:rsidRPr="00EB625D">
        <w:rPr>
          <w:rFonts w:eastAsia="Calibri"/>
          <w:noProof/>
          <w:color w:val="000000"/>
          <w:szCs w:val="24"/>
        </w:rPr>
        <w:drawing>
          <wp:inline distT="0" distB="0" distL="0" distR="0" wp14:anchorId="1071AF38" wp14:editId="70081A08">
            <wp:extent cx="5760085" cy="974090"/>
            <wp:effectExtent l="0" t="0" r="0" b="0"/>
            <wp:docPr id="207695580" name="Bilde 1" descr="Et bilde som inneholder tekst, Font, logo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5580" name="Bilde 1" descr="Et bilde som inneholder tekst, Font, logo, skjermbilde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075D" w14:textId="5834614C" w:rsidR="00EB625D" w:rsidRDefault="001D32A3" w:rsidP="001D32A3">
      <w:pPr>
        <w:pStyle w:val="Bildetekst"/>
        <w:rPr>
          <w:rFonts w:eastAsia="Calibri"/>
          <w:color w:val="000000"/>
          <w:szCs w:val="24"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proofErr w:type="spellStart"/>
      <w:r>
        <w:t>DFØs</w:t>
      </w:r>
      <w:proofErr w:type="spellEnd"/>
      <w:r>
        <w:t xml:space="preserve"> resultatkjede</w:t>
      </w:r>
    </w:p>
    <w:p w14:paraId="7B4FFBC0" w14:textId="77777777" w:rsidR="005D4D76" w:rsidRPr="00A0093A" w:rsidRDefault="005D4D76" w:rsidP="00AE2105"/>
    <w:p w14:paraId="031F17FA" w14:textId="6759E40C" w:rsidR="00AE2105" w:rsidRPr="00AE2105" w:rsidRDefault="00A0093A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</w:pPr>
      <w:r w:rsidRPr="00AE2105">
        <w:lastRenderedPageBreak/>
        <w:t>Beskrivelse av</w:t>
      </w:r>
      <w:r w:rsidR="007D6865">
        <w:t xml:space="preserve"> </w:t>
      </w:r>
      <w:r w:rsidR="00A35096" w:rsidRPr="00AE2105">
        <w:t>plan for gjennomføring</w:t>
      </w:r>
      <w:r w:rsidR="00374E6F">
        <w:t>en</w:t>
      </w:r>
      <w:r w:rsidR="00A35096" w:rsidRPr="00AE2105">
        <w:t xml:space="preserve">. Dette kan omfatte tidsplan, eventuelle behov for videre utredninger og høringer, </w:t>
      </w:r>
      <w:r w:rsidR="003C34F8">
        <w:t xml:space="preserve">behov for utprøving og forsøk </w:t>
      </w:r>
      <w:r w:rsidR="00A35096" w:rsidRPr="00AE2105">
        <w:t>eller behov for</w:t>
      </w:r>
      <w:r w:rsidR="00CE6994">
        <w:t xml:space="preserve"> </w:t>
      </w:r>
      <w:r w:rsidR="00A35096" w:rsidRPr="00AE2105">
        <w:t>overgangsordninger og ev. kompenserende tiltak.</w:t>
      </w:r>
    </w:p>
    <w:p w14:paraId="53614BE5" w14:textId="77777777" w:rsidR="00135941" w:rsidRDefault="00135941" w:rsidP="002815AE">
      <w:pPr>
        <w:pStyle w:val="Listeavsnitt"/>
        <w:shd w:val="clear" w:color="auto" w:fill="D9D9D9" w:themeFill="background1" w:themeFillShade="D9"/>
        <w:ind w:left="360"/>
      </w:pPr>
    </w:p>
    <w:p w14:paraId="2ED281C6" w14:textId="51CB8310" w:rsidR="00A35096" w:rsidRPr="002342E2" w:rsidRDefault="00A35096" w:rsidP="002815AE">
      <w:pPr>
        <w:pStyle w:val="Listeavsnitt"/>
        <w:numPr>
          <w:ilvl w:val="0"/>
          <w:numId w:val="10"/>
        </w:numPr>
        <w:shd w:val="clear" w:color="auto" w:fill="D9D9D9" w:themeFill="background1" w:themeFillShade="D9"/>
      </w:pPr>
      <w:r>
        <w:t>Det skal vedlegges en overordnet gevinstrealiseringsplan der det er relevant for forslaget</w:t>
      </w:r>
      <w:r w:rsidR="00374E6F">
        <w:t>, jf. vedlegg 3</w:t>
      </w:r>
      <w:r>
        <w:t>.</w:t>
      </w:r>
    </w:p>
    <w:p w14:paraId="1A953AA0" w14:textId="5CC95462" w:rsidR="00A35096" w:rsidRDefault="00A35096" w:rsidP="002815AE">
      <w:pPr>
        <w:shd w:val="clear" w:color="auto" w:fill="D9D9D9" w:themeFill="background1" w:themeFillShade="D9"/>
      </w:pPr>
    </w:p>
    <w:p w14:paraId="1AABEBB3" w14:textId="1F725C22" w:rsidR="00A35096" w:rsidRDefault="00A35096" w:rsidP="002815AE">
      <w:pPr>
        <w:shd w:val="clear" w:color="auto" w:fill="D9D9D9" w:themeFill="background1" w:themeFillShade="D9"/>
      </w:pPr>
      <w:r>
        <w:t xml:space="preserve">Legg ved utdypende informasjon og utredninger </w:t>
      </w:r>
      <w:r w:rsidR="00515D60">
        <w:t xml:space="preserve">som dokumenterer og underbygger beskrivelsen over. Dette </w:t>
      </w:r>
      <w:r w:rsidR="00374E6F">
        <w:t>kan</w:t>
      </w:r>
      <w:r w:rsidR="00515D60">
        <w:t xml:space="preserve"> omfatte:</w:t>
      </w:r>
    </w:p>
    <w:p w14:paraId="68E64A4F" w14:textId="709E0163" w:rsidR="00515D60" w:rsidRPr="00515D60" w:rsidRDefault="00515D60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  <w:rPr>
          <w:szCs w:val="24"/>
        </w:rPr>
      </w:pPr>
      <w:r>
        <w:rPr>
          <w:szCs w:val="24"/>
        </w:rPr>
        <w:t>Opplysninger</w:t>
      </w:r>
      <w:r w:rsidRPr="00135941">
        <w:rPr>
          <w:szCs w:val="24"/>
        </w:rPr>
        <w:t xml:space="preserve"> om g</w:t>
      </w:r>
      <w:r>
        <w:t xml:space="preserve">jennomført utredningsprosess bak forslaget, herunder kontakt med berørte parter og </w:t>
      </w:r>
      <w:proofErr w:type="spellStart"/>
      <w:r>
        <w:t>evntuelle</w:t>
      </w:r>
      <w:proofErr w:type="spellEnd"/>
      <w:r>
        <w:t xml:space="preserve"> høringsprosesser.</w:t>
      </w:r>
    </w:p>
    <w:p w14:paraId="3577C552" w14:textId="2CCE95F9" w:rsidR="00A35096" w:rsidRPr="00515D60" w:rsidRDefault="00515D60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  <w:rPr>
          <w:szCs w:val="24"/>
        </w:rPr>
      </w:pPr>
      <w:r>
        <w:t>B</w:t>
      </w:r>
      <w:r w:rsidRPr="00D30D05">
        <w:t xml:space="preserve">eregning av eventuell kommunal medfinansiering, jf. punkt </w:t>
      </w:r>
      <w:r>
        <w:t>7</w:t>
      </w:r>
      <w:r w:rsidRPr="00D30D05">
        <w:t xml:space="preserve"> i R-9/20</w:t>
      </w:r>
      <w:r>
        <w:t>25</w:t>
      </w:r>
      <w:r w:rsidR="00CE3C0F">
        <w:t>,</w:t>
      </w:r>
      <w:r>
        <w:t xml:space="preserve"> og hvordan sektorovergripende forslag er koordinert mellom berørte departementer.</w:t>
      </w:r>
    </w:p>
    <w:p w14:paraId="5B8D4CB6" w14:textId="1ADA51D7" w:rsidR="00A35096" w:rsidRDefault="00BC716A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</w:pPr>
      <w:r>
        <w:t>Der det er utarbeidet s</w:t>
      </w:r>
      <w:r w:rsidR="00E5088C">
        <w:t>amfunnsøkonomisk analyse</w:t>
      </w:r>
      <w:r>
        <w:t>.</w:t>
      </w:r>
    </w:p>
    <w:p w14:paraId="6B60E528" w14:textId="1B283441" w:rsidR="00F6183B" w:rsidRPr="002342E2" w:rsidRDefault="00CE6994" w:rsidP="002815AE">
      <w:pPr>
        <w:pStyle w:val="Listeavsnitt"/>
        <w:numPr>
          <w:ilvl w:val="0"/>
          <w:numId w:val="4"/>
        </w:numPr>
        <w:shd w:val="clear" w:color="auto" w:fill="D9D9D9" w:themeFill="background1" w:themeFillShade="D9"/>
      </w:pPr>
      <w:r>
        <w:t>Andre</w:t>
      </w:r>
      <w:r w:rsidR="00A35096">
        <w:t xml:space="preserve"> relevante utredninger som belyser saken grundigere,</w:t>
      </w:r>
      <w:r w:rsidR="000D1FBF">
        <w:t xml:space="preserve"> f.eks.</w:t>
      </w:r>
      <w:r w:rsidR="00A35096">
        <w:t xml:space="preserve"> utredninger av fordelingsvirkninger eller </w:t>
      </w:r>
      <w:proofErr w:type="spellStart"/>
      <w:r w:rsidR="00A35096">
        <w:t>kvalitetsikringer</w:t>
      </w:r>
      <w:proofErr w:type="spellEnd"/>
      <w:r w:rsidR="00A35096">
        <w:t xml:space="preserve"> av forslaget.</w:t>
      </w:r>
    </w:p>
    <w:bookmarkEnd w:id="0"/>
    <w:sectPr w:rsidR="00F6183B" w:rsidRPr="002342E2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9AFA" w14:textId="77777777" w:rsidR="00483607" w:rsidRDefault="00483607">
      <w:r>
        <w:separator/>
      </w:r>
    </w:p>
  </w:endnote>
  <w:endnote w:type="continuationSeparator" w:id="0">
    <w:p w14:paraId="5F7D2E87" w14:textId="77777777" w:rsidR="00483607" w:rsidRDefault="00483607">
      <w:r>
        <w:continuationSeparator/>
      </w:r>
    </w:p>
  </w:endnote>
  <w:endnote w:type="continuationNotice" w:id="1">
    <w:p w14:paraId="17CB765C" w14:textId="77777777" w:rsidR="00483607" w:rsidRDefault="00483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A980" w14:textId="77777777" w:rsidR="00FE6337" w:rsidRDefault="00FE6337" w:rsidP="00FE6337">
    <w:pPr>
      <w:pStyle w:val="Bunntekst"/>
      <w:jc w:val="center"/>
    </w:pPr>
  </w:p>
  <w:p w14:paraId="0DC3379E" w14:textId="77777777" w:rsidR="00FE6337" w:rsidRDefault="00FE6337" w:rsidP="00FE6337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15397102" w14:textId="77777777" w:rsidR="00FE6337" w:rsidRDefault="00FE6337" w:rsidP="00FE6337">
        <w:pPr>
          <w:pStyle w:val="Bunntekst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</w:p>
    </w:sdtContent>
  </w:sdt>
  <w:p w14:paraId="57B10D93" w14:textId="77777777" w:rsidR="00FE6337" w:rsidRDefault="00FE6337" w:rsidP="00FE633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6127" w14:textId="77777777" w:rsidR="00483607" w:rsidRDefault="00483607">
      <w:r>
        <w:separator/>
      </w:r>
    </w:p>
  </w:footnote>
  <w:footnote w:type="continuationSeparator" w:id="0">
    <w:p w14:paraId="7B0600DC" w14:textId="77777777" w:rsidR="00483607" w:rsidRDefault="00483607">
      <w:r>
        <w:continuationSeparator/>
      </w:r>
    </w:p>
  </w:footnote>
  <w:footnote w:type="continuationNotice" w:id="1">
    <w:p w14:paraId="4FE97C60" w14:textId="77777777" w:rsidR="00483607" w:rsidRDefault="00483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F3821"/>
    <w:multiLevelType w:val="hybridMultilevel"/>
    <w:tmpl w:val="FB28B2BE"/>
    <w:lvl w:ilvl="0" w:tplc="D6367E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C4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2E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04B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2448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4E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EA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8A1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01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96ED5"/>
    <w:multiLevelType w:val="hybridMultilevel"/>
    <w:tmpl w:val="2D8E2F9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2D5E83"/>
    <w:multiLevelType w:val="hybridMultilevel"/>
    <w:tmpl w:val="2424D800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C2095B"/>
    <w:multiLevelType w:val="multilevel"/>
    <w:tmpl w:val="7C8CA5C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2."/>
      <w:lvlJc w:val="left"/>
      <w:pPr>
        <w:ind w:left="360" w:hanging="360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2CD7FF1"/>
    <w:multiLevelType w:val="hybridMultilevel"/>
    <w:tmpl w:val="9A8217D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617203">
    <w:abstractNumId w:val="2"/>
  </w:num>
  <w:num w:numId="2" w16cid:durableId="1646617453">
    <w:abstractNumId w:val="8"/>
  </w:num>
  <w:num w:numId="3" w16cid:durableId="1890216030">
    <w:abstractNumId w:val="5"/>
  </w:num>
  <w:num w:numId="4" w16cid:durableId="699355044">
    <w:abstractNumId w:val="3"/>
  </w:num>
  <w:num w:numId="5" w16cid:durableId="346949801">
    <w:abstractNumId w:val="4"/>
  </w:num>
  <w:num w:numId="6" w16cid:durableId="760877734">
    <w:abstractNumId w:val="7"/>
  </w:num>
  <w:num w:numId="7" w16cid:durableId="760682551">
    <w:abstractNumId w:val="0"/>
  </w:num>
  <w:num w:numId="8" w16cid:durableId="693724351">
    <w:abstractNumId w:val="8"/>
  </w:num>
  <w:num w:numId="9" w16cid:durableId="1040402729">
    <w:abstractNumId w:val="6"/>
  </w:num>
  <w:num w:numId="10" w16cid:durableId="251164194">
    <w:abstractNumId w:val="9"/>
  </w:num>
  <w:num w:numId="11" w16cid:durableId="31241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06CDB"/>
    <w:rsid w:val="00024DF6"/>
    <w:rsid w:val="00030C02"/>
    <w:rsid w:val="00031E9C"/>
    <w:rsid w:val="00044ABC"/>
    <w:rsid w:val="0004574B"/>
    <w:rsid w:val="0005070E"/>
    <w:rsid w:val="00053A89"/>
    <w:rsid w:val="00055D37"/>
    <w:rsid w:val="00065B50"/>
    <w:rsid w:val="00075171"/>
    <w:rsid w:val="00080521"/>
    <w:rsid w:val="00081818"/>
    <w:rsid w:val="000849A9"/>
    <w:rsid w:val="000A0ACF"/>
    <w:rsid w:val="000A4E34"/>
    <w:rsid w:val="000A71DC"/>
    <w:rsid w:val="000B27E6"/>
    <w:rsid w:val="000C0698"/>
    <w:rsid w:val="000D1FBF"/>
    <w:rsid w:val="000D2CDA"/>
    <w:rsid w:val="000D4769"/>
    <w:rsid w:val="000D536D"/>
    <w:rsid w:val="000D76DD"/>
    <w:rsid w:val="000D7F63"/>
    <w:rsid w:val="000F4B95"/>
    <w:rsid w:val="000F6059"/>
    <w:rsid w:val="00101314"/>
    <w:rsid w:val="00105DF3"/>
    <w:rsid w:val="001114F6"/>
    <w:rsid w:val="00113C7E"/>
    <w:rsid w:val="001308D3"/>
    <w:rsid w:val="00135941"/>
    <w:rsid w:val="00141E61"/>
    <w:rsid w:val="001423D8"/>
    <w:rsid w:val="00164DF1"/>
    <w:rsid w:val="00170430"/>
    <w:rsid w:val="00177B19"/>
    <w:rsid w:val="00182EB9"/>
    <w:rsid w:val="0018445A"/>
    <w:rsid w:val="00184FE1"/>
    <w:rsid w:val="00196E8E"/>
    <w:rsid w:val="001A7389"/>
    <w:rsid w:val="001A7836"/>
    <w:rsid w:val="001B6229"/>
    <w:rsid w:val="001C08AA"/>
    <w:rsid w:val="001C1FBA"/>
    <w:rsid w:val="001D1845"/>
    <w:rsid w:val="001D32A3"/>
    <w:rsid w:val="001D3F37"/>
    <w:rsid w:val="001D70B5"/>
    <w:rsid w:val="001D72F4"/>
    <w:rsid w:val="001F0A8B"/>
    <w:rsid w:val="00210A23"/>
    <w:rsid w:val="00220416"/>
    <w:rsid w:val="00230C22"/>
    <w:rsid w:val="0023140C"/>
    <w:rsid w:val="002342E2"/>
    <w:rsid w:val="00261D97"/>
    <w:rsid w:val="00273140"/>
    <w:rsid w:val="00280B78"/>
    <w:rsid w:val="002815AE"/>
    <w:rsid w:val="002B15A0"/>
    <w:rsid w:val="002C6C1A"/>
    <w:rsid w:val="002D2AE8"/>
    <w:rsid w:val="002E7007"/>
    <w:rsid w:val="002F6189"/>
    <w:rsid w:val="002F6F83"/>
    <w:rsid w:val="003010AC"/>
    <w:rsid w:val="00303B55"/>
    <w:rsid w:val="00315ABC"/>
    <w:rsid w:val="003242F1"/>
    <w:rsid w:val="00340D85"/>
    <w:rsid w:val="0035595F"/>
    <w:rsid w:val="003568B9"/>
    <w:rsid w:val="00362348"/>
    <w:rsid w:val="003626C8"/>
    <w:rsid w:val="00372DF4"/>
    <w:rsid w:val="00372FFE"/>
    <w:rsid w:val="00374E6F"/>
    <w:rsid w:val="003755C6"/>
    <w:rsid w:val="003836D9"/>
    <w:rsid w:val="003837AC"/>
    <w:rsid w:val="003B38D6"/>
    <w:rsid w:val="003C1B5D"/>
    <w:rsid w:val="003C34F8"/>
    <w:rsid w:val="003E21D0"/>
    <w:rsid w:val="003E29B0"/>
    <w:rsid w:val="003E36E9"/>
    <w:rsid w:val="003E5995"/>
    <w:rsid w:val="003F5DA7"/>
    <w:rsid w:val="00402408"/>
    <w:rsid w:val="00412182"/>
    <w:rsid w:val="00416917"/>
    <w:rsid w:val="0042377B"/>
    <w:rsid w:val="0042658E"/>
    <w:rsid w:val="00440FBA"/>
    <w:rsid w:val="00442367"/>
    <w:rsid w:val="00461C93"/>
    <w:rsid w:val="0046234F"/>
    <w:rsid w:val="00464CEB"/>
    <w:rsid w:val="004732D9"/>
    <w:rsid w:val="00473E2C"/>
    <w:rsid w:val="004758A6"/>
    <w:rsid w:val="00483607"/>
    <w:rsid w:val="00486719"/>
    <w:rsid w:val="00490EFB"/>
    <w:rsid w:val="00494DDD"/>
    <w:rsid w:val="004A0750"/>
    <w:rsid w:val="004C0F5B"/>
    <w:rsid w:val="004C18C9"/>
    <w:rsid w:val="004C3D95"/>
    <w:rsid w:val="004C6984"/>
    <w:rsid w:val="004D22B2"/>
    <w:rsid w:val="004E3399"/>
    <w:rsid w:val="004E5315"/>
    <w:rsid w:val="004E550B"/>
    <w:rsid w:val="004E57E3"/>
    <w:rsid w:val="004E5F97"/>
    <w:rsid w:val="004F7157"/>
    <w:rsid w:val="00504F0A"/>
    <w:rsid w:val="00515D60"/>
    <w:rsid w:val="005306D0"/>
    <w:rsid w:val="00532315"/>
    <w:rsid w:val="0054438A"/>
    <w:rsid w:val="00552C99"/>
    <w:rsid w:val="00552FC6"/>
    <w:rsid w:val="0055463F"/>
    <w:rsid w:val="00560A12"/>
    <w:rsid w:val="00563A3D"/>
    <w:rsid w:val="00566003"/>
    <w:rsid w:val="00566C3B"/>
    <w:rsid w:val="00572FB5"/>
    <w:rsid w:val="005758D8"/>
    <w:rsid w:val="005834D7"/>
    <w:rsid w:val="005875DA"/>
    <w:rsid w:val="00597951"/>
    <w:rsid w:val="00597ADF"/>
    <w:rsid w:val="005A726F"/>
    <w:rsid w:val="005B5ADD"/>
    <w:rsid w:val="005C15CA"/>
    <w:rsid w:val="005D4D76"/>
    <w:rsid w:val="005E193F"/>
    <w:rsid w:val="005E66DB"/>
    <w:rsid w:val="005F08AD"/>
    <w:rsid w:val="005F44F3"/>
    <w:rsid w:val="005F71F8"/>
    <w:rsid w:val="005F791F"/>
    <w:rsid w:val="00621BA5"/>
    <w:rsid w:val="00626F4B"/>
    <w:rsid w:val="006310FF"/>
    <w:rsid w:val="00631554"/>
    <w:rsid w:val="006331F8"/>
    <w:rsid w:val="0064321F"/>
    <w:rsid w:val="006525F0"/>
    <w:rsid w:val="006545AB"/>
    <w:rsid w:val="0065588D"/>
    <w:rsid w:val="006558D2"/>
    <w:rsid w:val="006625FE"/>
    <w:rsid w:val="00665CAE"/>
    <w:rsid w:val="0067221B"/>
    <w:rsid w:val="0068276F"/>
    <w:rsid w:val="0068290B"/>
    <w:rsid w:val="00682F05"/>
    <w:rsid w:val="00684B0E"/>
    <w:rsid w:val="00692816"/>
    <w:rsid w:val="0069667F"/>
    <w:rsid w:val="006A181C"/>
    <w:rsid w:val="006B33B4"/>
    <w:rsid w:val="006C201F"/>
    <w:rsid w:val="006C34B5"/>
    <w:rsid w:val="006C4F2C"/>
    <w:rsid w:val="006D0392"/>
    <w:rsid w:val="006D0B92"/>
    <w:rsid w:val="006D2A82"/>
    <w:rsid w:val="006D6FDF"/>
    <w:rsid w:val="006E07FC"/>
    <w:rsid w:val="006E34FE"/>
    <w:rsid w:val="0070695A"/>
    <w:rsid w:val="00711E9B"/>
    <w:rsid w:val="00717D29"/>
    <w:rsid w:val="00724EF0"/>
    <w:rsid w:val="0073250F"/>
    <w:rsid w:val="00746C20"/>
    <w:rsid w:val="00755134"/>
    <w:rsid w:val="007560A9"/>
    <w:rsid w:val="00762AB6"/>
    <w:rsid w:val="00772B0F"/>
    <w:rsid w:val="0077798C"/>
    <w:rsid w:val="00785314"/>
    <w:rsid w:val="0079345D"/>
    <w:rsid w:val="0079480E"/>
    <w:rsid w:val="007A0EF2"/>
    <w:rsid w:val="007A764B"/>
    <w:rsid w:val="007B19E8"/>
    <w:rsid w:val="007D6865"/>
    <w:rsid w:val="007E5EAC"/>
    <w:rsid w:val="007E6AAA"/>
    <w:rsid w:val="007F65DE"/>
    <w:rsid w:val="0081076F"/>
    <w:rsid w:val="00816A96"/>
    <w:rsid w:val="00822142"/>
    <w:rsid w:val="00830463"/>
    <w:rsid w:val="0083178F"/>
    <w:rsid w:val="00832B2B"/>
    <w:rsid w:val="00845B50"/>
    <w:rsid w:val="00855E25"/>
    <w:rsid w:val="00863B15"/>
    <w:rsid w:val="00884656"/>
    <w:rsid w:val="00897527"/>
    <w:rsid w:val="008A37E2"/>
    <w:rsid w:val="008A7706"/>
    <w:rsid w:val="008B1DFD"/>
    <w:rsid w:val="008B6F28"/>
    <w:rsid w:val="008C51C7"/>
    <w:rsid w:val="008D1CBA"/>
    <w:rsid w:val="008D47AA"/>
    <w:rsid w:val="008D7B1F"/>
    <w:rsid w:val="008E1A49"/>
    <w:rsid w:val="008E2E37"/>
    <w:rsid w:val="008E3481"/>
    <w:rsid w:val="008E3677"/>
    <w:rsid w:val="008E396C"/>
    <w:rsid w:val="008E559D"/>
    <w:rsid w:val="0091163D"/>
    <w:rsid w:val="00916BE8"/>
    <w:rsid w:val="00920D27"/>
    <w:rsid w:val="00930BA3"/>
    <w:rsid w:val="00937E1E"/>
    <w:rsid w:val="0094098A"/>
    <w:rsid w:val="00946327"/>
    <w:rsid w:val="00953582"/>
    <w:rsid w:val="0096624A"/>
    <w:rsid w:val="00966A70"/>
    <w:rsid w:val="00984218"/>
    <w:rsid w:val="009A1DD9"/>
    <w:rsid w:val="009B6383"/>
    <w:rsid w:val="009C2784"/>
    <w:rsid w:val="009C6A31"/>
    <w:rsid w:val="009C724A"/>
    <w:rsid w:val="009D1BF4"/>
    <w:rsid w:val="009D3C1A"/>
    <w:rsid w:val="009E0CCB"/>
    <w:rsid w:val="009F09CF"/>
    <w:rsid w:val="009F10B9"/>
    <w:rsid w:val="009F45EB"/>
    <w:rsid w:val="00A00070"/>
    <w:rsid w:val="00A0093A"/>
    <w:rsid w:val="00A0783C"/>
    <w:rsid w:val="00A108D5"/>
    <w:rsid w:val="00A145C6"/>
    <w:rsid w:val="00A175DC"/>
    <w:rsid w:val="00A17EB1"/>
    <w:rsid w:val="00A21876"/>
    <w:rsid w:val="00A313F0"/>
    <w:rsid w:val="00A35096"/>
    <w:rsid w:val="00A50AFF"/>
    <w:rsid w:val="00A50C83"/>
    <w:rsid w:val="00A64C9C"/>
    <w:rsid w:val="00A6535B"/>
    <w:rsid w:val="00A80F6A"/>
    <w:rsid w:val="00A834B9"/>
    <w:rsid w:val="00A97460"/>
    <w:rsid w:val="00A97547"/>
    <w:rsid w:val="00A97688"/>
    <w:rsid w:val="00AA2CAE"/>
    <w:rsid w:val="00AA4CEA"/>
    <w:rsid w:val="00AB0227"/>
    <w:rsid w:val="00AB4425"/>
    <w:rsid w:val="00AB4464"/>
    <w:rsid w:val="00AC3CDF"/>
    <w:rsid w:val="00AD6964"/>
    <w:rsid w:val="00AE2105"/>
    <w:rsid w:val="00AE4B4A"/>
    <w:rsid w:val="00AE6AEC"/>
    <w:rsid w:val="00AF1D3C"/>
    <w:rsid w:val="00AF31AD"/>
    <w:rsid w:val="00B106E5"/>
    <w:rsid w:val="00B15F02"/>
    <w:rsid w:val="00B21F20"/>
    <w:rsid w:val="00B24845"/>
    <w:rsid w:val="00B27BD4"/>
    <w:rsid w:val="00B27C6D"/>
    <w:rsid w:val="00B32F77"/>
    <w:rsid w:val="00B35FE9"/>
    <w:rsid w:val="00B4283E"/>
    <w:rsid w:val="00B45378"/>
    <w:rsid w:val="00B47CA9"/>
    <w:rsid w:val="00B66422"/>
    <w:rsid w:val="00B6686E"/>
    <w:rsid w:val="00B85F74"/>
    <w:rsid w:val="00B97DCB"/>
    <w:rsid w:val="00BA6759"/>
    <w:rsid w:val="00BA6DDA"/>
    <w:rsid w:val="00BB3DF6"/>
    <w:rsid w:val="00BB6FBB"/>
    <w:rsid w:val="00BC5579"/>
    <w:rsid w:val="00BC716A"/>
    <w:rsid w:val="00BD4AB6"/>
    <w:rsid w:val="00BE2E72"/>
    <w:rsid w:val="00BE34D7"/>
    <w:rsid w:val="00BE5A93"/>
    <w:rsid w:val="00C006BE"/>
    <w:rsid w:val="00C14302"/>
    <w:rsid w:val="00C157DA"/>
    <w:rsid w:val="00C17B80"/>
    <w:rsid w:val="00C30BF8"/>
    <w:rsid w:val="00C34CB5"/>
    <w:rsid w:val="00C3576C"/>
    <w:rsid w:val="00C37D0F"/>
    <w:rsid w:val="00C55FB5"/>
    <w:rsid w:val="00C6237D"/>
    <w:rsid w:val="00C62BF2"/>
    <w:rsid w:val="00C64396"/>
    <w:rsid w:val="00C7241E"/>
    <w:rsid w:val="00C72B35"/>
    <w:rsid w:val="00C83D0B"/>
    <w:rsid w:val="00C8663F"/>
    <w:rsid w:val="00C87397"/>
    <w:rsid w:val="00CA08A5"/>
    <w:rsid w:val="00CA32E2"/>
    <w:rsid w:val="00CA5A47"/>
    <w:rsid w:val="00CB0036"/>
    <w:rsid w:val="00CB2493"/>
    <w:rsid w:val="00CC075F"/>
    <w:rsid w:val="00CC0E77"/>
    <w:rsid w:val="00CC4366"/>
    <w:rsid w:val="00CE3C0F"/>
    <w:rsid w:val="00CE4C02"/>
    <w:rsid w:val="00CE6994"/>
    <w:rsid w:val="00CF1AD9"/>
    <w:rsid w:val="00CF5F0F"/>
    <w:rsid w:val="00D00C89"/>
    <w:rsid w:val="00D021A2"/>
    <w:rsid w:val="00D1363C"/>
    <w:rsid w:val="00D25A90"/>
    <w:rsid w:val="00D30D05"/>
    <w:rsid w:val="00D30DBC"/>
    <w:rsid w:val="00D372F9"/>
    <w:rsid w:val="00D45402"/>
    <w:rsid w:val="00D45405"/>
    <w:rsid w:val="00D54F80"/>
    <w:rsid w:val="00D63076"/>
    <w:rsid w:val="00D76A27"/>
    <w:rsid w:val="00D80507"/>
    <w:rsid w:val="00DB05B5"/>
    <w:rsid w:val="00DB1493"/>
    <w:rsid w:val="00DB1E77"/>
    <w:rsid w:val="00DB2F08"/>
    <w:rsid w:val="00E01F96"/>
    <w:rsid w:val="00E03A06"/>
    <w:rsid w:val="00E32F5C"/>
    <w:rsid w:val="00E5088C"/>
    <w:rsid w:val="00E647D8"/>
    <w:rsid w:val="00E72AA4"/>
    <w:rsid w:val="00E7530D"/>
    <w:rsid w:val="00E826D7"/>
    <w:rsid w:val="00E83353"/>
    <w:rsid w:val="00E83664"/>
    <w:rsid w:val="00E84422"/>
    <w:rsid w:val="00E9109F"/>
    <w:rsid w:val="00E92CEC"/>
    <w:rsid w:val="00E9390E"/>
    <w:rsid w:val="00E946EC"/>
    <w:rsid w:val="00EA286D"/>
    <w:rsid w:val="00EB0998"/>
    <w:rsid w:val="00EB0D05"/>
    <w:rsid w:val="00EB1B8C"/>
    <w:rsid w:val="00EB5ABD"/>
    <w:rsid w:val="00EB625D"/>
    <w:rsid w:val="00EE648F"/>
    <w:rsid w:val="00EF36DD"/>
    <w:rsid w:val="00F26B2E"/>
    <w:rsid w:val="00F417ED"/>
    <w:rsid w:val="00F451BC"/>
    <w:rsid w:val="00F56C93"/>
    <w:rsid w:val="00F6183B"/>
    <w:rsid w:val="00F67435"/>
    <w:rsid w:val="00F80CFE"/>
    <w:rsid w:val="00F81D82"/>
    <w:rsid w:val="00F828AB"/>
    <w:rsid w:val="00F82DD0"/>
    <w:rsid w:val="00F85A16"/>
    <w:rsid w:val="00F90311"/>
    <w:rsid w:val="00F90C3F"/>
    <w:rsid w:val="00F93CD8"/>
    <w:rsid w:val="00F95D10"/>
    <w:rsid w:val="00FA3CF1"/>
    <w:rsid w:val="00FB349F"/>
    <w:rsid w:val="00FC2795"/>
    <w:rsid w:val="00FC4829"/>
    <w:rsid w:val="00FD6C6C"/>
    <w:rsid w:val="00FD756D"/>
    <w:rsid w:val="00FE6337"/>
    <w:rsid w:val="00FF6DEE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sjon">
    <w:name w:val="Revision"/>
    <w:hidden/>
    <w:uiPriority w:val="99"/>
    <w:semiHidden/>
    <w:rsid w:val="00E92CEC"/>
    <w:rPr>
      <w:sz w:val="24"/>
    </w:rPr>
  </w:style>
  <w:style w:type="character" w:styleId="Hyperkobling">
    <w:name w:val="Hyperlink"/>
    <w:basedOn w:val="Standardskriftforavsnitt"/>
    <w:uiPriority w:val="99"/>
    <w:unhideWhenUsed/>
    <w:rsid w:val="00BC716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C716A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237D"/>
    <w:rPr>
      <w:color w:val="605E5C"/>
      <w:shd w:val="clear" w:color="auto" w:fill="E1DFDD"/>
    </w:rPr>
  </w:style>
  <w:style w:type="paragraph" w:styleId="Bildetekst">
    <w:name w:val="caption"/>
    <w:basedOn w:val="Normal"/>
    <w:next w:val="Normal"/>
    <w:uiPriority w:val="35"/>
    <w:unhideWhenUsed/>
    <w:qFormat/>
    <w:rsid w:val="00A80F6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4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9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9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o.no/fagomrader/styring-i-staten/sette-mal-og-retnin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veileder-for-vurdering-av-effekt-pa-utslipp-og-opptak-av-klimagasser/id3139331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617A6E257F249BF77EB6D99DA0E70" ma:contentTypeVersion="2" ma:contentTypeDescription="Opprett et nytt dokument." ma:contentTypeScope="" ma:versionID="5b8cde148bd89d85db1b21abd24c3dc6">
  <xsd:schema xmlns:xsd="http://www.w3.org/2001/XMLSchema" xmlns:xs="http://www.w3.org/2001/XMLSchema" xmlns:p="http://schemas.microsoft.com/office/2006/metadata/properties" xmlns:ns2="8934e834-2d54-498e-9d2f-f50fc5906d49" targetNamespace="http://schemas.microsoft.com/office/2006/metadata/properties" ma:root="true" ma:fieldsID="9e018b1bef16dada4adf7636960f1381" ns2:_="">
    <xsd:import namespace="8934e834-2d54-498e-9d2f-f50fc5906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e834-2d54-498e-9d2f-f50fc590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7E7BF-B3D4-41DB-82E3-5BBEED708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58B06-C071-49B1-B864-93B4E495E5C7}"/>
</file>

<file path=customXml/itemProps3.xml><?xml version="1.0" encoding="utf-8"?>
<ds:datastoreItem xmlns:ds="http://schemas.openxmlformats.org/officeDocument/2006/customXml" ds:itemID="{321C2D66-CC52-43B9-8B13-1D376176FDB3}"/>
</file>

<file path=customXml/itemProps4.xml><?xml version="1.0" encoding="utf-8"?>
<ds:datastoreItem xmlns:ds="http://schemas.openxmlformats.org/officeDocument/2006/customXml" ds:itemID="{90477ED6-6E5C-4E44-940B-6D43B68A2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4559</Characters>
  <Application>Microsoft Office Word</Application>
  <DocSecurity>0</DocSecurity>
  <Lines>414</Lines>
  <Paragraphs>249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2025-11-17T08:56:00Z</dcterms:created>
  <dcterms:modified xsi:type="dcterms:W3CDTF">2025-11-17T08:56:00Z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0x010100E29617A6E257F249BF77EB6D99DA0E70</vt:lpwstr>
  </property>
</Properties>
</file>